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1F" w:rsidRPr="004571F7" w:rsidRDefault="0076351F" w:rsidP="00195661">
      <w:pPr>
        <w:pStyle w:val="AppendixHeading"/>
      </w:pPr>
    </w:p>
    <w:p w:rsidR="008C5E19" w:rsidRPr="004571F7" w:rsidRDefault="008C5E19" w:rsidP="00195661">
      <w:pPr>
        <w:pStyle w:val="EvidenceTableTitle"/>
      </w:pPr>
      <w:proofErr w:type="gramStart"/>
      <w:r w:rsidRPr="004571F7">
        <w:t>Evidence Table 1.</w:t>
      </w:r>
      <w:proofErr w:type="gramEnd"/>
      <w:r w:rsidRPr="004571F7">
        <w:t xml:space="preserve"> Study characteristics</w:t>
      </w:r>
      <w:r w:rsidRPr="004571F7">
        <w:rPr>
          <w:rFonts w:cs="Arial"/>
        </w:rPr>
        <w:t>—</w:t>
      </w:r>
      <w:r w:rsidRPr="004571F7">
        <w:t>physician-led survivorship care models</w:t>
      </w:r>
    </w:p>
    <w:tbl>
      <w:tblPr>
        <w:tblStyle w:val="AHRQ1"/>
        <w:tblW w:w="13190" w:type="dxa"/>
        <w:tblLayout w:type="fixed"/>
        <w:tblLook w:val="04A0" w:firstRow="1" w:lastRow="0" w:firstColumn="1" w:lastColumn="0" w:noHBand="0" w:noVBand="1"/>
      </w:tblPr>
      <w:tblGrid>
        <w:gridCol w:w="1296"/>
        <w:gridCol w:w="1282"/>
        <w:gridCol w:w="1282"/>
        <w:gridCol w:w="1866"/>
        <w:gridCol w:w="1866"/>
        <w:gridCol w:w="1866"/>
        <w:gridCol w:w="1866"/>
        <w:gridCol w:w="1866"/>
      </w:tblGrid>
      <w:tr w:rsidR="008C5E19" w:rsidRPr="004571F7" w:rsidTr="00325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tcW w:w="129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</w:p>
        </w:tc>
        <w:tc>
          <w:tcPr>
            <w:tcW w:w="1282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Funding Source</w:t>
            </w:r>
            <w:r w:rsidR="00B24E5C" w:rsidRPr="004571F7">
              <w:rPr>
                <w:b/>
                <w:bCs/>
              </w:rPr>
              <w:t xml:space="preserve">, 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  <w:i/>
              </w:rPr>
              <w:t>Country</w:t>
            </w:r>
          </w:p>
        </w:tc>
        <w:tc>
          <w:tcPr>
            <w:tcW w:w="1282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Study Design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Setting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Group(s)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Comparator(s)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Overall Sample Size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Group Sample Sizes</w:t>
            </w:r>
            <w:r w:rsidRPr="004571F7">
              <w:rPr>
                <w:b/>
                <w:bCs/>
              </w:rPr>
              <w:br/>
              <w:t>If Present/ Applicable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Cannon</w:t>
            </w:r>
            <w:r w:rsidR="00325950">
              <w:rPr>
                <w:noProof/>
              </w:rPr>
              <w:t xml:space="preserve"> et al.</w:t>
            </w:r>
            <w:r w:rsidRPr="004571F7">
              <w:t xml:space="preserve">, </w:t>
            </w:r>
            <w:r w:rsidRPr="004571F7">
              <w:rPr>
                <w:noProof/>
              </w:rPr>
              <w:t>2010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Academic</w:t>
            </w:r>
          </w:p>
          <w:p w:rsidR="008C5E19" w:rsidRPr="004571F7" w:rsidRDefault="00B62CA3" w:rsidP="008C5E19">
            <w:pPr>
              <w:pStyle w:val="TableText"/>
              <w:rPr>
                <w:noProof/>
              </w:rPr>
            </w:pPr>
            <w:r>
              <w:rPr>
                <w:i/>
                <w:noProof/>
              </w:rPr>
              <w:t>United States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Prospective cohort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Teaching hospital system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Usual care, </w:t>
            </w:r>
            <w:r w:rsidR="006351E7" w:rsidRPr="004571F7">
              <w:rPr>
                <w:noProof/>
              </w:rPr>
              <w:t xml:space="preserve">single </w:t>
            </w:r>
            <w:r w:rsidRPr="004571F7">
              <w:rPr>
                <w:noProof/>
              </w:rPr>
              <w:t>provider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G2: Usual care, </w:t>
            </w:r>
            <w:r w:rsidR="006351E7" w:rsidRPr="004571F7">
              <w:rPr>
                <w:noProof/>
              </w:rPr>
              <w:t xml:space="preserve">multiple </w:t>
            </w:r>
            <w:r w:rsidRPr="004571F7">
              <w:rPr>
                <w:noProof/>
              </w:rPr>
              <w:t>providers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314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214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100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214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100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Kokko</w:t>
            </w:r>
            <w:r w:rsidR="00325950">
              <w:rPr>
                <w:noProof/>
              </w:rPr>
              <w:t xml:space="preserve"> et al.</w:t>
            </w:r>
            <w:r w:rsidRPr="004571F7">
              <w:t xml:space="preserve">, </w:t>
            </w:r>
            <w:r w:rsidRPr="004571F7">
              <w:rPr>
                <w:noProof/>
              </w:rPr>
              <w:t>2005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NR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Finland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Parallel RCT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Hospital department of oncology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Frequent visits and routine tests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Frequent visits and no routine tests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G3: Infrequent visits and routine tests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G4: Infrequent visits and no routine tests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472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Randomized/ 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125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114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G3: 118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G4: 115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125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114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G3: 118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G4: 115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325950">
            <w:pPr>
              <w:pStyle w:val="TableText"/>
            </w:pPr>
            <w:r w:rsidRPr="004571F7">
              <w:rPr>
                <w:noProof/>
              </w:rPr>
              <w:t>Wattchow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 xml:space="preserve">, </w:t>
            </w:r>
            <w:r w:rsidRPr="004571F7">
              <w:rPr>
                <w:noProof/>
              </w:rPr>
              <w:t>2006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Multiple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Australia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Parallel RCT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Multicenter (multiple hospitals)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General </w:t>
            </w:r>
            <w:r w:rsidR="006351E7" w:rsidRPr="004571F7">
              <w:rPr>
                <w:noProof/>
              </w:rPr>
              <w:t xml:space="preserve">practioner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</w:t>
            </w:r>
          </w:p>
          <w:p w:rsidR="008C5E19" w:rsidRPr="004571F7" w:rsidRDefault="008C5E19" w:rsidP="0035643C">
            <w:pPr>
              <w:pStyle w:val="TableText"/>
            </w:pPr>
            <w:r w:rsidRPr="004571F7">
              <w:rPr>
                <w:noProof/>
              </w:rPr>
              <w:t xml:space="preserve">G2: Surgeon </w:t>
            </w:r>
            <w:r w:rsidR="00B66736" w:rsidRPr="004571F7">
              <w:rPr>
                <w:noProof/>
              </w:rPr>
              <w:t>followup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203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Randomized/ 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97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106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82 (12 months)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88 (12 months)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76 (24 months)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81 (24 months)</w:t>
            </w:r>
          </w:p>
        </w:tc>
      </w:tr>
    </w:tbl>
    <w:p w:rsidR="008C5E19" w:rsidRPr="004571F7" w:rsidRDefault="008C5E19" w:rsidP="00B62CA3">
      <w:pPr>
        <w:pStyle w:val="TableNote"/>
      </w:pPr>
      <w:r w:rsidRPr="004571F7">
        <w:t xml:space="preserve">Abbreviations: G = group; NR = not reported; RCT = randomized controlled trial </w:t>
      </w:r>
    </w:p>
    <w:p w:rsidR="008C5E19" w:rsidRPr="004571F7" w:rsidRDefault="008C5E19" w:rsidP="008C5E19">
      <w:bookmarkStart w:id="0" w:name="_GoBack"/>
      <w:bookmarkEnd w:id="0"/>
    </w:p>
    <w:sectPr w:rsidR="008C5E19" w:rsidRPr="004571F7" w:rsidSect="006E2D22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41" w:rsidRDefault="00102D41">
      <w:r>
        <w:separator/>
      </w:r>
    </w:p>
  </w:endnote>
  <w:endnote w:type="continuationSeparator" w:id="0">
    <w:p w:rsidR="00102D41" w:rsidRDefault="00102D41">
      <w:r>
        <w:continuationSeparator/>
      </w:r>
    </w:p>
  </w:endnote>
  <w:endnote w:type="continuationNotice" w:id="1">
    <w:p w:rsidR="00102D41" w:rsidRDefault="00102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FA1444" w:rsidRPr="00F6519A">
      <w:fldChar w:fldCharType="begin"/>
    </w:r>
    <w:r w:rsidR="00FA1444" w:rsidRPr="00F6519A">
      <w:instrText xml:space="preserve"> PAGE   \* MERGEFORMAT </w:instrText>
    </w:r>
    <w:r w:rsidR="00FA1444" w:rsidRPr="00F6519A">
      <w:fldChar w:fldCharType="separate"/>
    </w:r>
    <w:r w:rsidR="0076351F">
      <w:rPr>
        <w:noProof/>
      </w:rPr>
      <w:t>1</w:t>
    </w:r>
    <w:r w:rsidR="00FA1444" w:rsidRPr="00F65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41" w:rsidRDefault="00102D41">
      <w:r>
        <w:separator/>
      </w:r>
    </w:p>
  </w:footnote>
  <w:footnote w:type="continuationSeparator" w:id="0">
    <w:p w:rsidR="00102D41" w:rsidRDefault="00102D41">
      <w:r>
        <w:continuationSeparator/>
      </w:r>
    </w:p>
  </w:footnote>
  <w:footnote w:type="continuationNotice" w:id="1">
    <w:p w:rsidR="00102D41" w:rsidRDefault="00102D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2D41"/>
    <w:rsid w:val="00106D85"/>
    <w:rsid w:val="00107921"/>
    <w:rsid w:val="001126A8"/>
    <w:rsid w:val="00113C2E"/>
    <w:rsid w:val="00113FC8"/>
    <w:rsid w:val="00117D07"/>
    <w:rsid w:val="00121201"/>
    <w:rsid w:val="001224E8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351F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1DD9-1C45-4B43-968C-4C0BB753F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FF667-F889-42FE-B299-B2D4ACBAC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47889-702B-40FF-A5B7-72A023F173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7BB52B-B337-4FBB-8685-A0D8622D1E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316775-F895-4E8C-B9B0-7727E38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1211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2014-04-14T11:57:00Z</dcterms:created>
  <dcterms:modified xsi:type="dcterms:W3CDTF">2014-04-14T11:57:00Z</dcterms:modified>
</cp:coreProperties>
</file>