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E2B" w:rsidRDefault="00B01E2B" w:rsidP="00B01E2B">
      <w:r>
        <w:rPr>
          <w:rFonts w:ascii="Arial" w:hAnsi="Arial" w:cs="Arial"/>
          <w:b/>
          <w:sz w:val="20"/>
          <w:szCs w:val="20"/>
        </w:rPr>
        <w:t>Table B6. Oral Hypoglycemic Agents: Data A</w:t>
      </w:r>
      <w:r w:rsidRPr="001F2BF1">
        <w:rPr>
          <w:rFonts w:ascii="Arial" w:hAnsi="Arial" w:cs="Arial"/>
          <w:b/>
          <w:sz w:val="20"/>
          <w:szCs w:val="20"/>
        </w:rPr>
        <w:t>bstraction</w:t>
      </w:r>
      <w:r>
        <w:rPr>
          <w:rFonts w:ascii="Arial" w:hAnsi="Arial" w:cs="Arial"/>
          <w:b/>
          <w:sz w:val="20"/>
          <w:szCs w:val="20"/>
        </w:rPr>
        <w:t>, Study Characteristics</w:t>
      </w:r>
    </w:p>
    <w:tbl>
      <w:tblPr>
        <w:tblW w:w="5000" w:type="pct"/>
        <w:shd w:val="clear" w:color="auto" w:fill="FFFFFF"/>
        <w:tblLayout w:type="fixed"/>
        <w:tblLook w:val="04A0"/>
      </w:tblPr>
      <w:tblGrid>
        <w:gridCol w:w="1417"/>
        <w:gridCol w:w="1897"/>
        <w:gridCol w:w="1497"/>
        <w:gridCol w:w="1500"/>
        <w:gridCol w:w="786"/>
        <w:gridCol w:w="15"/>
        <w:gridCol w:w="1201"/>
        <w:gridCol w:w="1859"/>
        <w:gridCol w:w="1237"/>
        <w:gridCol w:w="1704"/>
        <w:gridCol w:w="1503"/>
      </w:tblGrid>
      <w:tr w:rsidR="00B01E2B" w:rsidRPr="002D3E7E" w:rsidTr="00B01E2B">
        <w:trPr>
          <w:cantSplit/>
          <w:tblHeader/>
        </w:trPr>
        <w:tc>
          <w:tcPr>
            <w:tcW w:w="485" w:type="pct"/>
            <w:tcBorders>
              <w:top w:val="single" w:sz="4" w:space="0" w:color="auto"/>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br w:type="page"/>
            </w:r>
            <w:r w:rsidRPr="002D3E7E">
              <w:rPr>
                <w:rFonts w:ascii="Arial" w:eastAsia="Times New Roman" w:hAnsi="Arial" w:cs="Arial"/>
                <w:sz w:val="18"/>
                <w:szCs w:val="18"/>
              </w:rPr>
              <w:t> </w:t>
            </w:r>
          </w:p>
        </w:tc>
        <w:tc>
          <w:tcPr>
            <w:tcW w:w="649" w:type="pct"/>
            <w:tcBorders>
              <w:top w:val="single" w:sz="4" w:space="0" w:color="auto"/>
              <w:left w:val="nil"/>
              <w:bottom w:val="single" w:sz="4" w:space="0" w:color="auto"/>
            </w:tcBorders>
            <w:shd w:val="clear" w:color="auto" w:fill="FFFFFF"/>
            <w:hideMark/>
          </w:tcPr>
          <w:p w:rsidR="00B01E2B" w:rsidRPr="002D3E7E" w:rsidRDefault="00B01E2B" w:rsidP="00B01E2B">
            <w:pPr>
              <w:rPr>
                <w:rFonts w:ascii="Arial" w:eastAsia="Times New Roman" w:hAnsi="Arial" w:cs="Arial"/>
                <w:b/>
                <w:bCs/>
                <w:color w:val="000000"/>
                <w:sz w:val="18"/>
                <w:szCs w:val="18"/>
              </w:rPr>
            </w:pPr>
            <w:r w:rsidRPr="002D3E7E">
              <w:rPr>
                <w:rFonts w:ascii="Arial" w:eastAsia="Times New Roman" w:hAnsi="Arial" w:cs="Arial"/>
                <w:b/>
                <w:bCs/>
                <w:color w:val="000000"/>
                <w:sz w:val="18"/>
                <w:szCs w:val="18"/>
              </w:rPr>
              <w:t>Publication, methods section</w:t>
            </w:r>
          </w:p>
        </w:tc>
        <w:tc>
          <w:tcPr>
            <w:tcW w:w="512" w:type="pct"/>
            <w:tcBorders>
              <w:top w:val="single" w:sz="4" w:space="0" w:color="auto"/>
              <w:bottom w:val="single" w:sz="4" w:space="0" w:color="auto"/>
            </w:tcBorders>
            <w:shd w:val="clear" w:color="auto" w:fill="FFFFFF"/>
          </w:tcPr>
          <w:p w:rsidR="00B01E2B" w:rsidRPr="002D3E7E" w:rsidRDefault="00B01E2B" w:rsidP="00B01E2B">
            <w:pPr>
              <w:rPr>
                <w:rFonts w:ascii="Arial" w:eastAsia="Times New Roman" w:hAnsi="Arial" w:cs="Arial"/>
                <w:b/>
                <w:bCs/>
                <w:color w:val="000000"/>
                <w:sz w:val="18"/>
                <w:szCs w:val="18"/>
              </w:rPr>
            </w:pPr>
          </w:p>
        </w:tc>
        <w:tc>
          <w:tcPr>
            <w:tcW w:w="513" w:type="pct"/>
            <w:tcBorders>
              <w:top w:val="single" w:sz="4" w:space="0" w:color="auto"/>
              <w:bottom w:val="single" w:sz="4" w:space="0" w:color="auto"/>
            </w:tcBorders>
            <w:shd w:val="clear" w:color="auto" w:fill="FFFFFF"/>
          </w:tcPr>
          <w:p w:rsidR="00B01E2B" w:rsidRPr="002D3E7E" w:rsidRDefault="00B01E2B" w:rsidP="00B01E2B">
            <w:pPr>
              <w:rPr>
                <w:rFonts w:ascii="Arial" w:eastAsia="Times New Roman" w:hAnsi="Arial" w:cs="Arial"/>
                <w:b/>
                <w:bCs/>
                <w:color w:val="000000"/>
                <w:sz w:val="18"/>
                <w:szCs w:val="18"/>
              </w:rPr>
            </w:pPr>
          </w:p>
        </w:tc>
        <w:tc>
          <w:tcPr>
            <w:tcW w:w="274" w:type="pct"/>
            <w:gridSpan w:val="2"/>
            <w:tcBorders>
              <w:top w:val="single" w:sz="4" w:space="0" w:color="auto"/>
              <w:bottom w:val="single" w:sz="4" w:space="0" w:color="auto"/>
            </w:tcBorders>
            <w:shd w:val="clear" w:color="auto" w:fill="FFFFFF"/>
          </w:tcPr>
          <w:p w:rsidR="00B01E2B" w:rsidRPr="002D3E7E" w:rsidRDefault="00B01E2B" w:rsidP="00B01E2B">
            <w:pPr>
              <w:rPr>
                <w:rFonts w:ascii="Arial" w:eastAsia="Times New Roman" w:hAnsi="Arial" w:cs="Arial"/>
                <w:b/>
                <w:bCs/>
                <w:color w:val="000000"/>
                <w:sz w:val="18"/>
                <w:szCs w:val="18"/>
              </w:rPr>
            </w:pPr>
          </w:p>
        </w:tc>
        <w:tc>
          <w:tcPr>
            <w:tcW w:w="411" w:type="pct"/>
            <w:tcBorders>
              <w:top w:val="single" w:sz="4" w:space="0" w:color="auto"/>
              <w:bottom w:val="single" w:sz="4" w:space="0" w:color="auto"/>
            </w:tcBorders>
            <w:shd w:val="clear" w:color="auto" w:fill="FFFFFF"/>
          </w:tcPr>
          <w:p w:rsidR="00B01E2B" w:rsidRPr="002D3E7E" w:rsidRDefault="00B01E2B" w:rsidP="00B01E2B">
            <w:pPr>
              <w:rPr>
                <w:rFonts w:ascii="Arial" w:eastAsia="Times New Roman" w:hAnsi="Arial" w:cs="Arial"/>
                <w:b/>
                <w:bCs/>
                <w:color w:val="000000"/>
                <w:sz w:val="18"/>
                <w:szCs w:val="18"/>
              </w:rPr>
            </w:pPr>
          </w:p>
        </w:tc>
        <w:tc>
          <w:tcPr>
            <w:tcW w:w="636" w:type="pct"/>
            <w:tcBorders>
              <w:top w:val="single" w:sz="4" w:space="0" w:color="auto"/>
              <w:bottom w:val="single" w:sz="4" w:space="0" w:color="auto"/>
            </w:tcBorders>
            <w:shd w:val="clear" w:color="auto" w:fill="FFFFFF"/>
          </w:tcPr>
          <w:p w:rsidR="00B01E2B" w:rsidRPr="002D3E7E" w:rsidRDefault="00B01E2B" w:rsidP="00B01E2B">
            <w:pPr>
              <w:rPr>
                <w:rFonts w:ascii="Arial" w:eastAsia="Times New Roman" w:hAnsi="Arial" w:cs="Arial"/>
                <w:b/>
                <w:bCs/>
                <w:color w:val="000000"/>
                <w:sz w:val="18"/>
                <w:szCs w:val="18"/>
              </w:rPr>
            </w:pPr>
          </w:p>
        </w:tc>
        <w:tc>
          <w:tcPr>
            <w:tcW w:w="423" w:type="pct"/>
            <w:tcBorders>
              <w:top w:val="single" w:sz="4" w:space="0" w:color="auto"/>
              <w:bottom w:val="single" w:sz="4" w:space="0" w:color="auto"/>
            </w:tcBorders>
            <w:shd w:val="clear" w:color="auto" w:fill="FFFFFF"/>
          </w:tcPr>
          <w:p w:rsidR="00B01E2B" w:rsidRPr="002D3E7E" w:rsidRDefault="00B01E2B" w:rsidP="00B01E2B">
            <w:pPr>
              <w:rPr>
                <w:rFonts w:ascii="Arial" w:eastAsia="Times New Roman" w:hAnsi="Arial" w:cs="Arial"/>
                <w:b/>
                <w:bCs/>
                <w:color w:val="000000"/>
                <w:sz w:val="18"/>
                <w:szCs w:val="18"/>
              </w:rPr>
            </w:pPr>
          </w:p>
        </w:tc>
        <w:tc>
          <w:tcPr>
            <w:tcW w:w="583" w:type="pct"/>
            <w:tcBorders>
              <w:top w:val="single" w:sz="4" w:space="0" w:color="auto"/>
              <w:bottom w:val="single" w:sz="4" w:space="0" w:color="auto"/>
            </w:tcBorders>
            <w:shd w:val="clear" w:color="auto" w:fill="FFFFFF"/>
          </w:tcPr>
          <w:p w:rsidR="00B01E2B" w:rsidRPr="002D3E7E" w:rsidRDefault="00B01E2B" w:rsidP="00B01E2B">
            <w:pPr>
              <w:rPr>
                <w:rFonts w:ascii="Arial" w:eastAsia="Times New Roman" w:hAnsi="Arial" w:cs="Arial"/>
                <w:b/>
                <w:bCs/>
                <w:color w:val="000000"/>
                <w:sz w:val="18"/>
                <w:szCs w:val="18"/>
              </w:rPr>
            </w:pPr>
          </w:p>
        </w:tc>
        <w:tc>
          <w:tcPr>
            <w:tcW w:w="514" w:type="pct"/>
            <w:tcBorders>
              <w:top w:val="single" w:sz="4" w:space="0" w:color="auto"/>
              <w:bottom w:val="single" w:sz="4" w:space="0" w:color="auto"/>
              <w:right w:val="single" w:sz="4" w:space="0" w:color="auto"/>
            </w:tcBorders>
            <w:shd w:val="clear" w:color="auto" w:fill="FFFFFF"/>
          </w:tcPr>
          <w:p w:rsidR="00B01E2B" w:rsidRPr="002D3E7E" w:rsidRDefault="00B01E2B" w:rsidP="00B01E2B">
            <w:pPr>
              <w:rPr>
                <w:rFonts w:ascii="Arial" w:eastAsia="Times New Roman" w:hAnsi="Arial" w:cs="Arial"/>
                <w:b/>
                <w:bCs/>
                <w:color w:val="000000"/>
                <w:sz w:val="18"/>
                <w:szCs w:val="18"/>
              </w:rPr>
            </w:pPr>
          </w:p>
        </w:tc>
      </w:tr>
      <w:tr w:rsidR="00B01E2B" w:rsidRPr="002D3E7E" w:rsidTr="00B01E2B">
        <w:trPr>
          <w:cantSplit/>
          <w:tblHeader/>
        </w:trPr>
        <w:tc>
          <w:tcPr>
            <w:tcW w:w="485" w:type="pct"/>
            <w:tcBorders>
              <w:top w:val="nil"/>
              <w:left w:val="single" w:sz="4" w:space="0" w:color="auto"/>
              <w:bottom w:val="single" w:sz="4" w:space="0" w:color="auto"/>
              <w:right w:val="single" w:sz="4" w:space="0" w:color="auto"/>
            </w:tcBorders>
            <w:shd w:val="clear" w:color="auto" w:fill="FFFFFF"/>
            <w:vAlign w:val="bottom"/>
            <w:hideMark/>
          </w:tcPr>
          <w:p w:rsidR="00B01E2B" w:rsidRPr="002D3E7E" w:rsidRDefault="00B01E2B" w:rsidP="00B01E2B">
            <w:pPr>
              <w:rPr>
                <w:rFonts w:ascii="Arial" w:eastAsia="Times New Roman" w:hAnsi="Arial" w:cs="Arial"/>
                <w:b/>
                <w:bCs/>
                <w:color w:val="000000"/>
                <w:sz w:val="18"/>
                <w:szCs w:val="18"/>
              </w:rPr>
            </w:pPr>
            <w:r w:rsidRPr="002D3E7E">
              <w:rPr>
                <w:rFonts w:ascii="Arial" w:eastAsia="Times New Roman" w:hAnsi="Arial" w:cs="Arial"/>
                <w:b/>
                <w:bCs/>
                <w:color w:val="000000"/>
                <w:sz w:val="18"/>
                <w:szCs w:val="18"/>
              </w:rPr>
              <w:t>Author, year</w:t>
            </w:r>
          </w:p>
        </w:tc>
        <w:tc>
          <w:tcPr>
            <w:tcW w:w="649" w:type="pct"/>
            <w:tcBorders>
              <w:top w:val="nil"/>
              <w:left w:val="nil"/>
              <w:bottom w:val="single" w:sz="4" w:space="0" w:color="auto"/>
              <w:right w:val="single" w:sz="4" w:space="0" w:color="auto"/>
            </w:tcBorders>
            <w:shd w:val="clear" w:color="auto" w:fill="FFFFFF"/>
            <w:vAlign w:val="bottom"/>
            <w:hideMark/>
          </w:tcPr>
          <w:p w:rsidR="00B01E2B" w:rsidRPr="002D3E7E" w:rsidRDefault="00B01E2B" w:rsidP="00B01E2B">
            <w:pPr>
              <w:rPr>
                <w:rFonts w:ascii="Arial" w:eastAsia="Times New Roman" w:hAnsi="Arial" w:cs="Arial"/>
                <w:b/>
                <w:bCs/>
                <w:color w:val="000000"/>
                <w:sz w:val="18"/>
                <w:szCs w:val="18"/>
              </w:rPr>
            </w:pPr>
            <w:r w:rsidRPr="002D3E7E">
              <w:rPr>
                <w:rFonts w:ascii="Arial" w:eastAsia="Times New Roman" w:hAnsi="Arial" w:cs="Arial"/>
                <w:b/>
                <w:bCs/>
                <w:color w:val="000000"/>
                <w:sz w:val="18"/>
                <w:szCs w:val="18"/>
              </w:rPr>
              <w:t>Study design</w:t>
            </w:r>
          </w:p>
        </w:tc>
        <w:tc>
          <w:tcPr>
            <w:tcW w:w="512" w:type="pct"/>
            <w:tcBorders>
              <w:top w:val="nil"/>
              <w:left w:val="nil"/>
              <w:bottom w:val="single" w:sz="4" w:space="0" w:color="auto"/>
              <w:right w:val="single" w:sz="4" w:space="0" w:color="auto"/>
            </w:tcBorders>
            <w:shd w:val="clear" w:color="auto" w:fill="FFFFFF"/>
            <w:vAlign w:val="bottom"/>
            <w:hideMark/>
          </w:tcPr>
          <w:p w:rsidR="00B01E2B" w:rsidRPr="002D3E7E" w:rsidRDefault="00B01E2B" w:rsidP="00B01E2B">
            <w:pPr>
              <w:rPr>
                <w:rFonts w:ascii="Arial" w:eastAsia="Times New Roman" w:hAnsi="Arial" w:cs="Arial"/>
                <w:b/>
                <w:bCs/>
                <w:color w:val="000000"/>
                <w:sz w:val="18"/>
                <w:szCs w:val="18"/>
              </w:rPr>
            </w:pPr>
            <w:r w:rsidRPr="002D3E7E">
              <w:rPr>
                <w:rFonts w:ascii="Arial" w:eastAsia="Times New Roman" w:hAnsi="Arial" w:cs="Arial"/>
                <w:b/>
                <w:bCs/>
                <w:color w:val="000000"/>
                <w:sz w:val="18"/>
                <w:szCs w:val="18"/>
              </w:rPr>
              <w:t>Intervention</w:t>
            </w:r>
          </w:p>
        </w:tc>
        <w:tc>
          <w:tcPr>
            <w:tcW w:w="513" w:type="pct"/>
            <w:tcBorders>
              <w:top w:val="nil"/>
              <w:left w:val="nil"/>
              <w:bottom w:val="single" w:sz="4" w:space="0" w:color="auto"/>
              <w:right w:val="single" w:sz="4" w:space="0" w:color="auto"/>
            </w:tcBorders>
            <w:shd w:val="clear" w:color="auto" w:fill="FFFFFF"/>
            <w:vAlign w:val="bottom"/>
            <w:hideMark/>
          </w:tcPr>
          <w:p w:rsidR="00B01E2B" w:rsidRPr="002D3E7E" w:rsidRDefault="00B01E2B" w:rsidP="00B01E2B">
            <w:pPr>
              <w:rPr>
                <w:rFonts w:ascii="Arial" w:eastAsia="Times New Roman" w:hAnsi="Arial" w:cs="Arial"/>
                <w:b/>
                <w:bCs/>
                <w:color w:val="000000"/>
                <w:sz w:val="18"/>
                <w:szCs w:val="18"/>
              </w:rPr>
            </w:pPr>
            <w:r w:rsidRPr="002D3E7E">
              <w:rPr>
                <w:rFonts w:ascii="Arial" w:eastAsia="Times New Roman" w:hAnsi="Arial" w:cs="Arial"/>
                <w:b/>
                <w:bCs/>
                <w:color w:val="000000"/>
                <w:sz w:val="18"/>
                <w:szCs w:val="18"/>
              </w:rPr>
              <w:t>Comparison</w:t>
            </w:r>
          </w:p>
        </w:tc>
        <w:tc>
          <w:tcPr>
            <w:tcW w:w="269" w:type="pct"/>
            <w:tcBorders>
              <w:top w:val="nil"/>
              <w:left w:val="nil"/>
              <w:bottom w:val="single" w:sz="4" w:space="0" w:color="auto"/>
              <w:right w:val="single" w:sz="4" w:space="0" w:color="auto"/>
            </w:tcBorders>
            <w:shd w:val="clear" w:color="auto" w:fill="FFFFFF"/>
            <w:vAlign w:val="bottom"/>
            <w:hideMark/>
          </w:tcPr>
          <w:p w:rsidR="00B01E2B" w:rsidRPr="002D3E7E" w:rsidRDefault="00B01E2B" w:rsidP="00B01E2B">
            <w:pPr>
              <w:rPr>
                <w:rFonts w:ascii="Arial" w:eastAsia="Times New Roman" w:hAnsi="Arial" w:cs="Arial"/>
                <w:b/>
                <w:bCs/>
                <w:color w:val="000000"/>
                <w:sz w:val="18"/>
                <w:szCs w:val="18"/>
              </w:rPr>
            </w:pPr>
            <w:r w:rsidRPr="002D3E7E">
              <w:rPr>
                <w:rFonts w:ascii="Arial" w:eastAsia="Times New Roman" w:hAnsi="Arial" w:cs="Arial"/>
                <w:b/>
                <w:bCs/>
                <w:color w:val="000000"/>
                <w:sz w:val="18"/>
                <w:szCs w:val="18"/>
              </w:rPr>
              <w:t>Total N</w:t>
            </w:r>
          </w:p>
        </w:tc>
        <w:tc>
          <w:tcPr>
            <w:tcW w:w="416" w:type="pct"/>
            <w:gridSpan w:val="2"/>
            <w:tcBorders>
              <w:top w:val="nil"/>
              <w:left w:val="nil"/>
              <w:bottom w:val="single" w:sz="4" w:space="0" w:color="auto"/>
              <w:right w:val="single" w:sz="4" w:space="0" w:color="auto"/>
            </w:tcBorders>
            <w:shd w:val="clear" w:color="auto" w:fill="FFFFFF"/>
            <w:vAlign w:val="bottom"/>
            <w:hideMark/>
          </w:tcPr>
          <w:p w:rsidR="00B01E2B" w:rsidRPr="002D3E7E" w:rsidRDefault="00B01E2B" w:rsidP="00B01E2B">
            <w:pPr>
              <w:rPr>
                <w:rFonts w:ascii="Arial" w:eastAsia="Times New Roman" w:hAnsi="Arial" w:cs="Arial"/>
                <w:b/>
                <w:bCs/>
                <w:color w:val="000000"/>
                <w:sz w:val="18"/>
                <w:szCs w:val="18"/>
              </w:rPr>
            </w:pPr>
            <w:r w:rsidRPr="002D3E7E">
              <w:rPr>
                <w:rFonts w:ascii="Arial" w:eastAsia="Times New Roman" w:hAnsi="Arial" w:cs="Arial"/>
                <w:b/>
                <w:bCs/>
                <w:color w:val="000000"/>
                <w:sz w:val="18"/>
                <w:szCs w:val="18"/>
              </w:rPr>
              <w:t>Primary outcome stated in the study (relevant to index outcome)</w:t>
            </w:r>
          </w:p>
        </w:tc>
        <w:tc>
          <w:tcPr>
            <w:tcW w:w="636" w:type="pct"/>
            <w:tcBorders>
              <w:top w:val="nil"/>
              <w:left w:val="nil"/>
              <w:bottom w:val="single" w:sz="4" w:space="0" w:color="auto"/>
              <w:right w:val="single" w:sz="4" w:space="0" w:color="auto"/>
            </w:tcBorders>
            <w:shd w:val="clear" w:color="auto" w:fill="FFFFFF"/>
            <w:vAlign w:val="bottom"/>
            <w:hideMark/>
          </w:tcPr>
          <w:p w:rsidR="00B01E2B" w:rsidRPr="002D3E7E" w:rsidRDefault="00B01E2B" w:rsidP="00B01E2B">
            <w:pPr>
              <w:rPr>
                <w:rFonts w:ascii="Arial" w:eastAsia="Times New Roman" w:hAnsi="Arial" w:cs="Arial"/>
                <w:b/>
                <w:bCs/>
                <w:color w:val="000000"/>
                <w:sz w:val="18"/>
                <w:szCs w:val="18"/>
              </w:rPr>
            </w:pPr>
            <w:r w:rsidRPr="002D3E7E">
              <w:rPr>
                <w:rFonts w:ascii="Arial" w:eastAsia="Times New Roman" w:hAnsi="Arial" w:cs="Arial"/>
                <w:b/>
                <w:bCs/>
                <w:color w:val="000000"/>
                <w:sz w:val="18"/>
                <w:szCs w:val="18"/>
              </w:rPr>
              <w:t>Relevant secondary outcomes (relevant to index outcome)</w:t>
            </w:r>
          </w:p>
        </w:tc>
        <w:tc>
          <w:tcPr>
            <w:tcW w:w="423" w:type="pct"/>
            <w:tcBorders>
              <w:top w:val="nil"/>
              <w:left w:val="nil"/>
              <w:bottom w:val="single" w:sz="4" w:space="0" w:color="auto"/>
              <w:right w:val="single" w:sz="4" w:space="0" w:color="auto"/>
            </w:tcBorders>
            <w:shd w:val="clear" w:color="auto" w:fill="FFFFFF"/>
            <w:vAlign w:val="bottom"/>
            <w:hideMark/>
          </w:tcPr>
          <w:p w:rsidR="00B01E2B" w:rsidRPr="002D3E7E" w:rsidRDefault="00B01E2B" w:rsidP="00B01E2B">
            <w:pPr>
              <w:rPr>
                <w:rFonts w:ascii="Arial" w:eastAsia="Times New Roman" w:hAnsi="Arial" w:cs="Arial"/>
                <w:b/>
                <w:bCs/>
                <w:color w:val="000000"/>
                <w:sz w:val="18"/>
                <w:szCs w:val="18"/>
              </w:rPr>
            </w:pPr>
            <w:r>
              <w:rPr>
                <w:rFonts w:ascii="Arial" w:eastAsia="Times New Roman" w:hAnsi="Arial" w:cs="Arial"/>
                <w:b/>
                <w:bCs/>
                <w:color w:val="000000"/>
                <w:sz w:val="18"/>
                <w:szCs w:val="18"/>
              </w:rPr>
              <w:t>Follow</w:t>
            </w:r>
            <w:r w:rsidRPr="002D3E7E">
              <w:rPr>
                <w:rFonts w:ascii="Arial" w:eastAsia="Times New Roman" w:hAnsi="Arial" w:cs="Arial"/>
                <w:b/>
                <w:bCs/>
                <w:color w:val="000000"/>
                <w:sz w:val="18"/>
                <w:szCs w:val="18"/>
              </w:rPr>
              <w:t>up intervals (weeks)</w:t>
            </w:r>
            <w:r w:rsidRPr="002D3E7E">
              <w:rPr>
                <w:rFonts w:ascii="Arial" w:eastAsia="Times New Roman" w:hAnsi="Arial" w:cs="Arial"/>
                <w:b/>
                <w:bCs/>
                <w:color w:val="000000"/>
                <w:sz w:val="18"/>
                <w:szCs w:val="18"/>
              </w:rPr>
              <w:br/>
            </w:r>
            <w:r w:rsidRPr="002D3E7E">
              <w:rPr>
                <w:rFonts w:ascii="Arial" w:eastAsia="Times New Roman" w:hAnsi="Arial" w:cs="Arial"/>
                <w:b/>
                <w:bCs/>
                <w:color w:val="000000"/>
                <w:sz w:val="18"/>
                <w:szCs w:val="18"/>
              </w:rPr>
              <w:br/>
              <w:t>F/U 1</w:t>
            </w:r>
            <w:r w:rsidRPr="002D3E7E">
              <w:rPr>
                <w:rFonts w:ascii="Arial" w:eastAsia="Times New Roman" w:hAnsi="Arial" w:cs="Arial"/>
                <w:b/>
                <w:bCs/>
                <w:color w:val="000000"/>
                <w:sz w:val="18"/>
                <w:szCs w:val="18"/>
              </w:rPr>
              <w:br/>
            </w:r>
            <w:r w:rsidRPr="002D3E7E">
              <w:rPr>
                <w:rFonts w:ascii="Arial" w:eastAsia="Times New Roman" w:hAnsi="Arial" w:cs="Arial"/>
                <w:b/>
                <w:bCs/>
                <w:color w:val="000000"/>
                <w:sz w:val="18"/>
                <w:szCs w:val="18"/>
              </w:rPr>
              <w:br/>
              <w:t>F/U 2</w:t>
            </w:r>
            <w:r w:rsidRPr="002D3E7E">
              <w:rPr>
                <w:rFonts w:ascii="Arial" w:eastAsia="Times New Roman" w:hAnsi="Arial" w:cs="Arial"/>
                <w:b/>
                <w:bCs/>
                <w:color w:val="000000"/>
                <w:sz w:val="18"/>
                <w:szCs w:val="18"/>
              </w:rPr>
              <w:br/>
            </w:r>
            <w:r w:rsidRPr="002D3E7E">
              <w:rPr>
                <w:rFonts w:ascii="Arial" w:eastAsia="Times New Roman" w:hAnsi="Arial" w:cs="Arial"/>
                <w:b/>
                <w:bCs/>
                <w:color w:val="000000"/>
                <w:sz w:val="18"/>
                <w:szCs w:val="18"/>
              </w:rPr>
              <w:br/>
              <w:t>F/U 3</w:t>
            </w:r>
          </w:p>
        </w:tc>
        <w:tc>
          <w:tcPr>
            <w:tcW w:w="583" w:type="pct"/>
            <w:tcBorders>
              <w:top w:val="nil"/>
              <w:left w:val="nil"/>
              <w:bottom w:val="single" w:sz="4" w:space="0" w:color="auto"/>
              <w:right w:val="single" w:sz="4" w:space="0" w:color="auto"/>
            </w:tcBorders>
            <w:shd w:val="clear" w:color="auto" w:fill="FFFFFF"/>
            <w:vAlign w:val="bottom"/>
            <w:hideMark/>
          </w:tcPr>
          <w:p w:rsidR="00B01E2B" w:rsidRPr="002D3E7E" w:rsidRDefault="00B01E2B" w:rsidP="00B01E2B">
            <w:pPr>
              <w:rPr>
                <w:rFonts w:ascii="Arial" w:eastAsia="Times New Roman" w:hAnsi="Arial" w:cs="Arial"/>
                <w:b/>
                <w:bCs/>
                <w:color w:val="000000"/>
                <w:sz w:val="18"/>
                <w:szCs w:val="18"/>
              </w:rPr>
            </w:pPr>
            <w:r w:rsidRPr="002D3E7E">
              <w:rPr>
                <w:rFonts w:ascii="Arial" w:eastAsia="Times New Roman" w:hAnsi="Arial" w:cs="Arial"/>
                <w:b/>
                <w:bCs/>
                <w:color w:val="000000"/>
                <w:sz w:val="18"/>
                <w:szCs w:val="18"/>
              </w:rPr>
              <w:t>Analysis set (definition from study)</w:t>
            </w:r>
            <w:r w:rsidRPr="002D3E7E">
              <w:rPr>
                <w:rFonts w:ascii="Arial" w:eastAsia="Times New Roman" w:hAnsi="Arial" w:cs="Arial"/>
                <w:b/>
                <w:bCs/>
                <w:color w:val="000000"/>
                <w:sz w:val="18"/>
                <w:szCs w:val="18"/>
              </w:rPr>
              <w:br/>
            </w:r>
            <w:r w:rsidRPr="002D3E7E">
              <w:rPr>
                <w:rFonts w:ascii="Arial" w:eastAsia="Times New Roman" w:hAnsi="Arial" w:cs="Arial"/>
                <w:b/>
                <w:bCs/>
                <w:color w:val="000000"/>
                <w:sz w:val="18"/>
                <w:szCs w:val="18"/>
              </w:rPr>
              <w:br/>
              <w:t>Definition of analysis set</w:t>
            </w:r>
          </w:p>
        </w:tc>
        <w:tc>
          <w:tcPr>
            <w:tcW w:w="514" w:type="pct"/>
            <w:tcBorders>
              <w:top w:val="nil"/>
              <w:left w:val="nil"/>
              <w:bottom w:val="single" w:sz="4" w:space="0" w:color="auto"/>
              <w:right w:val="single" w:sz="4" w:space="0" w:color="auto"/>
            </w:tcBorders>
            <w:shd w:val="clear" w:color="auto" w:fill="FFFFFF"/>
            <w:vAlign w:val="bottom"/>
            <w:hideMark/>
          </w:tcPr>
          <w:p w:rsidR="00B01E2B" w:rsidRPr="002D3E7E" w:rsidRDefault="00B01E2B" w:rsidP="00B01E2B">
            <w:pPr>
              <w:rPr>
                <w:rFonts w:ascii="Arial" w:eastAsia="Times New Roman" w:hAnsi="Arial" w:cs="Arial"/>
                <w:b/>
                <w:bCs/>
                <w:color w:val="000000"/>
                <w:sz w:val="18"/>
                <w:szCs w:val="18"/>
              </w:rPr>
            </w:pPr>
            <w:r w:rsidRPr="002D3E7E">
              <w:rPr>
                <w:rFonts w:ascii="Arial" w:eastAsia="Times New Roman" w:hAnsi="Arial" w:cs="Arial"/>
                <w:b/>
                <w:bCs/>
                <w:color w:val="000000"/>
                <w:sz w:val="18"/>
                <w:szCs w:val="18"/>
              </w:rPr>
              <w:t>How handled missing values</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Aschner 2010</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Non-inferiority, parallel group</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Sitagliptin</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Metformin</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1050</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HbA1c change from baseline at week 24</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Proportions of patients with HbA1c &lt;7 or&lt;6.5%</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24</w:t>
            </w:r>
            <w:r w:rsidRPr="002D3E7E">
              <w:rPr>
                <w:rFonts w:ascii="Arial" w:eastAsia="Times New Roman" w:hAnsi="Arial" w:cs="Arial"/>
                <w:sz w:val="18"/>
                <w:szCs w:val="18"/>
              </w:rPr>
              <w:br/>
            </w:r>
            <w:r w:rsidRPr="002D3E7E">
              <w:rPr>
                <w:rFonts w:ascii="Arial" w:eastAsia="Times New Roman" w:hAnsi="Arial" w:cs="Arial"/>
                <w:sz w:val="18"/>
                <w:szCs w:val="18"/>
              </w:rPr>
              <w:br/>
              <w:t>NA</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PP; Secondary analyses was FAS (all randomized patients with 1+ study drug dose and B/ and 1+ F/U measures) </w:t>
            </w:r>
            <w:r w:rsidRPr="002D3E7E">
              <w:rPr>
                <w:rFonts w:ascii="Arial" w:eastAsia="Times New Roman" w:hAnsi="Arial" w:cs="Arial"/>
                <w:sz w:val="18"/>
                <w:szCs w:val="18"/>
              </w:rPr>
              <w:br/>
            </w:r>
            <w:r w:rsidRPr="002D3E7E">
              <w:rPr>
                <w:rFonts w:ascii="Arial" w:eastAsia="Times New Roman" w:hAnsi="Arial" w:cs="Arial"/>
                <w:sz w:val="18"/>
                <w:szCs w:val="18"/>
              </w:rPr>
              <w:br/>
              <w:t>Patients who completed the study and did not have any reasons for exclusion from this population, including absence of baseline or on-treatment data at the week 24 visit or major protocol violations (e.g. drug compliance &lt;75%, addition of non-study antihypergly</w:t>
            </w:r>
            <w:r>
              <w:rPr>
                <w:rFonts w:ascii="Arial" w:eastAsia="Times New Roman" w:hAnsi="Arial" w:cs="Arial"/>
                <w:sz w:val="18"/>
                <w:szCs w:val="18"/>
              </w:rPr>
              <w:t>-c</w:t>
            </w:r>
            <w:r w:rsidRPr="002D3E7E">
              <w:rPr>
                <w:rFonts w:ascii="Arial" w:eastAsia="Times New Roman" w:hAnsi="Arial" w:cs="Arial"/>
                <w:sz w:val="18"/>
                <w:szCs w:val="18"/>
              </w:rPr>
              <w:t>emic agent or incorrect double</w:t>
            </w:r>
            <w:r>
              <w:rPr>
                <w:rFonts w:ascii="Arial" w:eastAsia="Times New Roman" w:hAnsi="Arial" w:cs="Arial"/>
                <w:sz w:val="18"/>
                <w:szCs w:val="18"/>
              </w:rPr>
              <w:t>-</w:t>
            </w:r>
            <w:r w:rsidRPr="002D3E7E">
              <w:rPr>
                <w:rFonts w:ascii="Arial" w:eastAsia="Times New Roman" w:hAnsi="Arial" w:cs="Arial"/>
                <w:sz w:val="18"/>
                <w:szCs w:val="18"/>
              </w:rPr>
              <w:t>blind study medication). Also could be excluded for lack of efficacy</w:t>
            </w:r>
            <w:r>
              <w:rPr>
                <w:rFonts w:ascii="Arial" w:eastAsia="Times New Roman" w:hAnsi="Arial" w:cs="Arial"/>
                <w:sz w:val="18"/>
                <w:szCs w:val="18"/>
              </w:rPr>
              <w:t>.</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LOCF</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color w:val="000000"/>
                <w:sz w:val="18"/>
                <w:szCs w:val="18"/>
              </w:rPr>
            </w:pPr>
            <w:r w:rsidRPr="002D3E7E">
              <w:rPr>
                <w:rFonts w:ascii="Arial" w:eastAsia="Times New Roman" w:hAnsi="Arial" w:cs="Arial"/>
                <w:color w:val="000000"/>
                <w:sz w:val="18"/>
                <w:szCs w:val="18"/>
              </w:rPr>
              <w:lastRenderedPageBreak/>
              <w:t>Bakris 2006</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color w:val="000000"/>
                <w:sz w:val="18"/>
                <w:szCs w:val="18"/>
              </w:rPr>
            </w:pPr>
            <w:r w:rsidRPr="002D3E7E">
              <w:rPr>
                <w:rFonts w:ascii="Arial" w:eastAsia="Times New Roman" w:hAnsi="Arial" w:cs="Arial"/>
                <w:color w:val="000000"/>
                <w:sz w:val="18"/>
                <w:szCs w:val="18"/>
              </w:rPr>
              <w:t>Parallel group, double-blind, superiority</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color w:val="000000"/>
                <w:sz w:val="18"/>
                <w:szCs w:val="18"/>
              </w:rPr>
            </w:pPr>
            <w:r w:rsidRPr="002D3E7E">
              <w:rPr>
                <w:rFonts w:ascii="Arial" w:eastAsia="Times New Roman" w:hAnsi="Arial" w:cs="Arial"/>
                <w:color w:val="000000"/>
                <w:sz w:val="18"/>
                <w:szCs w:val="18"/>
              </w:rPr>
              <w:t xml:space="preserve">Rosiglitazone plus metformin </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color w:val="000000"/>
                <w:sz w:val="18"/>
                <w:szCs w:val="18"/>
              </w:rPr>
            </w:pPr>
            <w:r w:rsidRPr="002D3E7E">
              <w:rPr>
                <w:rFonts w:ascii="Arial" w:eastAsia="Times New Roman" w:hAnsi="Arial" w:cs="Arial"/>
                <w:color w:val="000000"/>
                <w:sz w:val="18"/>
                <w:szCs w:val="18"/>
              </w:rPr>
              <w:t>Glyburide plus metformin</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color w:val="000000"/>
                <w:sz w:val="18"/>
                <w:szCs w:val="18"/>
              </w:rPr>
            </w:pPr>
            <w:r w:rsidRPr="002D3E7E">
              <w:rPr>
                <w:rFonts w:ascii="Arial" w:eastAsia="Times New Roman" w:hAnsi="Arial" w:cs="Arial"/>
                <w:color w:val="000000"/>
                <w:sz w:val="18"/>
                <w:szCs w:val="18"/>
              </w:rPr>
              <w:t>389</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None</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color w:val="000000"/>
                <w:sz w:val="18"/>
                <w:szCs w:val="18"/>
              </w:rPr>
            </w:pPr>
            <w:r w:rsidRPr="002D3E7E">
              <w:rPr>
                <w:rFonts w:ascii="Arial" w:eastAsia="Times New Roman" w:hAnsi="Arial" w:cs="Arial"/>
                <w:color w:val="000000"/>
                <w:sz w:val="18"/>
                <w:szCs w:val="18"/>
              </w:rPr>
              <w:t>Additional pharmacodynamic end points included change from baseline at week 32 in HbA1c</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color w:val="000000"/>
                <w:sz w:val="18"/>
                <w:szCs w:val="18"/>
              </w:rPr>
            </w:pPr>
            <w:r w:rsidRPr="002D3E7E">
              <w:rPr>
                <w:rFonts w:ascii="Arial" w:eastAsia="Times New Roman" w:hAnsi="Arial" w:cs="Arial"/>
                <w:color w:val="000000"/>
                <w:sz w:val="18"/>
                <w:szCs w:val="18"/>
              </w:rPr>
              <w:t>32</w:t>
            </w:r>
            <w:r w:rsidRPr="002D3E7E">
              <w:rPr>
                <w:rFonts w:ascii="Arial" w:eastAsia="Times New Roman" w:hAnsi="Arial" w:cs="Arial"/>
                <w:color w:val="000000"/>
                <w:sz w:val="18"/>
                <w:szCs w:val="18"/>
              </w:rPr>
              <w:br/>
            </w:r>
            <w:r w:rsidRPr="002D3E7E">
              <w:rPr>
                <w:rFonts w:ascii="Arial" w:eastAsia="Times New Roman" w:hAnsi="Arial" w:cs="Arial"/>
                <w:color w:val="000000"/>
                <w:sz w:val="18"/>
                <w:szCs w:val="18"/>
              </w:rPr>
              <w:br/>
              <w:t>NA</w:t>
            </w:r>
            <w:r w:rsidRPr="002D3E7E">
              <w:rPr>
                <w:rFonts w:ascii="Arial" w:eastAsia="Times New Roman" w:hAnsi="Arial" w:cs="Arial"/>
                <w:color w:val="000000"/>
                <w:sz w:val="18"/>
                <w:szCs w:val="18"/>
              </w:rPr>
              <w:br/>
            </w:r>
            <w:r w:rsidRPr="002D3E7E">
              <w:rPr>
                <w:rFonts w:ascii="Arial" w:eastAsia="Times New Roman" w:hAnsi="Arial" w:cs="Arial"/>
                <w:color w:val="000000"/>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color w:val="000000"/>
                <w:sz w:val="18"/>
                <w:szCs w:val="18"/>
              </w:rPr>
            </w:pPr>
            <w:r w:rsidRPr="002D3E7E">
              <w:rPr>
                <w:rFonts w:ascii="Arial" w:eastAsia="Times New Roman" w:hAnsi="Arial" w:cs="Arial"/>
                <w:color w:val="000000"/>
                <w:sz w:val="18"/>
                <w:szCs w:val="18"/>
              </w:rPr>
              <w:t>ITT</w:t>
            </w:r>
            <w:r w:rsidRPr="002D3E7E">
              <w:rPr>
                <w:rFonts w:ascii="Arial" w:eastAsia="Times New Roman" w:hAnsi="Arial" w:cs="Arial"/>
                <w:color w:val="000000"/>
                <w:sz w:val="18"/>
                <w:szCs w:val="18"/>
              </w:rPr>
              <w:br/>
            </w:r>
            <w:r w:rsidRPr="002D3E7E">
              <w:rPr>
                <w:rFonts w:ascii="Arial" w:eastAsia="Times New Roman" w:hAnsi="Arial" w:cs="Arial"/>
                <w:color w:val="000000"/>
                <w:sz w:val="18"/>
                <w:szCs w:val="18"/>
              </w:rPr>
              <w:br/>
              <w:t>All randomized patients who had at least one postbaseline data point for any efficacy parameter; for the secondary population (completers) ITT population with no use of LOCF</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color w:val="000000"/>
                <w:sz w:val="18"/>
                <w:szCs w:val="18"/>
              </w:rPr>
            </w:pPr>
            <w:r w:rsidRPr="002D3E7E">
              <w:rPr>
                <w:rFonts w:ascii="Arial" w:eastAsia="Times New Roman" w:hAnsi="Arial" w:cs="Arial"/>
                <w:color w:val="000000"/>
                <w:sz w:val="18"/>
                <w:szCs w:val="18"/>
              </w:rPr>
              <w:t>LOCF</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Bunck 2009</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Parallel group, open label</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Exenatide plus metformin</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Insulin glargine plus metformin</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69</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None</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Glycemic control</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52</w:t>
            </w:r>
            <w:r w:rsidRPr="002D3E7E">
              <w:rPr>
                <w:rFonts w:ascii="Arial" w:eastAsia="Times New Roman" w:hAnsi="Arial" w:cs="Arial"/>
                <w:sz w:val="18"/>
                <w:szCs w:val="18"/>
              </w:rPr>
              <w:br/>
            </w:r>
            <w:r w:rsidRPr="002D3E7E">
              <w:rPr>
                <w:rFonts w:ascii="Arial" w:eastAsia="Times New Roman" w:hAnsi="Arial" w:cs="Arial"/>
                <w:sz w:val="18"/>
                <w:szCs w:val="18"/>
              </w:rPr>
              <w:br/>
              <w:t>64 (for A1c and body weight)</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NR in methods section; ITT listed in flow diagram</w:t>
            </w:r>
            <w:r w:rsidRPr="002D3E7E">
              <w:rPr>
                <w:rFonts w:ascii="Arial" w:eastAsia="Times New Roman" w:hAnsi="Arial" w:cs="Arial"/>
                <w:sz w:val="18"/>
                <w:szCs w:val="18"/>
              </w:rPr>
              <w:br/>
            </w:r>
            <w:r w:rsidRPr="002D3E7E">
              <w:rPr>
                <w:rFonts w:ascii="Arial" w:eastAsia="Times New Roman" w:hAnsi="Arial" w:cs="Arial"/>
                <w:sz w:val="18"/>
                <w:szCs w:val="18"/>
              </w:rPr>
              <w:br/>
              <w:t>NR</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NR</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lastRenderedPageBreak/>
              <w:t>Defronzo 2009</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Parallel group trial</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Saxagliptin plus metformin</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Metformin plus placebo</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743</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Change from baseline in A1C to week 24</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Percentage of patients at the glycemic target (defined as A1C &lt;7.0%)</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24</w:t>
            </w:r>
            <w:r w:rsidRPr="002D3E7E">
              <w:rPr>
                <w:rFonts w:ascii="Arial" w:eastAsia="Times New Roman" w:hAnsi="Arial" w:cs="Arial"/>
                <w:sz w:val="18"/>
                <w:szCs w:val="18"/>
              </w:rPr>
              <w:br/>
            </w:r>
            <w:r w:rsidRPr="002D3E7E">
              <w:rPr>
                <w:rFonts w:ascii="Arial" w:eastAsia="Times New Roman" w:hAnsi="Arial" w:cs="Arial"/>
                <w:sz w:val="18"/>
                <w:szCs w:val="18"/>
              </w:rPr>
              <w:br/>
              <w:t>42-month long term extension</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Efficacy analyses were performed on the randomly assigned patient population </w:t>
            </w:r>
            <w:r w:rsidRPr="002D3E7E">
              <w:rPr>
                <w:rFonts w:ascii="Arial" w:eastAsia="Times New Roman" w:hAnsi="Arial" w:cs="Arial"/>
                <w:sz w:val="18"/>
                <w:szCs w:val="18"/>
              </w:rPr>
              <w:br/>
            </w:r>
            <w:r w:rsidRPr="002D3E7E">
              <w:rPr>
                <w:rFonts w:ascii="Arial" w:eastAsia="Times New Roman" w:hAnsi="Arial" w:cs="Arial"/>
                <w:sz w:val="18"/>
                <w:szCs w:val="18"/>
              </w:rPr>
              <w:br/>
              <w:t>Consisting of randomly assigned patients who received at least one dose of study medication and had a baseline and at least one postbaseline measurement</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LOCF</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Defronzo 2010</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Parallel group, open label</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Exenatide injection </w:t>
            </w:r>
            <w:r w:rsidRPr="002D3E7E">
              <w:rPr>
                <w:rFonts w:ascii="Arial" w:eastAsia="Times New Roman" w:hAnsi="Arial" w:cs="Arial"/>
                <w:sz w:val="18"/>
                <w:szCs w:val="18"/>
              </w:rPr>
              <w:br/>
            </w:r>
            <w:r w:rsidRPr="002D3E7E">
              <w:rPr>
                <w:rFonts w:ascii="Arial" w:eastAsia="Times New Roman" w:hAnsi="Arial" w:cs="Arial"/>
                <w:sz w:val="18"/>
                <w:szCs w:val="18"/>
              </w:rPr>
              <w:br/>
              <w:t xml:space="preserve">Rosiglitazone </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Combination</w:t>
            </w:r>
            <w:r w:rsidRPr="002D3E7E">
              <w:rPr>
                <w:rFonts w:ascii="Arial" w:eastAsia="Times New Roman" w:hAnsi="Arial" w:cs="Arial"/>
                <w:sz w:val="18"/>
                <w:szCs w:val="18"/>
              </w:rPr>
              <w:br/>
              <w:t xml:space="preserve">of exenatide plus rosiglitazone </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137</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None</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Efficacy measurements included A1C, glucose, insulin, C-peptide, lipids, and body weight</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20</w:t>
            </w:r>
            <w:r w:rsidRPr="002D3E7E">
              <w:rPr>
                <w:rFonts w:ascii="Arial" w:eastAsia="Times New Roman" w:hAnsi="Arial" w:cs="Arial"/>
                <w:sz w:val="18"/>
                <w:szCs w:val="18"/>
              </w:rPr>
              <w:br/>
            </w:r>
            <w:r w:rsidRPr="002D3E7E">
              <w:rPr>
                <w:rFonts w:ascii="Arial" w:eastAsia="Times New Roman" w:hAnsi="Arial" w:cs="Arial"/>
                <w:sz w:val="18"/>
                <w:szCs w:val="18"/>
              </w:rPr>
              <w:br/>
              <w:t>NA</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ITT</w:t>
            </w:r>
            <w:r w:rsidRPr="002D3E7E">
              <w:rPr>
                <w:rFonts w:ascii="Arial" w:eastAsia="Times New Roman" w:hAnsi="Arial" w:cs="Arial"/>
                <w:sz w:val="18"/>
                <w:szCs w:val="18"/>
              </w:rPr>
              <w:br/>
            </w:r>
            <w:r w:rsidRPr="002D3E7E">
              <w:rPr>
                <w:rFonts w:ascii="Arial" w:eastAsia="Times New Roman" w:hAnsi="Arial" w:cs="Arial"/>
                <w:sz w:val="18"/>
                <w:szCs w:val="18"/>
              </w:rPr>
              <w:br/>
              <w:t>Included participants with a baseline and at least one post baseline value</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NR</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Garber 2009</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color w:val="000000"/>
                <w:sz w:val="18"/>
                <w:szCs w:val="18"/>
              </w:rPr>
            </w:pPr>
            <w:r w:rsidRPr="002D3E7E">
              <w:rPr>
                <w:rFonts w:ascii="Arial" w:eastAsia="Times New Roman" w:hAnsi="Arial" w:cs="Arial"/>
                <w:color w:val="000000"/>
                <w:sz w:val="18"/>
                <w:szCs w:val="18"/>
              </w:rPr>
              <w:t>Parallel group trial; superiority; non-inferiority analysis mentioned but not presented</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Subcutaneous liraglutide </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Oral glimepiride</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746</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Change in value of HbA1c from baseline to 52 weeks</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Proportion of patients achieving A1c &lt;7.0% and &gt;6.5%</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52</w:t>
            </w:r>
            <w:r w:rsidRPr="002D3E7E">
              <w:rPr>
                <w:rFonts w:ascii="Arial" w:eastAsia="Times New Roman" w:hAnsi="Arial" w:cs="Arial"/>
                <w:sz w:val="18"/>
                <w:szCs w:val="18"/>
              </w:rPr>
              <w:br/>
            </w:r>
            <w:r w:rsidRPr="002D3E7E">
              <w:rPr>
                <w:rFonts w:ascii="Arial" w:eastAsia="Times New Roman" w:hAnsi="Arial" w:cs="Arial"/>
                <w:sz w:val="18"/>
                <w:szCs w:val="18"/>
              </w:rPr>
              <w:br/>
              <w:t>NA</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ITT</w:t>
            </w:r>
            <w:r w:rsidRPr="002D3E7E">
              <w:rPr>
                <w:rFonts w:ascii="Arial" w:eastAsia="Times New Roman" w:hAnsi="Arial" w:cs="Arial"/>
                <w:sz w:val="18"/>
                <w:szCs w:val="18"/>
              </w:rPr>
              <w:br/>
            </w:r>
            <w:r w:rsidRPr="002D3E7E">
              <w:rPr>
                <w:rFonts w:ascii="Arial" w:eastAsia="Times New Roman" w:hAnsi="Arial" w:cs="Arial"/>
                <w:sz w:val="18"/>
                <w:szCs w:val="18"/>
              </w:rPr>
              <w:br/>
              <w:t>Participants exposed to at least one dose</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LOCF</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lastRenderedPageBreak/>
              <w:t>Goldberg 2005</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Parallel group trial</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Pioglitazone</w:t>
            </w:r>
            <w:r w:rsidRPr="002D3E7E">
              <w:rPr>
                <w:rFonts w:ascii="Arial" w:eastAsia="Times New Roman" w:hAnsi="Arial" w:cs="Arial"/>
                <w:sz w:val="18"/>
                <w:szCs w:val="18"/>
              </w:rPr>
              <w:br/>
              <w:t xml:space="preserve"> </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Rosiglitazone</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802</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None</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A1C: mentioned in analysis section but not in prior parts of methods section</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24</w:t>
            </w:r>
            <w:r w:rsidRPr="002D3E7E">
              <w:rPr>
                <w:rFonts w:ascii="Arial" w:eastAsia="Times New Roman" w:hAnsi="Arial" w:cs="Arial"/>
                <w:sz w:val="18"/>
                <w:szCs w:val="18"/>
              </w:rPr>
              <w:br/>
            </w:r>
            <w:r w:rsidRPr="002D3E7E">
              <w:rPr>
                <w:rFonts w:ascii="Arial" w:eastAsia="Times New Roman" w:hAnsi="Arial" w:cs="Arial"/>
                <w:sz w:val="18"/>
                <w:szCs w:val="18"/>
              </w:rPr>
              <w:br/>
              <w:t>NA</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Infer ITT (see definition)</w:t>
            </w:r>
            <w:r w:rsidRPr="002D3E7E">
              <w:rPr>
                <w:rFonts w:ascii="Arial" w:eastAsia="Times New Roman" w:hAnsi="Arial" w:cs="Arial"/>
                <w:sz w:val="18"/>
                <w:szCs w:val="18"/>
              </w:rPr>
              <w:br/>
            </w:r>
            <w:r w:rsidRPr="002D3E7E">
              <w:rPr>
                <w:rFonts w:ascii="Arial" w:eastAsia="Times New Roman" w:hAnsi="Arial" w:cs="Arial"/>
                <w:sz w:val="18"/>
                <w:szCs w:val="18"/>
              </w:rPr>
              <w:br/>
              <w:t>Efficacy analyses were conducted on subjects providing a baseline measurement and at least one postbaseline measurement</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LOCF</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lastRenderedPageBreak/>
              <w:t xml:space="preserve">Goldstein 2007; </w:t>
            </w:r>
            <w:r w:rsidRPr="002D3E7E">
              <w:rPr>
                <w:rFonts w:ascii="Arial" w:eastAsia="Times New Roman" w:hAnsi="Arial" w:cs="Arial"/>
                <w:sz w:val="18"/>
                <w:szCs w:val="18"/>
              </w:rPr>
              <w:br/>
            </w:r>
            <w:r w:rsidRPr="002D3E7E">
              <w:rPr>
                <w:rFonts w:ascii="Arial" w:eastAsia="Times New Roman" w:hAnsi="Arial" w:cs="Arial"/>
                <w:sz w:val="18"/>
                <w:szCs w:val="18"/>
              </w:rPr>
              <w:br/>
              <w:t>Williams-Herman 2009</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Parallel group trial</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Sitagliptin/metformin </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Placebo</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1091</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Change from</w:t>
            </w:r>
            <w:r w:rsidRPr="002D3E7E">
              <w:rPr>
                <w:rFonts w:ascii="Arial" w:eastAsia="Times New Roman" w:hAnsi="Arial" w:cs="Arial"/>
                <w:sz w:val="18"/>
                <w:szCs w:val="18"/>
              </w:rPr>
              <w:br/>
              <w:t>baseline at week 24 was assessed for A1C</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Proportion &lt;7.0 and &lt;6.5% in each RX group</w:t>
            </w:r>
            <w:r w:rsidRPr="002D3E7E">
              <w:rPr>
                <w:rFonts w:ascii="Arial" w:eastAsia="Times New Roman" w:hAnsi="Arial" w:cs="Arial"/>
                <w:sz w:val="18"/>
                <w:szCs w:val="18"/>
              </w:rPr>
              <w:br/>
            </w:r>
            <w:r w:rsidRPr="002D3E7E">
              <w:rPr>
                <w:rFonts w:ascii="Arial" w:eastAsia="Times New Roman" w:hAnsi="Arial" w:cs="Arial"/>
                <w:sz w:val="18"/>
                <w:szCs w:val="18"/>
              </w:rPr>
              <w:br/>
              <w:t>Williams-Herman: change from baseline at week 54 for A1c (and others); also mention proportion with A1c &lt;7.0 at week 54 and at both weeks 24 and 54</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24</w:t>
            </w:r>
            <w:r w:rsidRPr="002D3E7E">
              <w:rPr>
                <w:rFonts w:ascii="Arial" w:eastAsia="Times New Roman" w:hAnsi="Arial" w:cs="Arial"/>
                <w:sz w:val="18"/>
                <w:szCs w:val="18"/>
              </w:rPr>
              <w:br/>
            </w:r>
            <w:r w:rsidRPr="002D3E7E">
              <w:rPr>
                <w:rFonts w:ascii="Arial" w:eastAsia="Times New Roman" w:hAnsi="Arial" w:cs="Arial"/>
                <w:sz w:val="18"/>
                <w:szCs w:val="18"/>
              </w:rPr>
              <w:br/>
              <w:t xml:space="preserve">Williams-Herman: 54 </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Efficacy analyses were based on the APT population</w:t>
            </w:r>
            <w:r w:rsidRPr="002D3E7E">
              <w:rPr>
                <w:rFonts w:ascii="Arial" w:eastAsia="Times New Roman" w:hAnsi="Arial" w:cs="Arial"/>
                <w:sz w:val="18"/>
                <w:szCs w:val="18"/>
              </w:rPr>
              <w:br/>
            </w:r>
            <w:r w:rsidRPr="002D3E7E">
              <w:rPr>
                <w:rFonts w:ascii="Arial" w:eastAsia="Times New Roman" w:hAnsi="Arial" w:cs="Arial"/>
                <w:sz w:val="18"/>
                <w:szCs w:val="18"/>
              </w:rPr>
              <w:br/>
              <w:t>Williams: continuation APT (baseline measure, no rescue therapy, 1+ dose study medication, 1+ efficacy measure weeks 24 to 54)</w:t>
            </w:r>
            <w:r w:rsidRPr="002D3E7E">
              <w:rPr>
                <w:rFonts w:ascii="Arial" w:eastAsia="Times New Roman" w:hAnsi="Arial" w:cs="Arial"/>
                <w:sz w:val="18"/>
                <w:szCs w:val="18"/>
              </w:rPr>
              <w:br/>
            </w:r>
            <w:r w:rsidRPr="002D3E7E">
              <w:rPr>
                <w:rFonts w:ascii="Arial" w:eastAsia="Times New Roman" w:hAnsi="Arial" w:cs="Arial"/>
                <w:sz w:val="18"/>
                <w:szCs w:val="18"/>
              </w:rPr>
              <w:br/>
              <w:t>All randomized patients who received at least one dose of study treatment and who had both a baseline and at least one postbaseline measurement</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LOCF</w:t>
            </w:r>
            <w:r w:rsidRPr="002D3E7E">
              <w:rPr>
                <w:rFonts w:ascii="Arial" w:eastAsia="Times New Roman" w:hAnsi="Arial" w:cs="Arial"/>
                <w:sz w:val="18"/>
                <w:szCs w:val="18"/>
              </w:rPr>
              <w:br/>
            </w:r>
            <w:r w:rsidRPr="002D3E7E">
              <w:rPr>
                <w:rFonts w:ascii="Arial" w:eastAsia="Times New Roman" w:hAnsi="Arial" w:cs="Arial"/>
                <w:sz w:val="18"/>
                <w:szCs w:val="18"/>
              </w:rPr>
              <w:br/>
              <w:t>Williams:</w:t>
            </w:r>
            <w:r>
              <w:rPr>
                <w:rFonts w:ascii="Arial" w:eastAsia="Times New Roman" w:hAnsi="Arial" w:cs="Arial"/>
                <w:sz w:val="18"/>
                <w:szCs w:val="18"/>
              </w:rPr>
              <w:t xml:space="preserve"> </w:t>
            </w:r>
            <w:r w:rsidRPr="002D3E7E">
              <w:rPr>
                <w:rFonts w:ascii="Arial" w:eastAsia="Times New Roman" w:hAnsi="Arial" w:cs="Arial"/>
                <w:sz w:val="18"/>
                <w:szCs w:val="18"/>
              </w:rPr>
              <w:t>rescue therapy patients were treated as missing with LOCF</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Gupta 2009</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Parallel group trial</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Pioglitazone plus placebo</w:t>
            </w:r>
          </w:p>
        </w:tc>
        <w:tc>
          <w:tcPr>
            <w:tcW w:w="513" w:type="pct"/>
            <w:tcBorders>
              <w:top w:val="nil"/>
              <w:left w:val="nil"/>
              <w:bottom w:val="single" w:sz="4" w:space="0" w:color="auto"/>
              <w:right w:val="single" w:sz="4" w:space="0" w:color="auto"/>
            </w:tcBorders>
            <w:shd w:val="clear" w:color="auto" w:fill="FFFFFF"/>
            <w:hideMark/>
          </w:tcPr>
          <w:p w:rsidR="00B01E2B" w:rsidRPr="00B33A61" w:rsidRDefault="00B01E2B" w:rsidP="00B01E2B">
            <w:pPr>
              <w:rPr>
                <w:rFonts w:ascii="Arial" w:eastAsia="Times New Roman" w:hAnsi="Arial" w:cs="Arial"/>
                <w:sz w:val="18"/>
                <w:szCs w:val="18"/>
                <w:lang w:val="fr-CH"/>
              </w:rPr>
            </w:pPr>
            <w:r w:rsidRPr="00B33A61">
              <w:rPr>
                <w:rFonts w:ascii="Arial" w:eastAsia="Times New Roman" w:hAnsi="Arial" w:cs="Arial"/>
                <w:sz w:val="18"/>
                <w:szCs w:val="18"/>
                <w:lang w:val="fr-CH"/>
              </w:rPr>
              <w:t>Pioglitazone plus ADA diet</w:t>
            </w:r>
            <w:r w:rsidRPr="00B33A61">
              <w:rPr>
                <w:rFonts w:ascii="Arial" w:eastAsia="Times New Roman" w:hAnsi="Arial" w:cs="Arial"/>
                <w:sz w:val="18"/>
                <w:szCs w:val="18"/>
                <w:lang w:val="fr-CH"/>
              </w:rPr>
              <w:br/>
            </w:r>
            <w:r w:rsidRPr="00B33A61">
              <w:rPr>
                <w:rFonts w:ascii="Arial" w:eastAsia="Times New Roman" w:hAnsi="Arial" w:cs="Arial"/>
                <w:sz w:val="18"/>
                <w:szCs w:val="18"/>
                <w:lang w:val="fr-CH"/>
              </w:rPr>
              <w:br/>
              <w:t>Metformin plus ADA diet</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51</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None</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color w:val="000000"/>
                <w:sz w:val="18"/>
                <w:szCs w:val="18"/>
              </w:rPr>
            </w:pPr>
            <w:r w:rsidRPr="002D3E7E">
              <w:rPr>
                <w:rFonts w:ascii="Arial" w:eastAsia="Times New Roman" w:hAnsi="Arial" w:cs="Arial"/>
                <w:color w:val="000000"/>
                <w:sz w:val="18"/>
                <w:szCs w:val="18"/>
              </w:rPr>
              <w:t>Change in A1c</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16</w:t>
            </w:r>
            <w:r w:rsidRPr="002D3E7E">
              <w:rPr>
                <w:rFonts w:ascii="Arial" w:eastAsia="Times New Roman" w:hAnsi="Arial" w:cs="Arial"/>
                <w:sz w:val="18"/>
                <w:szCs w:val="18"/>
              </w:rPr>
              <w:br/>
            </w:r>
            <w:r w:rsidRPr="002D3E7E">
              <w:rPr>
                <w:rFonts w:ascii="Arial" w:eastAsia="Times New Roman" w:hAnsi="Arial" w:cs="Arial"/>
                <w:sz w:val="18"/>
                <w:szCs w:val="18"/>
              </w:rPr>
              <w:br/>
              <w:t>NA</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NR</w:t>
            </w:r>
            <w:r w:rsidRPr="002D3E7E">
              <w:rPr>
                <w:rFonts w:ascii="Arial" w:eastAsia="Times New Roman" w:hAnsi="Arial" w:cs="Arial"/>
                <w:sz w:val="18"/>
                <w:szCs w:val="18"/>
              </w:rPr>
              <w:br/>
            </w:r>
            <w:r w:rsidRPr="002D3E7E">
              <w:rPr>
                <w:rFonts w:ascii="Arial" w:eastAsia="Times New Roman" w:hAnsi="Arial" w:cs="Arial"/>
                <w:sz w:val="18"/>
                <w:szCs w:val="18"/>
              </w:rPr>
              <w:br/>
              <w:t>NR explicitly, but reports are on completers only</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NR</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lastRenderedPageBreak/>
              <w:t>Hamann 2008</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Parallel group, non-inferiority</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Rosiglitazone plus metformin</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Sulphonylurea (glibenclamide</w:t>
            </w:r>
            <w:r w:rsidRPr="002D3E7E">
              <w:rPr>
                <w:rFonts w:ascii="Arial" w:eastAsia="Times New Roman" w:hAnsi="Arial" w:cs="Arial"/>
                <w:sz w:val="18"/>
                <w:szCs w:val="18"/>
              </w:rPr>
              <w:br/>
              <w:t xml:space="preserve">or gliclazide) </w:t>
            </w:r>
            <w:r w:rsidRPr="002D3E7E">
              <w:rPr>
                <w:rFonts w:ascii="Arial" w:eastAsia="Times New Roman" w:hAnsi="Arial" w:cs="Arial"/>
                <w:sz w:val="18"/>
                <w:szCs w:val="18"/>
              </w:rPr>
              <w:br/>
              <w:t>Sulphonylurea plus metformin</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596</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Change in HbA 1c from baseline</w:t>
            </w:r>
            <w:r w:rsidRPr="002D3E7E">
              <w:rPr>
                <w:rFonts w:ascii="Arial" w:eastAsia="Times New Roman" w:hAnsi="Arial" w:cs="Arial"/>
                <w:sz w:val="18"/>
                <w:szCs w:val="18"/>
              </w:rPr>
              <w:br/>
              <w:t>after 52 weeks of treatment</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NA</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52</w:t>
            </w:r>
            <w:r w:rsidRPr="002D3E7E">
              <w:rPr>
                <w:rFonts w:ascii="Arial" w:eastAsia="Times New Roman" w:hAnsi="Arial" w:cs="Arial"/>
                <w:sz w:val="18"/>
                <w:szCs w:val="18"/>
              </w:rPr>
              <w:br/>
            </w:r>
            <w:r w:rsidRPr="002D3E7E">
              <w:rPr>
                <w:rFonts w:ascii="Arial" w:eastAsia="Times New Roman" w:hAnsi="Arial" w:cs="Arial"/>
                <w:sz w:val="18"/>
                <w:szCs w:val="18"/>
              </w:rPr>
              <w:br/>
              <w:t>NA</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ITT</w:t>
            </w:r>
            <w:r w:rsidRPr="002D3E7E">
              <w:rPr>
                <w:rFonts w:ascii="Arial" w:eastAsia="Times New Roman" w:hAnsi="Arial" w:cs="Arial"/>
                <w:sz w:val="18"/>
                <w:szCs w:val="18"/>
              </w:rPr>
              <w:br/>
            </w:r>
            <w:r w:rsidRPr="002D3E7E">
              <w:rPr>
                <w:rFonts w:ascii="Arial" w:eastAsia="Times New Roman" w:hAnsi="Arial" w:cs="Arial"/>
                <w:sz w:val="18"/>
                <w:szCs w:val="18"/>
              </w:rPr>
              <w:br/>
              <w:t>ITT without LOCF for A1c, biomarkers, and health outcomes; ITT with LOCF for all other outcomes</w:t>
            </w:r>
            <w:r w:rsidRPr="002D3E7E">
              <w:rPr>
                <w:rFonts w:ascii="Arial" w:eastAsia="Times New Roman" w:hAnsi="Arial" w:cs="Arial"/>
                <w:sz w:val="18"/>
                <w:szCs w:val="18"/>
              </w:rPr>
              <w:br/>
            </w:r>
            <w:r w:rsidRPr="002D3E7E">
              <w:rPr>
                <w:rFonts w:ascii="Arial" w:eastAsia="Times New Roman" w:hAnsi="Arial" w:cs="Arial"/>
                <w:sz w:val="18"/>
                <w:szCs w:val="18"/>
              </w:rPr>
              <w:br/>
              <w:t xml:space="preserve">All randomized subjects who received at least one dose of study medication, had a baseline assessment and at least one corresponding on-therapy assessment for HbA1c </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LOCF</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Jadzinsky 2009</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Parallel group trial</w:t>
            </w:r>
          </w:p>
        </w:tc>
        <w:tc>
          <w:tcPr>
            <w:tcW w:w="512" w:type="pct"/>
            <w:tcBorders>
              <w:top w:val="nil"/>
              <w:left w:val="nil"/>
              <w:bottom w:val="single" w:sz="4" w:space="0" w:color="auto"/>
              <w:right w:val="single" w:sz="4" w:space="0" w:color="auto"/>
            </w:tcBorders>
            <w:shd w:val="clear" w:color="auto" w:fill="FFFFFF"/>
            <w:hideMark/>
          </w:tcPr>
          <w:p w:rsidR="00B01E2B" w:rsidRPr="00B33A61" w:rsidRDefault="00B01E2B" w:rsidP="00B01E2B">
            <w:pPr>
              <w:rPr>
                <w:rFonts w:ascii="Arial" w:eastAsia="Times New Roman" w:hAnsi="Arial" w:cs="Arial"/>
                <w:sz w:val="18"/>
                <w:szCs w:val="18"/>
                <w:lang w:val="fr-CH"/>
              </w:rPr>
            </w:pPr>
            <w:r w:rsidRPr="00B33A61">
              <w:rPr>
                <w:rFonts w:ascii="Arial" w:eastAsia="Times New Roman" w:hAnsi="Arial" w:cs="Arial"/>
                <w:sz w:val="18"/>
                <w:szCs w:val="18"/>
                <w:lang w:val="fr-CH"/>
              </w:rPr>
              <w:t>Saxagliptin plus metformin</w:t>
            </w:r>
            <w:r w:rsidRPr="00B33A61">
              <w:rPr>
                <w:rFonts w:ascii="Arial" w:eastAsia="Times New Roman" w:hAnsi="Arial" w:cs="Arial"/>
                <w:sz w:val="18"/>
                <w:szCs w:val="18"/>
                <w:lang w:val="fr-CH"/>
              </w:rPr>
              <w:br/>
            </w:r>
            <w:r w:rsidRPr="00B33A61">
              <w:rPr>
                <w:rFonts w:ascii="Arial" w:eastAsia="Times New Roman" w:hAnsi="Arial" w:cs="Arial"/>
                <w:sz w:val="18"/>
                <w:szCs w:val="18"/>
                <w:lang w:val="fr-CH"/>
              </w:rPr>
              <w:br/>
              <w:t xml:space="preserve">Saxagliptin plus placebo </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Metformin plus placebo (metformin)</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1306</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HbA1c change from baseline to week 24</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Proportion of patients achieving HbA1c &lt;7.0% and &lt;6.5%</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24</w:t>
            </w:r>
            <w:r w:rsidRPr="002D3E7E">
              <w:rPr>
                <w:rFonts w:ascii="Arial" w:eastAsia="Times New Roman" w:hAnsi="Arial" w:cs="Arial"/>
                <w:sz w:val="18"/>
                <w:szCs w:val="18"/>
              </w:rPr>
              <w:br/>
            </w:r>
            <w:r w:rsidRPr="002D3E7E">
              <w:rPr>
                <w:rFonts w:ascii="Arial" w:eastAsia="Times New Roman" w:hAnsi="Arial" w:cs="Arial"/>
                <w:sz w:val="18"/>
                <w:szCs w:val="18"/>
              </w:rPr>
              <w:br/>
              <w:t>NA</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All randomized patients who took 1+ dose of study medication</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LOCF</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lastRenderedPageBreak/>
              <w:t>Kaku 2009</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Parallel group</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Metformin plus pioglitazone</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Metformin plus placebo</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169</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Change in end-of-treatment HbA1c in the FAS population</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Secondary endpoints included time course for HbA1c and FBG, and the percentage of patients achieving an HbA1c &lt;6.5%</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28</w:t>
            </w:r>
            <w:r w:rsidRPr="002D3E7E">
              <w:rPr>
                <w:rFonts w:ascii="Arial" w:eastAsia="Times New Roman" w:hAnsi="Arial" w:cs="Arial"/>
                <w:sz w:val="18"/>
                <w:szCs w:val="18"/>
              </w:rPr>
              <w:br/>
            </w:r>
            <w:r w:rsidRPr="002D3E7E">
              <w:rPr>
                <w:rFonts w:ascii="Arial" w:eastAsia="Times New Roman" w:hAnsi="Arial" w:cs="Arial"/>
                <w:sz w:val="18"/>
                <w:szCs w:val="18"/>
              </w:rPr>
              <w:br/>
              <w:t>NA</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FAS </w:t>
            </w:r>
            <w:r w:rsidRPr="002D3E7E">
              <w:rPr>
                <w:rFonts w:ascii="Arial" w:eastAsia="Times New Roman" w:hAnsi="Arial" w:cs="Arial"/>
                <w:sz w:val="18"/>
                <w:szCs w:val="18"/>
              </w:rPr>
              <w:br/>
            </w:r>
            <w:r w:rsidRPr="002D3E7E">
              <w:rPr>
                <w:rFonts w:ascii="Arial" w:eastAsia="Times New Roman" w:hAnsi="Arial" w:cs="Arial"/>
                <w:sz w:val="18"/>
                <w:szCs w:val="18"/>
              </w:rPr>
              <w:br/>
              <w:t>A FAS assessment of efficacy was performed in patients receiving</w:t>
            </w:r>
            <w:r>
              <w:rPr>
                <w:rFonts w:ascii="Arial" w:eastAsia="Times New Roman" w:hAnsi="Arial" w:cs="Arial"/>
                <w:sz w:val="18"/>
                <w:szCs w:val="18"/>
              </w:rPr>
              <w:t xml:space="preserve"> </w:t>
            </w:r>
            <w:r w:rsidRPr="002D3E7E">
              <w:rPr>
                <w:rFonts w:ascii="Arial" w:eastAsia="Times New Roman" w:hAnsi="Arial" w:cs="Arial"/>
                <w:sz w:val="18"/>
                <w:szCs w:val="18"/>
              </w:rPr>
              <w:t>&gt;=1 dose of pioglitazone</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NR</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lastRenderedPageBreak/>
              <w:t>Nauck 2007;</w:t>
            </w:r>
            <w:r w:rsidRPr="002D3E7E">
              <w:rPr>
                <w:rFonts w:ascii="Arial" w:eastAsia="Times New Roman" w:hAnsi="Arial" w:cs="Arial"/>
                <w:color w:val="538ED5"/>
                <w:sz w:val="18"/>
                <w:szCs w:val="18"/>
              </w:rPr>
              <w:t xml:space="preserve"> </w:t>
            </w:r>
            <w:r w:rsidRPr="002D3E7E">
              <w:rPr>
                <w:rFonts w:ascii="Arial" w:eastAsia="Times New Roman" w:hAnsi="Arial" w:cs="Arial"/>
                <w:color w:val="538ED5"/>
                <w:sz w:val="18"/>
                <w:szCs w:val="18"/>
              </w:rPr>
              <w:br/>
            </w:r>
            <w:r w:rsidRPr="002D3E7E">
              <w:rPr>
                <w:rFonts w:ascii="Arial" w:eastAsia="Times New Roman" w:hAnsi="Arial" w:cs="Arial"/>
                <w:color w:val="538ED5"/>
                <w:sz w:val="18"/>
                <w:szCs w:val="18"/>
              </w:rPr>
              <w:br/>
            </w:r>
            <w:r w:rsidRPr="002D3E7E">
              <w:rPr>
                <w:rFonts w:ascii="Arial" w:eastAsia="Times New Roman" w:hAnsi="Arial" w:cs="Arial"/>
                <w:sz w:val="18"/>
                <w:szCs w:val="18"/>
              </w:rPr>
              <w:t>Seck 2010</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Parallel group, non-inferiority</w:t>
            </w:r>
            <w:r w:rsidRPr="002D3E7E">
              <w:rPr>
                <w:rFonts w:ascii="Arial" w:eastAsia="Times New Roman" w:hAnsi="Arial" w:cs="Arial"/>
                <w:sz w:val="18"/>
                <w:szCs w:val="18"/>
              </w:rPr>
              <w:br/>
            </w:r>
            <w:r w:rsidRPr="002D3E7E">
              <w:rPr>
                <w:rFonts w:ascii="Arial" w:eastAsia="Times New Roman" w:hAnsi="Arial" w:cs="Arial"/>
                <w:sz w:val="18"/>
                <w:szCs w:val="18"/>
              </w:rPr>
              <w:br/>
              <w:t>Seck:</w:t>
            </w:r>
            <w:r>
              <w:rPr>
                <w:rFonts w:ascii="Arial" w:eastAsia="Times New Roman" w:hAnsi="Arial" w:cs="Arial"/>
                <w:sz w:val="18"/>
                <w:szCs w:val="18"/>
              </w:rPr>
              <w:t xml:space="preserve"> </w:t>
            </w:r>
            <w:r w:rsidRPr="002D3E7E">
              <w:rPr>
                <w:rFonts w:ascii="Arial" w:eastAsia="Times New Roman" w:hAnsi="Arial" w:cs="Arial"/>
                <w:sz w:val="18"/>
                <w:szCs w:val="18"/>
              </w:rPr>
              <w:t>In methods section is stated to be a non-inferiority study at 1 year, with 2 year results having "no predefined efficacy hypotheses"; results presented as superiority</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Sitagliptin plus metformin</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Glipizide plus metformin</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1172</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HbA1c change from baseline at week 52</w:t>
            </w:r>
            <w:r w:rsidRPr="002D3E7E">
              <w:rPr>
                <w:rFonts w:ascii="Arial" w:eastAsia="Times New Roman" w:hAnsi="Arial" w:cs="Arial"/>
                <w:color w:val="538ED5"/>
                <w:sz w:val="18"/>
                <w:szCs w:val="18"/>
              </w:rPr>
              <w:t xml:space="preserve"> </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Nauck: Percent &lt; 7.0 and &lt;6.5%</w:t>
            </w:r>
            <w:r w:rsidRPr="002D3E7E">
              <w:rPr>
                <w:rFonts w:ascii="Arial" w:eastAsia="Times New Roman" w:hAnsi="Arial" w:cs="Arial"/>
                <w:sz w:val="18"/>
                <w:szCs w:val="18"/>
              </w:rPr>
              <w:br/>
            </w:r>
            <w:r w:rsidRPr="002D3E7E">
              <w:rPr>
                <w:rFonts w:ascii="Arial" w:eastAsia="Times New Roman" w:hAnsi="Arial" w:cs="Arial"/>
                <w:sz w:val="18"/>
                <w:szCs w:val="18"/>
              </w:rPr>
              <w:br/>
              <w:t>Seck:</w:t>
            </w:r>
            <w:r>
              <w:rPr>
                <w:rFonts w:ascii="Arial" w:eastAsia="Times New Roman" w:hAnsi="Arial" w:cs="Arial"/>
                <w:sz w:val="18"/>
                <w:szCs w:val="18"/>
              </w:rPr>
              <w:t xml:space="preserve"> </w:t>
            </w:r>
            <w:r w:rsidRPr="002D3E7E">
              <w:rPr>
                <w:rFonts w:ascii="Arial" w:eastAsia="Times New Roman" w:hAnsi="Arial" w:cs="Arial"/>
                <w:sz w:val="18"/>
                <w:szCs w:val="18"/>
              </w:rPr>
              <w:t>A1c &lt;7.0 at 2y, and &lt;7.0% at both 1 and 2 year</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Nauck: 52 </w:t>
            </w:r>
            <w:r w:rsidRPr="002D3E7E">
              <w:rPr>
                <w:rFonts w:ascii="Arial" w:eastAsia="Times New Roman" w:hAnsi="Arial" w:cs="Arial"/>
                <w:sz w:val="18"/>
                <w:szCs w:val="18"/>
              </w:rPr>
              <w:br/>
            </w:r>
            <w:r w:rsidRPr="002D3E7E">
              <w:rPr>
                <w:rFonts w:ascii="Arial" w:eastAsia="Times New Roman" w:hAnsi="Arial" w:cs="Arial"/>
                <w:sz w:val="18"/>
                <w:szCs w:val="18"/>
              </w:rPr>
              <w:br/>
              <w:t xml:space="preserve">Seck: 104 </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Per-protocol approach</w:t>
            </w:r>
            <w:r w:rsidRPr="002D3E7E">
              <w:rPr>
                <w:rFonts w:ascii="Arial" w:eastAsia="Times New Roman" w:hAnsi="Arial" w:cs="Arial"/>
                <w:sz w:val="18"/>
                <w:szCs w:val="18"/>
              </w:rPr>
              <w:br/>
            </w:r>
            <w:r w:rsidRPr="002D3E7E">
              <w:rPr>
                <w:rFonts w:ascii="Arial" w:eastAsia="Times New Roman" w:hAnsi="Arial" w:cs="Arial"/>
                <w:sz w:val="18"/>
                <w:szCs w:val="18"/>
              </w:rPr>
              <w:br/>
              <w:t>Secondary analysis based on all patients treated, with missing values imputed with LOCF</w:t>
            </w:r>
            <w:r w:rsidRPr="002D3E7E">
              <w:rPr>
                <w:rFonts w:ascii="Arial" w:eastAsia="Times New Roman" w:hAnsi="Arial" w:cs="Arial"/>
                <w:sz w:val="18"/>
                <w:szCs w:val="18"/>
              </w:rPr>
              <w:br/>
            </w:r>
            <w:r w:rsidRPr="002D3E7E">
              <w:rPr>
                <w:rFonts w:ascii="Arial" w:eastAsia="Times New Roman" w:hAnsi="Arial" w:cs="Arial"/>
                <w:sz w:val="18"/>
                <w:szCs w:val="18"/>
              </w:rPr>
              <w:br/>
              <w:t>Seck:</w:t>
            </w:r>
            <w:r>
              <w:rPr>
                <w:rFonts w:ascii="Arial" w:eastAsia="Times New Roman" w:hAnsi="Arial" w:cs="Arial"/>
                <w:sz w:val="18"/>
                <w:szCs w:val="18"/>
              </w:rPr>
              <w:t xml:space="preserve"> </w:t>
            </w:r>
            <w:r w:rsidRPr="002D3E7E">
              <w:rPr>
                <w:rFonts w:ascii="Arial" w:eastAsia="Times New Roman" w:hAnsi="Arial" w:cs="Arial"/>
                <w:sz w:val="18"/>
                <w:szCs w:val="18"/>
              </w:rPr>
              <w:t>2 years are PP for efficacy outcome (not non-inferiority)</w:t>
            </w:r>
            <w:r w:rsidRPr="002D3E7E">
              <w:rPr>
                <w:rFonts w:ascii="Arial" w:eastAsia="Times New Roman" w:hAnsi="Arial" w:cs="Arial"/>
                <w:sz w:val="18"/>
                <w:szCs w:val="18"/>
              </w:rPr>
              <w:br/>
            </w:r>
            <w:r w:rsidRPr="002D3E7E">
              <w:rPr>
                <w:rFonts w:ascii="Arial" w:eastAsia="Times New Roman" w:hAnsi="Arial" w:cs="Arial"/>
                <w:sz w:val="18"/>
                <w:szCs w:val="18"/>
              </w:rPr>
              <w:br/>
              <w:t>Patients who completed all 52 weeks of treatment and did not have any reasons for exclusion from this population, including no baseline data, no treatment data at Week 52 or major protocol violations</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LOCF for APT analyses</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lastRenderedPageBreak/>
              <w:t>Nauck 2009</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Parallel group trial; both a superiority and NI trial (liraglutide and metformin is significantly better or at least as good as metformin)</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Subcutaneous liraglutide </w:t>
            </w:r>
            <w:r w:rsidRPr="002D3E7E">
              <w:rPr>
                <w:rFonts w:ascii="Arial" w:eastAsia="Times New Roman" w:hAnsi="Arial" w:cs="Arial"/>
                <w:sz w:val="18"/>
                <w:szCs w:val="18"/>
              </w:rPr>
              <w:br/>
            </w:r>
            <w:r w:rsidRPr="002D3E7E">
              <w:rPr>
                <w:rFonts w:ascii="Arial" w:eastAsia="Times New Roman" w:hAnsi="Arial" w:cs="Arial"/>
                <w:sz w:val="18"/>
                <w:szCs w:val="18"/>
              </w:rPr>
              <w:br/>
              <w:t>Glimepiride</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Placebo</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1091</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Change in A1C at the end of the study (26 weeks)</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None explicitly listed, but in statistical section, percentage with A1c &lt; 0.7% and &lt;=0.6.5%</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26 </w:t>
            </w:r>
            <w:r w:rsidRPr="002D3E7E">
              <w:rPr>
                <w:rFonts w:ascii="Arial" w:eastAsia="Times New Roman" w:hAnsi="Arial" w:cs="Arial"/>
                <w:sz w:val="18"/>
                <w:szCs w:val="18"/>
              </w:rPr>
              <w:br/>
            </w:r>
            <w:r w:rsidRPr="002D3E7E">
              <w:rPr>
                <w:rFonts w:ascii="Arial" w:eastAsia="Times New Roman" w:hAnsi="Arial" w:cs="Arial"/>
                <w:sz w:val="18"/>
                <w:szCs w:val="18"/>
              </w:rPr>
              <w:br/>
              <w:t>NA</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ITT</w:t>
            </w:r>
            <w:r w:rsidRPr="002D3E7E">
              <w:rPr>
                <w:rFonts w:ascii="Arial" w:eastAsia="Times New Roman" w:hAnsi="Arial" w:cs="Arial"/>
                <w:sz w:val="18"/>
                <w:szCs w:val="18"/>
              </w:rPr>
              <w:br/>
            </w:r>
            <w:r w:rsidRPr="002D3E7E">
              <w:rPr>
                <w:rFonts w:ascii="Arial" w:eastAsia="Times New Roman" w:hAnsi="Arial" w:cs="Arial"/>
                <w:sz w:val="18"/>
                <w:szCs w:val="18"/>
              </w:rPr>
              <w:br/>
              <w:t>Subjects who were exposed to at least one dose of trial product and had one postbaseline measurement of the parameter</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LOCF</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Perez 2009</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Parallel group </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Pioglitazone/</w:t>
            </w:r>
            <w:r>
              <w:rPr>
                <w:rFonts w:ascii="Arial" w:eastAsia="Times New Roman" w:hAnsi="Arial" w:cs="Arial"/>
                <w:sz w:val="18"/>
                <w:szCs w:val="18"/>
              </w:rPr>
              <w:t xml:space="preserve"> </w:t>
            </w:r>
            <w:r w:rsidRPr="002D3E7E">
              <w:rPr>
                <w:rFonts w:ascii="Arial" w:eastAsia="Times New Roman" w:hAnsi="Arial" w:cs="Arial"/>
                <w:sz w:val="18"/>
                <w:szCs w:val="18"/>
              </w:rPr>
              <w:t xml:space="preserve">metformin combination therapy </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Pioglitazone mono therapy, metformin mono therapy </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600</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Change in HbA1c from baseline to final visit or early termination</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Percent with A1c &lt;=7%; changes from baseline to week 24 (or early termination)</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24</w:t>
            </w:r>
            <w:r w:rsidRPr="002D3E7E">
              <w:rPr>
                <w:rFonts w:ascii="Arial" w:eastAsia="Times New Roman" w:hAnsi="Arial" w:cs="Arial"/>
                <w:sz w:val="18"/>
                <w:szCs w:val="18"/>
              </w:rPr>
              <w:br/>
            </w:r>
            <w:r w:rsidRPr="002D3E7E">
              <w:rPr>
                <w:rFonts w:ascii="Arial" w:eastAsia="Times New Roman" w:hAnsi="Arial" w:cs="Arial"/>
                <w:sz w:val="18"/>
                <w:szCs w:val="18"/>
              </w:rPr>
              <w:br/>
              <w:t>NA</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FAS </w:t>
            </w:r>
            <w:r w:rsidRPr="002D3E7E">
              <w:rPr>
                <w:rFonts w:ascii="Arial" w:eastAsia="Times New Roman" w:hAnsi="Arial" w:cs="Arial"/>
                <w:color w:val="FF0000"/>
                <w:sz w:val="18"/>
                <w:szCs w:val="18"/>
              </w:rPr>
              <w:br/>
            </w:r>
            <w:r w:rsidRPr="002D3E7E">
              <w:rPr>
                <w:rFonts w:ascii="Arial" w:eastAsia="Times New Roman" w:hAnsi="Arial" w:cs="Arial"/>
                <w:sz w:val="18"/>
                <w:szCs w:val="18"/>
              </w:rPr>
              <w:br/>
              <w:t xml:space="preserve">&gt;=1 dose drug, baseline, and at least one treatment value </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LOCF from last post-baseline measurement</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lastRenderedPageBreak/>
              <w:t>Pratley 2010</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Parallel group, open label, non-inferiority followed by superiority </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Subcutaneous liraglutide</w:t>
            </w:r>
            <w:r w:rsidRPr="002D3E7E">
              <w:rPr>
                <w:rFonts w:ascii="Arial" w:eastAsia="Times New Roman" w:hAnsi="Arial" w:cs="Arial"/>
                <w:sz w:val="18"/>
                <w:szCs w:val="18"/>
              </w:rPr>
              <w:br/>
            </w:r>
            <w:r w:rsidRPr="002D3E7E">
              <w:rPr>
                <w:rFonts w:ascii="Arial" w:eastAsia="Times New Roman" w:hAnsi="Arial" w:cs="Arial"/>
                <w:sz w:val="18"/>
                <w:szCs w:val="18"/>
              </w:rPr>
              <w:br/>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Oral sitagliptin</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665</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Change in HbA1c from baseline to week 26</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Proportions of participants reaching HbA1c targets of less than 7·0% or of 6·5% or lower; and a composite endpoint of proportions of participants with HbA1c of less than 7·0%, with no hypoglycemia</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26</w:t>
            </w:r>
            <w:r w:rsidRPr="002D3E7E">
              <w:rPr>
                <w:rFonts w:ascii="Arial" w:eastAsia="Times New Roman" w:hAnsi="Arial" w:cs="Arial"/>
                <w:sz w:val="18"/>
                <w:szCs w:val="18"/>
              </w:rPr>
              <w:br/>
            </w:r>
            <w:r w:rsidRPr="002D3E7E">
              <w:rPr>
                <w:rFonts w:ascii="Arial" w:eastAsia="Times New Roman" w:hAnsi="Arial" w:cs="Arial"/>
                <w:sz w:val="18"/>
                <w:szCs w:val="18"/>
              </w:rPr>
              <w:br/>
              <w:t>NA</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NI: Full analysis set and per protocol sets: superiority: FAS: secondary analyses on the FAS</w:t>
            </w:r>
            <w:r w:rsidRPr="002D3E7E">
              <w:rPr>
                <w:rFonts w:ascii="Arial" w:eastAsia="Times New Roman" w:hAnsi="Arial" w:cs="Arial"/>
                <w:sz w:val="18"/>
                <w:szCs w:val="18"/>
              </w:rPr>
              <w:br/>
            </w:r>
            <w:r w:rsidRPr="002D3E7E">
              <w:rPr>
                <w:rFonts w:ascii="Arial" w:eastAsia="Times New Roman" w:hAnsi="Arial" w:cs="Arial"/>
                <w:sz w:val="18"/>
                <w:szCs w:val="18"/>
              </w:rPr>
              <w:br/>
              <w:t>FAS: randomized participants who were exposed to at least one dose of trial drug and with at least one HbA1c measurement taken after baseline</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LOCF</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Raskin 2009</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Parallel group trial; 2 non-inferiority comparisons</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Repaglinide/</w:t>
            </w:r>
            <w:r w:rsidRPr="002D3E7E">
              <w:rPr>
                <w:rFonts w:ascii="Arial" w:eastAsia="Times New Roman" w:hAnsi="Arial" w:cs="Arial"/>
                <w:sz w:val="18"/>
                <w:szCs w:val="18"/>
              </w:rPr>
              <w:br/>
              <w:t>metformin</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Rosiglitazone/</w:t>
            </w:r>
            <w:r w:rsidRPr="002D3E7E">
              <w:rPr>
                <w:rFonts w:ascii="Arial" w:eastAsia="Times New Roman" w:hAnsi="Arial" w:cs="Arial"/>
                <w:sz w:val="18"/>
                <w:szCs w:val="18"/>
              </w:rPr>
              <w:br/>
              <w:t xml:space="preserve">metformin </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561</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HbA1c change from baseline</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Percentage of subjects A1c &lt;7.0, 7.5, 6.5%</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26</w:t>
            </w:r>
            <w:r w:rsidRPr="002D3E7E">
              <w:rPr>
                <w:rFonts w:ascii="Arial" w:eastAsia="Times New Roman" w:hAnsi="Arial" w:cs="Arial"/>
                <w:sz w:val="18"/>
                <w:szCs w:val="18"/>
              </w:rPr>
              <w:br/>
            </w:r>
            <w:r w:rsidRPr="002D3E7E">
              <w:rPr>
                <w:rFonts w:ascii="Arial" w:eastAsia="Times New Roman" w:hAnsi="Arial" w:cs="Arial"/>
                <w:sz w:val="18"/>
                <w:szCs w:val="18"/>
              </w:rPr>
              <w:br/>
              <w:t>NA</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ITT</w:t>
            </w:r>
            <w:r w:rsidRPr="002D3E7E">
              <w:rPr>
                <w:rFonts w:ascii="Arial" w:eastAsia="Times New Roman" w:hAnsi="Arial" w:cs="Arial"/>
                <w:sz w:val="18"/>
                <w:szCs w:val="18"/>
              </w:rPr>
              <w:br/>
            </w:r>
            <w:r w:rsidRPr="002D3E7E">
              <w:rPr>
                <w:rFonts w:ascii="Arial" w:eastAsia="Times New Roman" w:hAnsi="Arial" w:cs="Arial"/>
                <w:sz w:val="18"/>
                <w:szCs w:val="18"/>
              </w:rPr>
              <w:br/>
              <w:t>Those randomized subjects who received at least one dose of trial medication and had at least one postbaseline assessment</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LOCF</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lastRenderedPageBreak/>
              <w:t>Raz 2008</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Parallel group</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Sitagliptin plus metformin</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Metformin plus placebo</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190</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Reduction in A1c at 18 weeks</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30 week A1c; percent of patients reaching goal A1c &lt;7.0%</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18</w:t>
            </w:r>
            <w:r w:rsidRPr="002D3E7E">
              <w:rPr>
                <w:rFonts w:ascii="Arial" w:eastAsia="Times New Roman" w:hAnsi="Arial" w:cs="Arial"/>
                <w:sz w:val="18"/>
                <w:szCs w:val="18"/>
              </w:rPr>
              <w:br/>
            </w:r>
            <w:r w:rsidRPr="002D3E7E">
              <w:rPr>
                <w:rFonts w:ascii="Arial" w:eastAsia="Times New Roman" w:hAnsi="Arial" w:cs="Arial"/>
                <w:sz w:val="18"/>
                <w:szCs w:val="18"/>
              </w:rPr>
              <w:br/>
              <w:t>30</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FAS</w:t>
            </w:r>
            <w:r w:rsidRPr="002D3E7E">
              <w:rPr>
                <w:rFonts w:ascii="Arial" w:eastAsia="Times New Roman" w:hAnsi="Arial" w:cs="Arial"/>
                <w:sz w:val="18"/>
                <w:szCs w:val="18"/>
              </w:rPr>
              <w:br/>
            </w:r>
            <w:r w:rsidRPr="002D3E7E">
              <w:rPr>
                <w:rFonts w:ascii="Arial" w:eastAsia="Times New Roman" w:hAnsi="Arial" w:cs="Arial"/>
                <w:sz w:val="18"/>
                <w:szCs w:val="18"/>
              </w:rPr>
              <w:br/>
              <w:t>FAS= all randomized with &gt;=1 dose and baseline plus 1 F/U measure at week 6</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LOCF from start of rescue RX; LOCF for missing data</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Rigby 2009</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Parallel group, open label, superiority</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Colesevelam </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Rosiglitazone, sitagliptin</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169</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Change in A1C from baseline to week 16</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Change in A1C from baseline to Week 8. Percentage of subjects who achieved an A1c reduction of ≥0.7% and &lt;7.0% at 16 weeks.</w:t>
            </w:r>
            <w:r>
              <w:rPr>
                <w:rFonts w:ascii="Arial" w:eastAsia="Times New Roman" w:hAnsi="Arial" w:cs="Arial"/>
                <w:sz w:val="18"/>
                <w:szCs w:val="18"/>
              </w:rPr>
              <w:t xml:space="preserve"> </w:t>
            </w:r>
            <w:r w:rsidRPr="002D3E7E">
              <w:rPr>
                <w:rFonts w:ascii="Arial" w:eastAsia="Times New Roman" w:hAnsi="Arial" w:cs="Arial"/>
                <w:sz w:val="18"/>
                <w:szCs w:val="18"/>
              </w:rPr>
              <w:t>%Percentage of subjects who achieved A1c target of</w:t>
            </w:r>
            <w:r>
              <w:rPr>
                <w:rFonts w:ascii="Arial" w:eastAsia="Times New Roman" w:hAnsi="Arial" w:cs="Arial"/>
                <w:sz w:val="18"/>
                <w:szCs w:val="18"/>
              </w:rPr>
              <w:t xml:space="preserve"> </w:t>
            </w:r>
            <w:r w:rsidRPr="002D3E7E">
              <w:rPr>
                <w:rFonts w:ascii="Arial" w:eastAsia="Times New Roman" w:hAnsi="Arial" w:cs="Arial"/>
                <w:sz w:val="18"/>
                <w:szCs w:val="18"/>
              </w:rPr>
              <w:t>&lt;7.0% at 16 weeks</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16</w:t>
            </w:r>
            <w:r w:rsidRPr="002D3E7E">
              <w:rPr>
                <w:rFonts w:ascii="Arial" w:eastAsia="Times New Roman" w:hAnsi="Arial" w:cs="Arial"/>
                <w:sz w:val="18"/>
                <w:szCs w:val="18"/>
              </w:rPr>
              <w:br/>
            </w:r>
            <w:r w:rsidRPr="002D3E7E">
              <w:rPr>
                <w:rFonts w:ascii="Arial" w:eastAsia="Times New Roman" w:hAnsi="Arial" w:cs="Arial"/>
                <w:sz w:val="18"/>
                <w:szCs w:val="18"/>
              </w:rPr>
              <w:br/>
              <w:t>8</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FAS </w:t>
            </w:r>
            <w:r w:rsidRPr="002D3E7E">
              <w:rPr>
                <w:rFonts w:ascii="Arial" w:eastAsia="Times New Roman" w:hAnsi="Arial" w:cs="Arial"/>
                <w:sz w:val="18"/>
                <w:szCs w:val="18"/>
              </w:rPr>
              <w:br/>
            </w:r>
            <w:r w:rsidRPr="002D3E7E">
              <w:rPr>
                <w:rFonts w:ascii="Arial" w:eastAsia="Times New Roman" w:hAnsi="Arial" w:cs="Arial"/>
                <w:sz w:val="18"/>
                <w:szCs w:val="18"/>
              </w:rPr>
              <w:br/>
              <w:t>All randomized subjects who had taken ≥1 dose of study medication and had a baseline and ≥1 post-baseline A1C measurement</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LOCF</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Robbins 2007</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Parallel group, open label</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Insulin lispro plus metformin </w:t>
            </w:r>
          </w:p>
        </w:tc>
        <w:tc>
          <w:tcPr>
            <w:tcW w:w="513" w:type="pct"/>
            <w:tcBorders>
              <w:top w:val="nil"/>
              <w:left w:val="nil"/>
              <w:bottom w:val="single" w:sz="4" w:space="0" w:color="auto"/>
              <w:right w:val="single" w:sz="4" w:space="0" w:color="auto"/>
            </w:tcBorders>
            <w:shd w:val="clear" w:color="auto" w:fill="FFFFFF"/>
            <w:hideMark/>
          </w:tcPr>
          <w:p w:rsidR="00B01E2B" w:rsidRPr="00B33A61" w:rsidRDefault="00B01E2B" w:rsidP="00B01E2B">
            <w:pPr>
              <w:rPr>
                <w:rFonts w:ascii="Arial" w:eastAsia="Times New Roman" w:hAnsi="Arial" w:cs="Arial"/>
                <w:sz w:val="18"/>
                <w:szCs w:val="18"/>
                <w:lang w:val="fr-CH"/>
              </w:rPr>
            </w:pPr>
            <w:r w:rsidRPr="00B33A61">
              <w:rPr>
                <w:rFonts w:ascii="Arial" w:eastAsia="Times New Roman" w:hAnsi="Arial" w:cs="Arial"/>
                <w:sz w:val="18"/>
                <w:szCs w:val="18"/>
                <w:lang w:val="fr-CH"/>
              </w:rPr>
              <w:t>Insulin glargine HS plus metformin</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317</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HbA1c at endpoint</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NA</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12</w:t>
            </w:r>
            <w:r w:rsidRPr="002D3E7E">
              <w:rPr>
                <w:rFonts w:ascii="Arial" w:eastAsia="Times New Roman" w:hAnsi="Arial" w:cs="Arial"/>
                <w:sz w:val="18"/>
                <w:szCs w:val="18"/>
              </w:rPr>
              <w:br/>
            </w:r>
            <w:r w:rsidRPr="002D3E7E">
              <w:rPr>
                <w:rFonts w:ascii="Arial" w:eastAsia="Times New Roman" w:hAnsi="Arial" w:cs="Arial"/>
                <w:sz w:val="18"/>
                <w:szCs w:val="18"/>
              </w:rPr>
              <w:br/>
              <w:t>24</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ITT</w:t>
            </w:r>
            <w:r w:rsidRPr="002D3E7E">
              <w:rPr>
                <w:rFonts w:ascii="Arial" w:eastAsia="Times New Roman" w:hAnsi="Arial" w:cs="Arial"/>
                <w:sz w:val="18"/>
                <w:szCs w:val="18"/>
              </w:rPr>
              <w:br/>
            </w:r>
            <w:r w:rsidRPr="002D3E7E">
              <w:rPr>
                <w:rFonts w:ascii="Arial" w:eastAsia="Times New Roman" w:hAnsi="Arial" w:cs="Arial"/>
                <w:sz w:val="18"/>
                <w:szCs w:val="18"/>
              </w:rPr>
              <w:br/>
              <w:t>Analyses were performed on data from randomized patients who received ≥1 dose of study drug</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LOCF</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lastRenderedPageBreak/>
              <w:t>Rosenstock 2006</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Double-blind, parallel group; superiority</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Rosiglitazone plus metformin </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Rosiglitazone or metformin</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468</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A1c from baseline to week 32</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The proportions of patients achieving recommended A1c targets (&lt;7.0 and &lt;6.5%)</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32</w:t>
            </w:r>
            <w:r w:rsidRPr="002D3E7E">
              <w:rPr>
                <w:rFonts w:ascii="Arial" w:eastAsia="Times New Roman" w:hAnsi="Arial" w:cs="Arial"/>
                <w:sz w:val="18"/>
                <w:szCs w:val="18"/>
              </w:rPr>
              <w:br/>
            </w:r>
            <w:r w:rsidRPr="002D3E7E">
              <w:rPr>
                <w:rFonts w:ascii="Arial" w:eastAsia="Times New Roman" w:hAnsi="Arial" w:cs="Arial"/>
                <w:sz w:val="18"/>
                <w:szCs w:val="18"/>
              </w:rPr>
              <w:br/>
              <w:t>NA</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ITT</w:t>
            </w:r>
            <w:r w:rsidRPr="002D3E7E">
              <w:rPr>
                <w:rFonts w:ascii="Arial" w:eastAsia="Times New Roman" w:hAnsi="Arial" w:cs="Arial"/>
                <w:sz w:val="18"/>
                <w:szCs w:val="18"/>
              </w:rPr>
              <w:br/>
            </w:r>
            <w:r w:rsidRPr="002D3E7E">
              <w:rPr>
                <w:rFonts w:ascii="Arial" w:eastAsia="Times New Roman" w:hAnsi="Arial" w:cs="Arial"/>
                <w:sz w:val="18"/>
                <w:szCs w:val="18"/>
              </w:rPr>
              <w:br/>
              <w:t>All randomized patients who received at least one dose of study medication and who had at least one valid on-therapy observation for an efficacy variable</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LOCF</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Scott 2008</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Parallel group, superiority (of sitagliptin versus placebo)</w:t>
            </w:r>
          </w:p>
        </w:tc>
        <w:tc>
          <w:tcPr>
            <w:tcW w:w="512" w:type="pct"/>
            <w:tcBorders>
              <w:top w:val="nil"/>
              <w:left w:val="nil"/>
              <w:bottom w:val="single" w:sz="4" w:space="0" w:color="auto"/>
              <w:right w:val="single" w:sz="4" w:space="0" w:color="auto"/>
            </w:tcBorders>
            <w:shd w:val="clear" w:color="auto" w:fill="FFFFFF"/>
            <w:hideMark/>
          </w:tcPr>
          <w:p w:rsidR="00B01E2B" w:rsidRPr="00B33A61" w:rsidRDefault="00B01E2B" w:rsidP="00B01E2B">
            <w:pPr>
              <w:rPr>
                <w:rFonts w:ascii="Arial" w:eastAsia="Times New Roman" w:hAnsi="Arial" w:cs="Arial"/>
                <w:sz w:val="18"/>
                <w:szCs w:val="18"/>
                <w:lang w:val="fr-CH"/>
              </w:rPr>
            </w:pPr>
            <w:r w:rsidRPr="00B33A61">
              <w:rPr>
                <w:rFonts w:ascii="Arial" w:eastAsia="Times New Roman" w:hAnsi="Arial" w:cs="Arial"/>
                <w:sz w:val="18"/>
                <w:szCs w:val="18"/>
                <w:lang w:val="fr-CH"/>
              </w:rPr>
              <w:t>Metformin plus sitagliptin or metformin plus rosiglitazone</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Metformin plus placebo</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273</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Change in HbA1c from baseline</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Proportion of patients achieving HbA1c &lt; 7%</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18</w:t>
            </w:r>
            <w:r w:rsidRPr="002D3E7E">
              <w:rPr>
                <w:rFonts w:ascii="Arial" w:eastAsia="Times New Roman" w:hAnsi="Arial" w:cs="Arial"/>
                <w:sz w:val="18"/>
                <w:szCs w:val="18"/>
              </w:rPr>
              <w:br/>
            </w:r>
            <w:r w:rsidRPr="002D3E7E">
              <w:rPr>
                <w:rFonts w:ascii="Arial" w:eastAsia="Times New Roman" w:hAnsi="Arial" w:cs="Arial"/>
                <w:sz w:val="18"/>
                <w:szCs w:val="18"/>
              </w:rPr>
              <w:br/>
              <w:t>NA</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Efficacy analyses were based on the APT population</w:t>
            </w:r>
            <w:r w:rsidRPr="002D3E7E">
              <w:rPr>
                <w:rFonts w:ascii="Arial" w:eastAsia="Times New Roman" w:hAnsi="Arial" w:cs="Arial"/>
                <w:sz w:val="18"/>
                <w:szCs w:val="18"/>
              </w:rPr>
              <w:br/>
            </w:r>
            <w:r w:rsidRPr="002D3E7E">
              <w:rPr>
                <w:rFonts w:ascii="Arial" w:eastAsia="Times New Roman" w:hAnsi="Arial" w:cs="Arial"/>
                <w:sz w:val="18"/>
                <w:szCs w:val="18"/>
              </w:rPr>
              <w:br/>
              <w:t>All randomized patients who received at least one dose of study drug and who had both a baseline and at least one postbaseline measurement</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LOCF</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lastRenderedPageBreak/>
              <w:t>Seino 2010</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Parallel group, double dummy, non-inferiority; superiority</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Liraglutide plus placebo</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 Glibenclamide plus placebo</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411</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A1c at 24 weeks</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Percent with A1c &lt;7.0 ("post hoc") or &lt;6.5%</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24</w:t>
            </w:r>
            <w:r w:rsidRPr="002D3E7E">
              <w:rPr>
                <w:rFonts w:ascii="Arial" w:eastAsia="Times New Roman" w:hAnsi="Arial" w:cs="Arial"/>
                <w:sz w:val="18"/>
                <w:szCs w:val="18"/>
              </w:rPr>
              <w:br/>
            </w:r>
            <w:r w:rsidRPr="002D3E7E">
              <w:rPr>
                <w:rFonts w:ascii="Arial" w:eastAsia="Times New Roman" w:hAnsi="Arial" w:cs="Arial"/>
                <w:sz w:val="18"/>
                <w:szCs w:val="18"/>
              </w:rPr>
              <w:br/>
              <w:t>Open-label extension to week 52 described but results NR herein</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FAS </w:t>
            </w:r>
            <w:r w:rsidRPr="002D3E7E">
              <w:rPr>
                <w:rFonts w:ascii="Arial" w:eastAsia="Times New Roman" w:hAnsi="Arial" w:cs="Arial"/>
                <w:sz w:val="18"/>
                <w:szCs w:val="18"/>
              </w:rPr>
              <w:br/>
            </w:r>
            <w:r w:rsidRPr="002D3E7E">
              <w:rPr>
                <w:rFonts w:ascii="Arial" w:eastAsia="Times New Roman" w:hAnsi="Arial" w:cs="Arial"/>
                <w:sz w:val="18"/>
                <w:szCs w:val="18"/>
              </w:rPr>
              <w:br/>
              <w:t>FAS= &gt;=1 dose drug</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LOCF </w:t>
            </w:r>
          </w:p>
        </w:tc>
      </w:tr>
      <w:tr w:rsidR="00B01E2B" w:rsidRPr="002D3E7E" w:rsidTr="00B01E2B">
        <w:trPr>
          <w:cantSplit/>
        </w:trPr>
        <w:tc>
          <w:tcPr>
            <w:tcW w:w="485" w:type="pct"/>
            <w:tcBorders>
              <w:top w:val="nil"/>
              <w:left w:val="single" w:sz="4" w:space="0" w:color="auto"/>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van der Meer 2009</w:t>
            </w:r>
          </w:p>
        </w:tc>
        <w:tc>
          <w:tcPr>
            <w:tcW w:w="64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Parallel group, double dummy, superiority</w:t>
            </w:r>
          </w:p>
        </w:tc>
        <w:tc>
          <w:tcPr>
            <w:tcW w:w="512"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Pioglitazone </w:t>
            </w:r>
          </w:p>
        </w:tc>
        <w:tc>
          <w:tcPr>
            <w:tcW w:w="51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 xml:space="preserve">Metformin </w:t>
            </w:r>
          </w:p>
        </w:tc>
        <w:tc>
          <w:tcPr>
            <w:tcW w:w="269"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78</w:t>
            </w:r>
          </w:p>
        </w:tc>
        <w:tc>
          <w:tcPr>
            <w:tcW w:w="416" w:type="pct"/>
            <w:gridSpan w:val="2"/>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None</w:t>
            </w:r>
          </w:p>
        </w:tc>
        <w:tc>
          <w:tcPr>
            <w:tcW w:w="636"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A1c</w:t>
            </w:r>
          </w:p>
        </w:tc>
        <w:tc>
          <w:tcPr>
            <w:tcW w:w="42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24</w:t>
            </w:r>
            <w:r w:rsidRPr="002D3E7E">
              <w:rPr>
                <w:rFonts w:ascii="Arial" w:eastAsia="Times New Roman" w:hAnsi="Arial" w:cs="Arial"/>
                <w:sz w:val="18"/>
                <w:szCs w:val="18"/>
              </w:rPr>
              <w:br/>
            </w:r>
            <w:r w:rsidRPr="002D3E7E">
              <w:rPr>
                <w:rFonts w:ascii="Arial" w:eastAsia="Times New Roman" w:hAnsi="Arial" w:cs="Arial"/>
                <w:sz w:val="18"/>
                <w:szCs w:val="18"/>
              </w:rPr>
              <w:br/>
              <w:t>NA</w:t>
            </w:r>
            <w:r w:rsidRPr="002D3E7E">
              <w:rPr>
                <w:rFonts w:ascii="Arial" w:eastAsia="Times New Roman" w:hAnsi="Arial" w:cs="Arial"/>
                <w:sz w:val="18"/>
                <w:szCs w:val="18"/>
              </w:rPr>
              <w:br/>
            </w:r>
            <w:r w:rsidRPr="002D3E7E">
              <w:rPr>
                <w:rFonts w:ascii="Arial" w:eastAsia="Times New Roman" w:hAnsi="Arial" w:cs="Arial"/>
                <w:sz w:val="18"/>
                <w:szCs w:val="18"/>
              </w:rPr>
              <w:br/>
              <w:t>NA</w:t>
            </w:r>
          </w:p>
        </w:tc>
        <w:tc>
          <w:tcPr>
            <w:tcW w:w="583"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NR</w:t>
            </w:r>
            <w:r w:rsidRPr="002D3E7E">
              <w:rPr>
                <w:rFonts w:ascii="Arial" w:eastAsia="Times New Roman" w:hAnsi="Arial" w:cs="Arial"/>
                <w:sz w:val="18"/>
                <w:szCs w:val="18"/>
              </w:rPr>
              <w:br/>
            </w:r>
            <w:r w:rsidRPr="002D3E7E">
              <w:rPr>
                <w:rFonts w:ascii="Arial" w:eastAsia="Times New Roman" w:hAnsi="Arial" w:cs="Arial"/>
                <w:sz w:val="18"/>
                <w:szCs w:val="18"/>
              </w:rPr>
              <w:br/>
              <w:t>NR</w:t>
            </w:r>
          </w:p>
        </w:tc>
        <w:tc>
          <w:tcPr>
            <w:tcW w:w="514" w:type="pct"/>
            <w:tcBorders>
              <w:top w:val="nil"/>
              <w:left w:val="nil"/>
              <w:bottom w:val="single" w:sz="4" w:space="0" w:color="auto"/>
              <w:right w:val="single" w:sz="4" w:space="0" w:color="auto"/>
            </w:tcBorders>
            <w:shd w:val="clear" w:color="auto" w:fill="FFFFFF"/>
            <w:hideMark/>
          </w:tcPr>
          <w:p w:rsidR="00B01E2B" w:rsidRPr="002D3E7E" w:rsidRDefault="00B01E2B" w:rsidP="00B01E2B">
            <w:pPr>
              <w:rPr>
                <w:rFonts w:ascii="Arial" w:eastAsia="Times New Roman" w:hAnsi="Arial" w:cs="Arial"/>
                <w:sz w:val="18"/>
                <w:szCs w:val="18"/>
              </w:rPr>
            </w:pPr>
            <w:r w:rsidRPr="002D3E7E">
              <w:rPr>
                <w:rFonts w:ascii="Arial" w:eastAsia="Times New Roman" w:hAnsi="Arial" w:cs="Arial"/>
                <w:sz w:val="18"/>
                <w:szCs w:val="18"/>
              </w:rPr>
              <w:t>NR</w:t>
            </w:r>
          </w:p>
        </w:tc>
      </w:tr>
    </w:tbl>
    <w:p w:rsidR="00B01E2B" w:rsidRDefault="00B01E2B" w:rsidP="001900AD"/>
    <w:sectPr w:rsidR="00B01E2B" w:rsidSect="00A54D99">
      <w:footerReference w:type="default" r:id="rId8"/>
      <w:pgSz w:w="15840" w:h="12240" w:orient="landscape" w:code="1"/>
      <w:pgMar w:top="1440" w:right="720" w:bottom="1440" w:left="720" w:header="720" w:footer="720" w:gutter="0"/>
      <w:pgNumType w:start="2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C7E" w:rsidRDefault="00040C7E" w:rsidP="007A73D8">
      <w:r>
        <w:separator/>
      </w:r>
    </w:p>
  </w:endnote>
  <w:endnote w:type="continuationSeparator" w:id="0">
    <w:p w:rsidR="00040C7E" w:rsidRDefault="00040C7E" w:rsidP="007A7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etaHeadlineOT-Bold">
    <w:altName w:val="MetaHeadlineOT-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562" w:rsidRDefault="00681562" w:rsidP="00B01E2B">
    <w:pPr>
      <w:pStyle w:val="Footer"/>
      <w:jc w:val="center"/>
    </w:pPr>
    <w:r>
      <w:rPr>
        <w:szCs w:val="24"/>
      </w:rPr>
      <w:t>B</w:t>
    </w:r>
    <w:r w:rsidRPr="00F13288">
      <w:rPr>
        <w:szCs w:val="24"/>
      </w:rPr>
      <w:t>-</w:t>
    </w:r>
    <w:r w:rsidR="007E551C" w:rsidRPr="00F13288">
      <w:rPr>
        <w:szCs w:val="24"/>
      </w:rPr>
      <w:fldChar w:fldCharType="begin"/>
    </w:r>
    <w:r w:rsidRPr="00F13288">
      <w:rPr>
        <w:szCs w:val="24"/>
      </w:rPr>
      <w:instrText xml:space="preserve"> PAGE   \* MERGEFORMAT </w:instrText>
    </w:r>
    <w:r w:rsidR="007E551C" w:rsidRPr="00F13288">
      <w:rPr>
        <w:szCs w:val="24"/>
      </w:rPr>
      <w:fldChar w:fldCharType="separate"/>
    </w:r>
    <w:r w:rsidR="006F0364">
      <w:rPr>
        <w:noProof/>
        <w:szCs w:val="24"/>
      </w:rPr>
      <w:t>35</w:t>
    </w:r>
    <w:r w:rsidR="007E551C" w:rsidRPr="00F13288">
      <w:rP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C7E" w:rsidRDefault="00040C7E" w:rsidP="007A73D8">
      <w:r>
        <w:separator/>
      </w:r>
    </w:p>
  </w:footnote>
  <w:footnote w:type="continuationSeparator" w:id="0">
    <w:p w:rsidR="00040C7E" w:rsidRDefault="00040C7E" w:rsidP="007A73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851"/>
    <w:multiLevelType w:val="hybridMultilevel"/>
    <w:tmpl w:val="46CC8818"/>
    <w:lvl w:ilvl="0" w:tplc="679AE3BA">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B46FC"/>
    <w:multiLevelType w:val="hybridMultilevel"/>
    <w:tmpl w:val="5058B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A207F"/>
    <w:multiLevelType w:val="hybridMultilevel"/>
    <w:tmpl w:val="5058B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271C1"/>
    <w:multiLevelType w:val="hybridMultilevel"/>
    <w:tmpl w:val="C986B09C"/>
    <w:lvl w:ilvl="0" w:tplc="FA3C97DE">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A0CA0"/>
    <w:multiLevelType w:val="hybridMultilevel"/>
    <w:tmpl w:val="0466169E"/>
    <w:lvl w:ilvl="0" w:tplc="1F1026A8">
      <w:start w:val="1"/>
      <w:numFmt w:val="bullet"/>
      <w:lvlText w:val="-"/>
      <w:lvlJc w:val="left"/>
      <w:pPr>
        <w:tabs>
          <w:tab w:val="num" w:pos="720"/>
        </w:tabs>
        <w:ind w:left="720" w:hanging="360"/>
      </w:pPr>
      <w:rPr>
        <w:rFonts w:ascii="Times New Roman" w:hAnsi="Times New Roman" w:hint="default"/>
      </w:rPr>
    </w:lvl>
    <w:lvl w:ilvl="1" w:tplc="73ECBF68" w:tentative="1">
      <w:start w:val="1"/>
      <w:numFmt w:val="bullet"/>
      <w:lvlText w:val="-"/>
      <w:lvlJc w:val="left"/>
      <w:pPr>
        <w:tabs>
          <w:tab w:val="num" w:pos="1440"/>
        </w:tabs>
        <w:ind w:left="1440" w:hanging="360"/>
      </w:pPr>
      <w:rPr>
        <w:rFonts w:ascii="Times New Roman" w:hAnsi="Times New Roman" w:hint="default"/>
      </w:rPr>
    </w:lvl>
    <w:lvl w:ilvl="2" w:tplc="8F1476E8" w:tentative="1">
      <w:start w:val="1"/>
      <w:numFmt w:val="bullet"/>
      <w:lvlText w:val="-"/>
      <w:lvlJc w:val="left"/>
      <w:pPr>
        <w:tabs>
          <w:tab w:val="num" w:pos="2160"/>
        </w:tabs>
        <w:ind w:left="2160" w:hanging="360"/>
      </w:pPr>
      <w:rPr>
        <w:rFonts w:ascii="Times New Roman" w:hAnsi="Times New Roman" w:hint="default"/>
      </w:rPr>
    </w:lvl>
    <w:lvl w:ilvl="3" w:tplc="150AA89E" w:tentative="1">
      <w:start w:val="1"/>
      <w:numFmt w:val="bullet"/>
      <w:lvlText w:val="-"/>
      <w:lvlJc w:val="left"/>
      <w:pPr>
        <w:tabs>
          <w:tab w:val="num" w:pos="2880"/>
        </w:tabs>
        <w:ind w:left="2880" w:hanging="360"/>
      </w:pPr>
      <w:rPr>
        <w:rFonts w:ascii="Times New Roman" w:hAnsi="Times New Roman" w:hint="default"/>
      </w:rPr>
    </w:lvl>
    <w:lvl w:ilvl="4" w:tplc="399C8162" w:tentative="1">
      <w:start w:val="1"/>
      <w:numFmt w:val="bullet"/>
      <w:lvlText w:val="-"/>
      <w:lvlJc w:val="left"/>
      <w:pPr>
        <w:tabs>
          <w:tab w:val="num" w:pos="3600"/>
        </w:tabs>
        <w:ind w:left="3600" w:hanging="360"/>
      </w:pPr>
      <w:rPr>
        <w:rFonts w:ascii="Times New Roman" w:hAnsi="Times New Roman" w:hint="default"/>
      </w:rPr>
    </w:lvl>
    <w:lvl w:ilvl="5" w:tplc="EB68AACA" w:tentative="1">
      <w:start w:val="1"/>
      <w:numFmt w:val="bullet"/>
      <w:lvlText w:val="-"/>
      <w:lvlJc w:val="left"/>
      <w:pPr>
        <w:tabs>
          <w:tab w:val="num" w:pos="4320"/>
        </w:tabs>
        <w:ind w:left="4320" w:hanging="360"/>
      </w:pPr>
      <w:rPr>
        <w:rFonts w:ascii="Times New Roman" w:hAnsi="Times New Roman" w:hint="default"/>
      </w:rPr>
    </w:lvl>
    <w:lvl w:ilvl="6" w:tplc="71427032" w:tentative="1">
      <w:start w:val="1"/>
      <w:numFmt w:val="bullet"/>
      <w:lvlText w:val="-"/>
      <w:lvlJc w:val="left"/>
      <w:pPr>
        <w:tabs>
          <w:tab w:val="num" w:pos="5040"/>
        </w:tabs>
        <w:ind w:left="5040" w:hanging="360"/>
      </w:pPr>
      <w:rPr>
        <w:rFonts w:ascii="Times New Roman" w:hAnsi="Times New Roman" w:hint="default"/>
      </w:rPr>
    </w:lvl>
    <w:lvl w:ilvl="7" w:tplc="A168AA7A" w:tentative="1">
      <w:start w:val="1"/>
      <w:numFmt w:val="bullet"/>
      <w:lvlText w:val="-"/>
      <w:lvlJc w:val="left"/>
      <w:pPr>
        <w:tabs>
          <w:tab w:val="num" w:pos="5760"/>
        </w:tabs>
        <w:ind w:left="5760" w:hanging="360"/>
      </w:pPr>
      <w:rPr>
        <w:rFonts w:ascii="Times New Roman" w:hAnsi="Times New Roman" w:hint="default"/>
      </w:rPr>
    </w:lvl>
    <w:lvl w:ilvl="8" w:tplc="B5A4E812" w:tentative="1">
      <w:start w:val="1"/>
      <w:numFmt w:val="bullet"/>
      <w:lvlText w:val="-"/>
      <w:lvlJc w:val="left"/>
      <w:pPr>
        <w:tabs>
          <w:tab w:val="num" w:pos="6480"/>
        </w:tabs>
        <w:ind w:left="6480" w:hanging="360"/>
      </w:pPr>
      <w:rPr>
        <w:rFonts w:ascii="Times New Roman" w:hAnsi="Times New Roman" w:hint="default"/>
      </w:rPr>
    </w:lvl>
  </w:abstractNum>
  <w:abstractNum w:abstractNumId="7">
    <w:nsid w:val="32495865"/>
    <w:multiLevelType w:val="hybridMultilevel"/>
    <w:tmpl w:val="41B05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0F4421"/>
    <w:multiLevelType w:val="hybridMultilevel"/>
    <w:tmpl w:val="5058B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506A0C"/>
    <w:multiLevelType w:val="hybridMultilevel"/>
    <w:tmpl w:val="438A7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FB4D6F"/>
    <w:multiLevelType w:val="hybridMultilevel"/>
    <w:tmpl w:val="E6CE1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6131632"/>
    <w:multiLevelType w:val="hybridMultilevel"/>
    <w:tmpl w:val="3C40C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B52A08"/>
    <w:multiLevelType w:val="hybridMultilevel"/>
    <w:tmpl w:val="723CC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B7F26"/>
    <w:multiLevelType w:val="hybridMultilevel"/>
    <w:tmpl w:val="4F886F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3F3F8E"/>
    <w:multiLevelType w:val="hybridMultilevel"/>
    <w:tmpl w:val="F59E5FA0"/>
    <w:lvl w:ilvl="0" w:tplc="0BB0A36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996113D"/>
    <w:multiLevelType w:val="hybridMultilevel"/>
    <w:tmpl w:val="E61A10C4"/>
    <w:lvl w:ilvl="0" w:tplc="87AC79E0">
      <w:start w:val="1"/>
      <w:numFmt w:val="bullet"/>
      <w:lvlText w:val="-"/>
      <w:lvlJc w:val="left"/>
      <w:pPr>
        <w:tabs>
          <w:tab w:val="num" w:pos="720"/>
        </w:tabs>
        <w:ind w:left="720" w:hanging="360"/>
      </w:pPr>
      <w:rPr>
        <w:rFonts w:ascii="Times New Roman" w:hAnsi="Times New Roman" w:hint="default"/>
      </w:rPr>
    </w:lvl>
    <w:lvl w:ilvl="1" w:tplc="26FE2808" w:tentative="1">
      <w:start w:val="1"/>
      <w:numFmt w:val="bullet"/>
      <w:lvlText w:val="-"/>
      <w:lvlJc w:val="left"/>
      <w:pPr>
        <w:tabs>
          <w:tab w:val="num" w:pos="1440"/>
        </w:tabs>
        <w:ind w:left="1440" w:hanging="360"/>
      </w:pPr>
      <w:rPr>
        <w:rFonts w:ascii="Times New Roman" w:hAnsi="Times New Roman" w:hint="default"/>
      </w:rPr>
    </w:lvl>
    <w:lvl w:ilvl="2" w:tplc="26C0D73E" w:tentative="1">
      <w:start w:val="1"/>
      <w:numFmt w:val="bullet"/>
      <w:lvlText w:val="-"/>
      <w:lvlJc w:val="left"/>
      <w:pPr>
        <w:tabs>
          <w:tab w:val="num" w:pos="2160"/>
        </w:tabs>
        <w:ind w:left="2160" w:hanging="360"/>
      </w:pPr>
      <w:rPr>
        <w:rFonts w:ascii="Times New Roman" w:hAnsi="Times New Roman" w:hint="default"/>
      </w:rPr>
    </w:lvl>
    <w:lvl w:ilvl="3" w:tplc="1D42C6CC" w:tentative="1">
      <w:start w:val="1"/>
      <w:numFmt w:val="bullet"/>
      <w:lvlText w:val="-"/>
      <w:lvlJc w:val="left"/>
      <w:pPr>
        <w:tabs>
          <w:tab w:val="num" w:pos="2880"/>
        </w:tabs>
        <w:ind w:left="2880" w:hanging="360"/>
      </w:pPr>
      <w:rPr>
        <w:rFonts w:ascii="Times New Roman" w:hAnsi="Times New Roman" w:hint="default"/>
      </w:rPr>
    </w:lvl>
    <w:lvl w:ilvl="4" w:tplc="3270412A" w:tentative="1">
      <w:start w:val="1"/>
      <w:numFmt w:val="bullet"/>
      <w:lvlText w:val="-"/>
      <w:lvlJc w:val="left"/>
      <w:pPr>
        <w:tabs>
          <w:tab w:val="num" w:pos="3600"/>
        </w:tabs>
        <w:ind w:left="3600" w:hanging="360"/>
      </w:pPr>
      <w:rPr>
        <w:rFonts w:ascii="Times New Roman" w:hAnsi="Times New Roman" w:hint="default"/>
      </w:rPr>
    </w:lvl>
    <w:lvl w:ilvl="5" w:tplc="3C20E7A4" w:tentative="1">
      <w:start w:val="1"/>
      <w:numFmt w:val="bullet"/>
      <w:lvlText w:val="-"/>
      <w:lvlJc w:val="left"/>
      <w:pPr>
        <w:tabs>
          <w:tab w:val="num" w:pos="4320"/>
        </w:tabs>
        <w:ind w:left="4320" w:hanging="360"/>
      </w:pPr>
      <w:rPr>
        <w:rFonts w:ascii="Times New Roman" w:hAnsi="Times New Roman" w:hint="default"/>
      </w:rPr>
    </w:lvl>
    <w:lvl w:ilvl="6" w:tplc="0A0A9658" w:tentative="1">
      <w:start w:val="1"/>
      <w:numFmt w:val="bullet"/>
      <w:lvlText w:val="-"/>
      <w:lvlJc w:val="left"/>
      <w:pPr>
        <w:tabs>
          <w:tab w:val="num" w:pos="5040"/>
        </w:tabs>
        <w:ind w:left="5040" w:hanging="360"/>
      </w:pPr>
      <w:rPr>
        <w:rFonts w:ascii="Times New Roman" w:hAnsi="Times New Roman" w:hint="default"/>
      </w:rPr>
    </w:lvl>
    <w:lvl w:ilvl="7" w:tplc="25A0EED4" w:tentative="1">
      <w:start w:val="1"/>
      <w:numFmt w:val="bullet"/>
      <w:lvlText w:val="-"/>
      <w:lvlJc w:val="left"/>
      <w:pPr>
        <w:tabs>
          <w:tab w:val="num" w:pos="5760"/>
        </w:tabs>
        <w:ind w:left="5760" w:hanging="360"/>
      </w:pPr>
      <w:rPr>
        <w:rFonts w:ascii="Times New Roman" w:hAnsi="Times New Roman" w:hint="default"/>
      </w:rPr>
    </w:lvl>
    <w:lvl w:ilvl="8" w:tplc="F0E051C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E2E6560"/>
    <w:multiLevelType w:val="hybridMultilevel"/>
    <w:tmpl w:val="549A2F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E25CA3"/>
    <w:multiLevelType w:val="hybridMultilevel"/>
    <w:tmpl w:val="BD667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2B486D"/>
    <w:multiLevelType w:val="hybridMultilevel"/>
    <w:tmpl w:val="9464278E"/>
    <w:lvl w:ilvl="0" w:tplc="F41A314C">
      <w:start w:val="1"/>
      <w:numFmt w:val="bullet"/>
      <w:lvlText w:val="-"/>
      <w:lvlJc w:val="left"/>
      <w:pPr>
        <w:tabs>
          <w:tab w:val="num" w:pos="720"/>
        </w:tabs>
        <w:ind w:left="720" w:hanging="360"/>
      </w:pPr>
      <w:rPr>
        <w:rFonts w:ascii="Times New Roman" w:hAnsi="Times New Roman" w:hint="default"/>
      </w:rPr>
    </w:lvl>
    <w:lvl w:ilvl="1" w:tplc="A1DE5124" w:tentative="1">
      <w:start w:val="1"/>
      <w:numFmt w:val="bullet"/>
      <w:lvlText w:val="-"/>
      <w:lvlJc w:val="left"/>
      <w:pPr>
        <w:tabs>
          <w:tab w:val="num" w:pos="1440"/>
        </w:tabs>
        <w:ind w:left="1440" w:hanging="360"/>
      </w:pPr>
      <w:rPr>
        <w:rFonts w:ascii="Times New Roman" w:hAnsi="Times New Roman" w:hint="default"/>
      </w:rPr>
    </w:lvl>
    <w:lvl w:ilvl="2" w:tplc="4A921848" w:tentative="1">
      <w:start w:val="1"/>
      <w:numFmt w:val="bullet"/>
      <w:lvlText w:val="-"/>
      <w:lvlJc w:val="left"/>
      <w:pPr>
        <w:tabs>
          <w:tab w:val="num" w:pos="2160"/>
        </w:tabs>
        <w:ind w:left="2160" w:hanging="360"/>
      </w:pPr>
      <w:rPr>
        <w:rFonts w:ascii="Times New Roman" w:hAnsi="Times New Roman" w:hint="default"/>
      </w:rPr>
    </w:lvl>
    <w:lvl w:ilvl="3" w:tplc="EA6E2A58" w:tentative="1">
      <w:start w:val="1"/>
      <w:numFmt w:val="bullet"/>
      <w:lvlText w:val="-"/>
      <w:lvlJc w:val="left"/>
      <w:pPr>
        <w:tabs>
          <w:tab w:val="num" w:pos="2880"/>
        </w:tabs>
        <w:ind w:left="2880" w:hanging="360"/>
      </w:pPr>
      <w:rPr>
        <w:rFonts w:ascii="Times New Roman" w:hAnsi="Times New Roman" w:hint="default"/>
      </w:rPr>
    </w:lvl>
    <w:lvl w:ilvl="4" w:tplc="D6DEB4C2" w:tentative="1">
      <w:start w:val="1"/>
      <w:numFmt w:val="bullet"/>
      <w:lvlText w:val="-"/>
      <w:lvlJc w:val="left"/>
      <w:pPr>
        <w:tabs>
          <w:tab w:val="num" w:pos="3600"/>
        </w:tabs>
        <w:ind w:left="3600" w:hanging="360"/>
      </w:pPr>
      <w:rPr>
        <w:rFonts w:ascii="Times New Roman" w:hAnsi="Times New Roman" w:hint="default"/>
      </w:rPr>
    </w:lvl>
    <w:lvl w:ilvl="5" w:tplc="28300180" w:tentative="1">
      <w:start w:val="1"/>
      <w:numFmt w:val="bullet"/>
      <w:lvlText w:val="-"/>
      <w:lvlJc w:val="left"/>
      <w:pPr>
        <w:tabs>
          <w:tab w:val="num" w:pos="4320"/>
        </w:tabs>
        <w:ind w:left="4320" w:hanging="360"/>
      </w:pPr>
      <w:rPr>
        <w:rFonts w:ascii="Times New Roman" w:hAnsi="Times New Roman" w:hint="default"/>
      </w:rPr>
    </w:lvl>
    <w:lvl w:ilvl="6" w:tplc="E8CA26AE" w:tentative="1">
      <w:start w:val="1"/>
      <w:numFmt w:val="bullet"/>
      <w:lvlText w:val="-"/>
      <w:lvlJc w:val="left"/>
      <w:pPr>
        <w:tabs>
          <w:tab w:val="num" w:pos="5040"/>
        </w:tabs>
        <w:ind w:left="5040" w:hanging="360"/>
      </w:pPr>
      <w:rPr>
        <w:rFonts w:ascii="Times New Roman" w:hAnsi="Times New Roman" w:hint="default"/>
      </w:rPr>
    </w:lvl>
    <w:lvl w:ilvl="7" w:tplc="40A6ADE4" w:tentative="1">
      <w:start w:val="1"/>
      <w:numFmt w:val="bullet"/>
      <w:lvlText w:val="-"/>
      <w:lvlJc w:val="left"/>
      <w:pPr>
        <w:tabs>
          <w:tab w:val="num" w:pos="5760"/>
        </w:tabs>
        <w:ind w:left="5760" w:hanging="360"/>
      </w:pPr>
      <w:rPr>
        <w:rFonts w:ascii="Times New Roman" w:hAnsi="Times New Roman" w:hint="default"/>
      </w:rPr>
    </w:lvl>
    <w:lvl w:ilvl="8" w:tplc="B8C84EC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6C44B44"/>
    <w:multiLevelType w:val="hybridMultilevel"/>
    <w:tmpl w:val="BD667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A134B6"/>
    <w:multiLevelType w:val="hybridMultilevel"/>
    <w:tmpl w:val="D4C6719C"/>
    <w:lvl w:ilvl="0" w:tplc="5A98F83C">
      <w:start w:val="1"/>
      <w:numFmt w:val="decimal"/>
      <w:lvlText w:val="%1."/>
      <w:lvlJc w:val="left"/>
      <w:pPr>
        <w:tabs>
          <w:tab w:val="num" w:pos="720"/>
        </w:tabs>
        <w:ind w:left="72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117F46"/>
    <w:multiLevelType w:val="hybridMultilevel"/>
    <w:tmpl w:val="549A2F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C81F4F"/>
    <w:multiLevelType w:val="hybridMultilevel"/>
    <w:tmpl w:val="BD667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10"/>
  </w:num>
  <w:num w:numId="4">
    <w:abstractNumId w:val="11"/>
  </w:num>
  <w:num w:numId="5">
    <w:abstractNumId w:val="24"/>
  </w:num>
  <w:num w:numId="6">
    <w:abstractNumId w:val="0"/>
  </w:num>
  <w:num w:numId="7">
    <w:abstractNumId w:val="14"/>
  </w:num>
  <w:num w:numId="8">
    <w:abstractNumId w:val="7"/>
  </w:num>
  <w:num w:numId="9">
    <w:abstractNumId w:val="25"/>
  </w:num>
  <w:num w:numId="10">
    <w:abstractNumId w:val="3"/>
  </w:num>
  <w:num w:numId="11">
    <w:abstractNumId w:val="4"/>
  </w:num>
  <w:num w:numId="12">
    <w:abstractNumId w:val="16"/>
  </w:num>
  <w:num w:numId="13">
    <w:abstractNumId w:val="21"/>
  </w:num>
  <w:num w:numId="14">
    <w:abstractNumId w:val="2"/>
  </w:num>
  <w:num w:numId="15">
    <w:abstractNumId w:val="19"/>
  </w:num>
  <w:num w:numId="16">
    <w:abstractNumId w:val="8"/>
  </w:num>
  <w:num w:numId="17">
    <w:abstractNumId w:val="20"/>
  </w:num>
  <w:num w:numId="18">
    <w:abstractNumId w:val="6"/>
  </w:num>
  <w:num w:numId="19">
    <w:abstractNumId w:val="17"/>
  </w:num>
  <w:num w:numId="20">
    <w:abstractNumId w:val="15"/>
  </w:num>
  <w:num w:numId="21">
    <w:abstractNumId w:val="22"/>
  </w:num>
  <w:num w:numId="22">
    <w:abstractNumId w:val="1"/>
  </w:num>
  <w:num w:numId="23">
    <w:abstractNumId w:val="13"/>
  </w:num>
  <w:num w:numId="24">
    <w:abstractNumId w:val="5"/>
  </w:num>
  <w:num w:numId="25">
    <w:abstractNumId w:val="12"/>
  </w:num>
  <w:num w:numId="26">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EndNote_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OR.enl&lt;/item&gt;&lt;/Libraries&gt;&lt;/ENLibraries&gt;"/>
  </w:docVars>
  <w:rsids>
    <w:rsidRoot w:val="00523AE6"/>
    <w:rsid w:val="0000010F"/>
    <w:rsid w:val="00015909"/>
    <w:rsid w:val="00032248"/>
    <w:rsid w:val="00040C7E"/>
    <w:rsid w:val="00042AF5"/>
    <w:rsid w:val="00043C67"/>
    <w:rsid w:val="00050769"/>
    <w:rsid w:val="000547F4"/>
    <w:rsid w:val="0005545F"/>
    <w:rsid w:val="00061E59"/>
    <w:rsid w:val="00061F48"/>
    <w:rsid w:val="00062E1A"/>
    <w:rsid w:val="000635AD"/>
    <w:rsid w:val="000647A4"/>
    <w:rsid w:val="00065EC0"/>
    <w:rsid w:val="00071F2A"/>
    <w:rsid w:val="0007277B"/>
    <w:rsid w:val="00080A32"/>
    <w:rsid w:val="00082793"/>
    <w:rsid w:val="000866E7"/>
    <w:rsid w:val="000912AB"/>
    <w:rsid w:val="0009141C"/>
    <w:rsid w:val="00096626"/>
    <w:rsid w:val="000A499E"/>
    <w:rsid w:val="000A7C75"/>
    <w:rsid w:val="000B17C2"/>
    <w:rsid w:val="000B2A68"/>
    <w:rsid w:val="000B3B9F"/>
    <w:rsid w:val="000B5015"/>
    <w:rsid w:val="000B6383"/>
    <w:rsid w:val="000B70FB"/>
    <w:rsid w:val="000D0280"/>
    <w:rsid w:val="000D1342"/>
    <w:rsid w:val="000D2A75"/>
    <w:rsid w:val="000D32E2"/>
    <w:rsid w:val="000D3ECD"/>
    <w:rsid w:val="000D5D3B"/>
    <w:rsid w:val="000D67FB"/>
    <w:rsid w:val="000D7427"/>
    <w:rsid w:val="000E0181"/>
    <w:rsid w:val="000E6437"/>
    <w:rsid w:val="000F27C8"/>
    <w:rsid w:val="000F2FF2"/>
    <w:rsid w:val="000F3787"/>
    <w:rsid w:val="000F5D7D"/>
    <w:rsid w:val="000F69EE"/>
    <w:rsid w:val="0010146C"/>
    <w:rsid w:val="0010665D"/>
    <w:rsid w:val="00106F11"/>
    <w:rsid w:val="00110996"/>
    <w:rsid w:val="00110A77"/>
    <w:rsid w:val="00111B08"/>
    <w:rsid w:val="0011613C"/>
    <w:rsid w:val="00116D9F"/>
    <w:rsid w:val="00121503"/>
    <w:rsid w:val="00134B3B"/>
    <w:rsid w:val="00136FD0"/>
    <w:rsid w:val="001403F9"/>
    <w:rsid w:val="001468E9"/>
    <w:rsid w:val="001538F3"/>
    <w:rsid w:val="00153A75"/>
    <w:rsid w:val="00153F40"/>
    <w:rsid w:val="00170B27"/>
    <w:rsid w:val="00171CF9"/>
    <w:rsid w:val="001767BA"/>
    <w:rsid w:val="001776F5"/>
    <w:rsid w:val="00180105"/>
    <w:rsid w:val="00182039"/>
    <w:rsid w:val="00182B12"/>
    <w:rsid w:val="00186575"/>
    <w:rsid w:val="00187173"/>
    <w:rsid w:val="001900AD"/>
    <w:rsid w:val="00193F89"/>
    <w:rsid w:val="001A538D"/>
    <w:rsid w:val="001A7AF8"/>
    <w:rsid w:val="001B01CC"/>
    <w:rsid w:val="001B1539"/>
    <w:rsid w:val="001B4A37"/>
    <w:rsid w:val="001B7F8F"/>
    <w:rsid w:val="001C30E7"/>
    <w:rsid w:val="001D00E9"/>
    <w:rsid w:val="001D1212"/>
    <w:rsid w:val="001D1902"/>
    <w:rsid w:val="001D1A56"/>
    <w:rsid w:val="001F0D6D"/>
    <w:rsid w:val="001F3ED6"/>
    <w:rsid w:val="001F645B"/>
    <w:rsid w:val="001F7100"/>
    <w:rsid w:val="00207E0C"/>
    <w:rsid w:val="002173BF"/>
    <w:rsid w:val="0022005A"/>
    <w:rsid w:val="002236E5"/>
    <w:rsid w:val="00226C35"/>
    <w:rsid w:val="00226DE0"/>
    <w:rsid w:val="002273C7"/>
    <w:rsid w:val="00231023"/>
    <w:rsid w:val="00234ACF"/>
    <w:rsid w:val="00234F94"/>
    <w:rsid w:val="0023568A"/>
    <w:rsid w:val="00237BE5"/>
    <w:rsid w:val="00247B4C"/>
    <w:rsid w:val="00251D19"/>
    <w:rsid w:val="00254B61"/>
    <w:rsid w:val="00254FFC"/>
    <w:rsid w:val="00255FBB"/>
    <w:rsid w:val="00257049"/>
    <w:rsid w:val="00257A26"/>
    <w:rsid w:val="002717D8"/>
    <w:rsid w:val="00271ED9"/>
    <w:rsid w:val="00272A97"/>
    <w:rsid w:val="00274D03"/>
    <w:rsid w:val="00281066"/>
    <w:rsid w:val="00285A12"/>
    <w:rsid w:val="00291914"/>
    <w:rsid w:val="00294A4A"/>
    <w:rsid w:val="002A10B7"/>
    <w:rsid w:val="002A1ED0"/>
    <w:rsid w:val="002A2A48"/>
    <w:rsid w:val="002A4A55"/>
    <w:rsid w:val="002A57A6"/>
    <w:rsid w:val="002B58C5"/>
    <w:rsid w:val="002B68EC"/>
    <w:rsid w:val="002C1FD5"/>
    <w:rsid w:val="002D029F"/>
    <w:rsid w:val="002D0C6E"/>
    <w:rsid w:val="002E1666"/>
    <w:rsid w:val="002E6585"/>
    <w:rsid w:val="00301BDA"/>
    <w:rsid w:val="00301FF6"/>
    <w:rsid w:val="003132C1"/>
    <w:rsid w:val="003174A1"/>
    <w:rsid w:val="0031787D"/>
    <w:rsid w:val="00324B25"/>
    <w:rsid w:val="00331236"/>
    <w:rsid w:val="00337E2B"/>
    <w:rsid w:val="00341668"/>
    <w:rsid w:val="00354F1E"/>
    <w:rsid w:val="00355471"/>
    <w:rsid w:val="0035575C"/>
    <w:rsid w:val="003A0574"/>
    <w:rsid w:val="003A4B6A"/>
    <w:rsid w:val="003A6BE4"/>
    <w:rsid w:val="003A6E43"/>
    <w:rsid w:val="003A7588"/>
    <w:rsid w:val="003A795C"/>
    <w:rsid w:val="003B7BE7"/>
    <w:rsid w:val="003C1330"/>
    <w:rsid w:val="003C25E9"/>
    <w:rsid w:val="003D1C27"/>
    <w:rsid w:val="003D6531"/>
    <w:rsid w:val="003E2B38"/>
    <w:rsid w:val="003E6969"/>
    <w:rsid w:val="003F4CC9"/>
    <w:rsid w:val="003F56A4"/>
    <w:rsid w:val="0040051B"/>
    <w:rsid w:val="00411E93"/>
    <w:rsid w:val="00415A5E"/>
    <w:rsid w:val="00415B9D"/>
    <w:rsid w:val="0041676F"/>
    <w:rsid w:val="004221F9"/>
    <w:rsid w:val="004255BF"/>
    <w:rsid w:val="0042610B"/>
    <w:rsid w:val="00426A71"/>
    <w:rsid w:val="00430AD1"/>
    <w:rsid w:val="004310D4"/>
    <w:rsid w:val="00433506"/>
    <w:rsid w:val="0043459B"/>
    <w:rsid w:val="0043541D"/>
    <w:rsid w:val="00436897"/>
    <w:rsid w:val="00440D05"/>
    <w:rsid w:val="00444B65"/>
    <w:rsid w:val="00450425"/>
    <w:rsid w:val="00464BEB"/>
    <w:rsid w:val="004765E6"/>
    <w:rsid w:val="00480E00"/>
    <w:rsid w:val="00491882"/>
    <w:rsid w:val="004A0AA2"/>
    <w:rsid w:val="004A2325"/>
    <w:rsid w:val="004A2F80"/>
    <w:rsid w:val="004A3205"/>
    <w:rsid w:val="004A7387"/>
    <w:rsid w:val="004A763D"/>
    <w:rsid w:val="004B0786"/>
    <w:rsid w:val="004B2740"/>
    <w:rsid w:val="004B36CD"/>
    <w:rsid w:val="004C3EDE"/>
    <w:rsid w:val="004D29FA"/>
    <w:rsid w:val="004D60E7"/>
    <w:rsid w:val="004D7721"/>
    <w:rsid w:val="004E53CC"/>
    <w:rsid w:val="004E7E32"/>
    <w:rsid w:val="004F0F8F"/>
    <w:rsid w:val="004F2FFB"/>
    <w:rsid w:val="004F4D85"/>
    <w:rsid w:val="004F6F15"/>
    <w:rsid w:val="004F74C6"/>
    <w:rsid w:val="005026BF"/>
    <w:rsid w:val="00502772"/>
    <w:rsid w:val="005041DE"/>
    <w:rsid w:val="00504690"/>
    <w:rsid w:val="00504EB7"/>
    <w:rsid w:val="0050589D"/>
    <w:rsid w:val="00517BE7"/>
    <w:rsid w:val="0052143C"/>
    <w:rsid w:val="0052270F"/>
    <w:rsid w:val="00523AE6"/>
    <w:rsid w:val="00530AB4"/>
    <w:rsid w:val="00533534"/>
    <w:rsid w:val="005365D1"/>
    <w:rsid w:val="00536A2B"/>
    <w:rsid w:val="0053709C"/>
    <w:rsid w:val="00537680"/>
    <w:rsid w:val="00540538"/>
    <w:rsid w:val="00540678"/>
    <w:rsid w:val="0054168B"/>
    <w:rsid w:val="00543A75"/>
    <w:rsid w:val="00544146"/>
    <w:rsid w:val="00545ADB"/>
    <w:rsid w:val="00545FB9"/>
    <w:rsid w:val="00546541"/>
    <w:rsid w:val="00556031"/>
    <w:rsid w:val="00556856"/>
    <w:rsid w:val="00561A98"/>
    <w:rsid w:val="0056499A"/>
    <w:rsid w:val="00564F1D"/>
    <w:rsid w:val="005674EC"/>
    <w:rsid w:val="0057076C"/>
    <w:rsid w:val="00573067"/>
    <w:rsid w:val="00573279"/>
    <w:rsid w:val="00586409"/>
    <w:rsid w:val="00591D28"/>
    <w:rsid w:val="005941FB"/>
    <w:rsid w:val="00594253"/>
    <w:rsid w:val="00597BE1"/>
    <w:rsid w:val="005A50F4"/>
    <w:rsid w:val="005B04DB"/>
    <w:rsid w:val="005B23C7"/>
    <w:rsid w:val="005B3049"/>
    <w:rsid w:val="005B755C"/>
    <w:rsid w:val="005C06F6"/>
    <w:rsid w:val="005C375A"/>
    <w:rsid w:val="005D10AB"/>
    <w:rsid w:val="005D2306"/>
    <w:rsid w:val="005D36B9"/>
    <w:rsid w:val="005E1D68"/>
    <w:rsid w:val="005E24C3"/>
    <w:rsid w:val="005E26CF"/>
    <w:rsid w:val="005E6126"/>
    <w:rsid w:val="005E794A"/>
    <w:rsid w:val="005F13F3"/>
    <w:rsid w:val="006006D6"/>
    <w:rsid w:val="00607BBB"/>
    <w:rsid w:val="00612A04"/>
    <w:rsid w:val="00614384"/>
    <w:rsid w:val="00614FC3"/>
    <w:rsid w:val="006163A1"/>
    <w:rsid w:val="006163AE"/>
    <w:rsid w:val="00626EEB"/>
    <w:rsid w:val="0063070C"/>
    <w:rsid w:val="006345B6"/>
    <w:rsid w:val="006361A7"/>
    <w:rsid w:val="006377BE"/>
    <w:rsid w:val="006407BD"/>
    <w:rsid w:val="00642496"/>
    <w:rsid w:val="0064628A"/>
    <w:rsid w:val="00652503"/>
    <w:rsid w:val="00652D53"/>
    <w:rsid w:val="0067060F"/>
    <w:rsid w:val="00671A80"/>
    <w:rsid w:val="006729EF"/>
    <w:rsid w:val="00672F08"/>
    <w:rsid w:val="006754CF"/>
    <w:rsid w:val="00681562"/>
    <w:rsid w:val="006821EF"/>
    <w:rsid w:val="006825A0"/>
    <w:rsid w:val="0069207E"/>
    <w:rsid w:val="006A2675"/>
    <w:rsid w:val="006A2E0C"/>
    <w:rsid w:val="006B50C3"/>
    <w:rsid w:val="006C1495"/>
    <w:rsid w:val="006C4F65"/>
    <w:rsid w:val="006D6353"/>
    <w:rsid w:val="006E3C44"/>
    <w:rsid w:val="006E5AF1"/>
    <w:rsid w:val="006E5BF8"/>
    <w:rsid w:val="006E7A25"/>
    <w:rsid w:val="006F0364"/>
    <w:rsid w:val="006F19A0"/>
    <w:rsid w:val="0071180E"/>
    <w:rsid w:val="007118E2"/>
    <w:rsid w:val="00711A0F"/>
    <w:rsid w:val="00716BD6"/>
    <w:rsid w:val="00717CC9"/>
    <w:rsid w:val="00721F94"/>
    <w:rsid w:val="0072337E"/>
    <w:rsid w:val="00725807"/>
    <w:rsid w:val="00727C26"/>
    <w:rsid w:val="00733CE5"/>
    <w:rsid w:val="00736322"/>
    <w:rsid w:val="00742783"/>
    <w:rsid w:val="007479FF"/>
    <w:rsid w:val="0076326D"/>
    <w:rsid w:val="00763D11"/>
    <w:rsid w:val="007665C7"/>
    <w:rsid w:val="00770031"/>
    <w:rsid w:val="00775FC2"/>
    <w:rsid w:val="0077673F"/>
    <w:rsid w:val="00786F59"/>
    <w:rsid w:val="00790877"/>
    <w:rsid w:val="00792A93"/>
    <w:rsid w:val="00792AA5"/>
    <w:rsid w:val="00797268"/>
    <w:rsid w:val="00797EE6"/>
    <w:rsid w:val="007A2F43"/>
    <w:rsid w:val="007A4B7D"/>
    <w:rsid w:val="007A61BC"/>
    <w:rsid w:val="007A675F"/>
    <w:rsid w:val="007A6AEF"/>
    <w:rsid w:val="007A6C47"/>
    <w:rsid w:val="007A73D8"/>
    <w:rsid w:val="007B0388"/>
    <w:rsid w:val="007B0C0F"/>
    <w:rsid w:val="007B1D19"/>
    <w:rsid w:val="007B5D0C"/>
    <w:rsid w:val="007C2DBE"/>
    <w:rsid w:val="007C5275"/>
    <w:rsid w:val="007C6C31"/>
    <w:rsid w:val="007D4DC5"/>
    <w:rsid w:val="007D6E92"/>
    <w:rsid w:val="007E551C"/>
    <w:rsid w:val="007F5B4F"/>
    <w:rsid w:val="007F635F"/>
    <w:rsid w:val="00801B5A"/>
    <w:rsid w:val="00810543"/>
    <w:rsid w:val="00816107"/>
    <w:rsid w:val="008211DE"/>
    <w:rsid w:val="008266AE"/>
    <w:rsid w:val="00831AD6"/>
    <w:rsid w:val="008320C0"/>
    <w:rsid w:val="00835DC5"/>
    <w:rsid w:val="00847D18"/>
    <w:rsid w:val="00850AE4"/>
    <w:rsid w:val="0085467C"/>
    <w:rsid w:val="00855460"/>
    <w:rsid w:val="00863754"/>
    <w:rsid w:val="00866C84"/>
    <w:rsid w:val="00886210"/>
    <w:rsid w:val="008A1886"/>
    <w:rsid w:val="008B46AA"/>
    <w:rsid w:val="008B6314"/>
    <w:rsid w:val="008C4362"/>
    <w:rsid w:val="008C5FF2"/>
    <w:rsid w:val="008C77C6"/>
    <w:rsid w:val="008D4B6D"/>
    <w:rsid w:val="008E1A45"/>
    <w:rsid w:val="008E59BD"/>
    <w:rsid w:val="008F19D8"/>
    <w:rsid w:val="008F3011"/>
    <w:rsid w:val="008F662A"/>
    <w:rsid w:val="00911729"/>
    <w:rsid w:val="0091226C"/>
    <w:rsid w:val="009124B7"/>
    <w:rsid w:val="009215BF"/>
    <w:rsid w:val="00935772"/>
    <w:rsid w:val="00942193"/>
    <w:rsid w:val="00950CAE"/>
    <w:rsid w:val="00961DDC"/>
    <w:rsid w:val="00962957"/>
    <w:rsid w:val="00962A7F"/>
    <w:rsid w:val="00962B2E"/>
    <w:rsid w:val="00964DF9"/>
    <w:rsid w:val="00965A77"/>
    <w:rsid w:val="0097211B"/>
    <w:rsid w:val="00973EBD"/>
    <w:rsid w:val="00980226"/>
    <w:rsid w:val="009824F2"/>
    <w:rsid w:val="009843BF"/>
    <w:rsid w:val="00995E64"/>
    <w:rsid w:val="009A0177"/>
    <w:rsid w:val="009A1AE8"/>
    <w:rsid w:val="009B33EB"/>
    <w:rsid w:val="009B34DE"/>
    <w:rsid w:val="009B664E"/>
    <w:rsid w:val="009C448C"/>
    <w:rsid w:val="009C50B8"/>
    <w:rsid w:val="009C7F6C"/>
    <w:rsid w:val="009D603D"/>
    <w:rsid w:val="009D7314"/>
    <w:rsid w:val="009E4D60"/>
    <w:rsid w:val="009E565B"/>
    <w:rsid w:val="009F2E47"/>
    <w:rsid w:val="009F3B96"/>
    <w:rsid w:val="009F3E34"/>
    <w:rsid w:val="00A008AC"/>
    <w:rsid w:val="00A0405A"/>
    <w:rsid w:val="00A12B9A"/>
    <w:rsid w:val="00A14E84"/>
    <w:rsid w:val="00A177B9"/>
    <w:rsid w:val="00A17856"/>
    <w:rsid w:val="00A22608"/>
    <w:rsid w:val="00A361FF"/>
    <w:rsid w:val="00A37504"/>
    <w:rsid w:val="00A400CE"/>
    <w:rsid w:val="00A40E94"/>
    <w:rsid w:val="00A412BB"/>
    <w:rsid w:val="00A43A0A"/>
    <w:rsid w:val="00A52EE5"/>
    <w:rsid w:val="00A54D99"/>
    <w:rsid w:val="00A60BA3"/>
    <w:rsid w:val="00A70C9F"/>
    <w:rsid w:val="00A71B73"/>
    <w:rsid w:val="00A72874"/>
    <w:rsid w:val="00A75A68"/>
    <w:rsid w:val="00A95301"/>
    <w:rsid w:val="00A97369"/>
    <w:rsid w:val="00AA2BC6"/>
    <w:rsid w:val="00AA49D3"/>
    <w:rsid w:val="00AB009E"/>
    <w:rsid w:val="00AB27EF"/>
    <w:rsid w:val="00AB3439"/>
    <w:rsid w:val="00AB6323"/>
    <w:rsid w:val="00AB7569"/>
    <w:rsid w:val="00AC4F0E"/>
    <w:rsid w:val="00AD28C9"/>
    <w:rsid w:val="00AD2A14"/>
    <w:rsid w:val="00AD3616"/>
    <w:rsid w:val="00AD41D2"/>
    <w:rsid w:val="00AD4994"/>
    <w:rsid w:val="00AD61E2"/>
    <w:rsid w:val="00AD7C04"/>
    <w:rsid w:val="00AE208A"/>
    <w:rsid w:val="00AE6131"/>
    <w:rsid w:val="00AF12FC"/>
    <w:rsid w:val="00AF4B7A"/>
    <w:rsid w:val="00B01E2B"/>
    <w:rsid w:val="00B05C01"/>
    <w:rsid w:val="00B061FE"/>
    <w:rsid w:val="00B073E4"/>
    <w:rsid w:val="00B10EF8"/>
    <w:rsid w:val="00B12392"/>
    <w:rsid w:val="00B12464"/>
    <w:rsid w:val="00B13260"/>
    <w:rsid w:val="00B25C47"/>
    <w:rsid w:val="00B26D3E"/>
    <w:rsid w:val="00B27A74"/>
    <w:rsid w:val="00B328A8"/>
    <w:rsid w:val="00B360D0"/>
    <w:rsid w:val="00B42FD4"/>
    <w:rsid w:val="00B52390"/>
    <w:rsid w:val="00B5418F"/>
    <w:rsid w:val="00B56F10"/>
    <w:rsid w:val="00B57EC1"/>
    <w:rsid w:val="00B60C04"/>
    <w:rsid w:val="00B6452E"/>
    <w:rsid w:val="00B64614"/>
    <w:rsid w:val="00B67BDB"/>
    <w:rsid w:val="00B73DCF"/>
    <w:rsid w:val="00B74389"/>
    <w:rsid w:val="00B75557"/>
    <w:rsid w:val="00B802BF"/>
    <w:rsid w:val="00B80648"/>
    <w:rsid w:val="00B8707E"/>
    <w:rsid w:val="00B92AC3"/>
    <w:rsid w:val="00BA01D8"/>
    <w:rsid w:val="00BA0BE6"/>
    <w:rsid w:val="00BA1BEE"/>
    <w:rsid w:val="00BA7CFF"/>
    <w:rsid w:val="00BB0EF1"/>
    <w:rsid w:val="00BB128A"/>
    <w:rsid w:val="00BD2D6E"/>
    <w:rsid w:val="00BD3DDB"/>
    <w:rsid w:val="00BD4EC8"/>
    <w:rsid w:val="00BD65E8"/>
    <w:rsid w:val="00BE172B"/>
    <w:rsid w:val="00BF39D1"/>
    <w:rsid w:val="00BF4A92"/>
    <w:rsid w:val="00BF5EDA"/>
    <w:rsid w:val="00BF7836"/>
    <w:rsid w:val="00BF7FAB"/>
    <w:rsid w:val="00C10A2A"/>
    <w:rsid w:val="00C116AC"/>
    <w:rsid w:val="00C12813"/>
    <w:rsid w:val="00C12D98"/>
    <w:rsid w:val="00C24B58"/>
    <w:rsid w:val="00C35E45"/>
    <w:rsid w:val="00C3612F"/>
    <w:rsid w:val="00C56BBE"/>
    <w:rsid w:val="00C56CCB"/>
    <w:rsid w:val="00C6469D"/>
    <w:rsid w:val="00C64C05"/>
    <w:rsid w:val="00C6761C"/>
    <w:rsid w:val="00C6765C"/>
    <w:rsid w:val="00C73FC0"/>
    <w:rsid w:val="00C85A41"/>
    <w:rsid w:val="00C873D8"/>
    <w:rsid w:val="00C878BC"/>
    <w:rsid w:val="00C926F1"/>
    <w:rsid w:val="00C96601"/>
    <w:rsid w:val="00CA4507"/>
    <w:rsid w:val="00CA6711"/>
    <w:rsid w:val="00CA733F"/>
    <w:rsid w:val="00CA7438"/>
    <w:rsid w:val="00CA7DFE"/>
    <w:rsid w:val="00CB3FC9"/>
    <w:rsid w:val="00CB4DE2"/>
    <w:rsid w:val="00CB7793"/>
    <w:rsid w:val="00CC068D"/>
    <w:rsid w:val="00CC096F"/>
    <w:rsid w:val="00CC2F39"/>
    <w:rsid w:val="00CC4561"/>
    <w:rsid w:val="00CC631B"/>
    <w:rsid w:val="00CD3205"/>
    <w:rsid w:val="00CD518F"/>
    <w:rsid w:val="00CE0220"/>
    <w:rsid w:val="00CE0416"/>
    <w:rsid w:val="00CE06DB"/>
    <w:rsid w:val="00CF078F"/>
    <w:rsid w:val="00CF2453"/>
    <w:rsid w:val="00CF612F"/>
    <w:rsid w:val="00CF6288"/>
    <w:rsid w:val="00D02F4F"/>
    <w:rsid w:val="00D04991"/>
    <w:rsid w:val="00D0589D"/>
    <w:rsid w:val="00D105FD"/>
    <w:rsid w:val="00D14F59"/>
    <w:rsid w:val="00D15EE7"/>
    <w:rsid w:val="00D23D30"/>
    <w:rsid w:val="00D302B9"/>
    <w:rsid w:val="00D3199E"/>
    <w:rsid w:val="00D324CB"/>
    <w:rsid w:val="00D32521"/>
    <w:rsid w:val="00D37F9D"/>
    <w:rsid w:val="00D42086"/>
    <w:rsid w:val="00D436F1"/>
    <w:rsid w:val="00D44685"/>
    <w:rsid w:val="00D44C88"/>
    <w:rsid w:val="00D4530A"/>
    <w:rsid w:val="00D53B8B"/>
    <w:rsid w:val="00D62980"/>
    <w:rsid w:val="00D63333"/>
    <w:rsid w:val="00D6513E"/>
    <w:rsid w:val="00D700DF"/>
    <w:rsid w:val="00D74389"/>
    <w:rsid w:val="00D757BE"/>
    <w:rsid w:val="00D76AD7"/>
    <w:rsid w:val="00D81217"/>
    <w:rsid w:val="00D87D85"/>
    <w:rsid w:val="00D937DD"/>
    <w:rsid w:val="00D93DC8"/>
    <w:rsid w:val="00D940A2"/>
    <w:rsid w:val="00DA00BE"/>
    <w:rsid w:val="00DA1411"/>
    <w:rsid w:val="00DA35A8"/>
    <w:rsid w:val="00DC186D"/>
    <w:rsid w:val="00DC3447"/>
    <w:rsid w:val="00DC619F"/>
    <w:rsid w:val="00DC6762"/>
    <w:rsid w:val="00DD090E"/>
    <w:rsid w:val="00DD7CEF"/>
    <w:rsid w:val="00DE33DD"/>
    <w:rsid w:val="00DE46F4"/>
    <w:rsid w:val="00DE6E8F"/>
    <w:rsid w:val="00DF090F"/>
    <w:rsid w:val="00DF6867"/>
    <w:rsid w:val="00DF6EC8"/>
    <w:rsid w:val="00E0419B"/>
    <w:rsid w:val="00E05BBD"/>
    <w:rsid w:val="00E124D7"/>
    <w:rsid w:val="00E24A3D"/>
    <w:rsid w:val="00E25A8F"/>
    <w:rsid w:val="00E32C7C"/>
    <w:rsid w:val="00E34E6B"/>
    <w:rsid w:val="00E37709"/>
    <w:rsid w:val="00E40667"/>
    <w:rsid w:val="00E50D5F"/>
    <w:rsid w:val="00E528F9"/>
    <w:rsid w:val="00E52D48"/>
    <w:rsid w:val="00E53418"/>
    <w:rsid w:val="00E62E46"/>
    <w:rsid w:val="00E720E5"/>
    <w:rsid w:val="00E74087"/>
    <w:rsid w:val="00E74129"/>
    <w:rsid w:val="00E7437D"/>
    <w:rsid w:val="00E76416"/>
    <w:rsid w:val="00E80499"/>
    <w:rsid w:val="00E814F5"/>
    <w:rsid w:val="00E82122"/>
    <w:rsid w:val="00E86EA6"/>
    <w:rsid w:val="00E94D10"/>
    <w:rsid w:val="00E95DDB"/>
    <w:rsid w:val="00E97415"/>
    <w:rsid w:val="00EA01D9"/>
    <w:rsid w:val="00EB06E9"/>
    <w:rsid w:val="00EB0C94"/>
    <w:rsid w:val="00EC4707"/>
    <w:rsid w:val="00EC7D78"/>
    <w:rsid w:val="00ED1F42"/>
    <w:rsid w:val="00EE251E"/>
    <w:rsid w:val="00EE40F5"/>
    <w:rsid w:val="00EE593D"/>
    <w:rsid w:val="00F03CAB"/>
    <w:rsid w:val="00F07FFA"/>
    <w:rsid w:val="00F1365F"/>
    <w:rsid w:val="00F13CC6"/>
    <w:rsid w:val="00F2185A"/>
    <w:rsid w:val="00F24D22"/>
    <w:rsid w:val="00F30164"/>
    <w:rsid w:val="00F3232C"/>
    <w:rsid w:val="00F3345A"/>
    <w:rsid w:val="00F35195"/>
    <w:rsid w:val="00F41A27"/>
    <w:rsid w:val="00F46DAE"/>
    <w:rsid w:val="00F51A75"/>
    <w:rsid w:val="00F57573"/>
    <w:rsid w:val="00F61FF5"/>
    <w:rsid w:val="00F668CA"/>
    <w:rsid w:val="00F670B4"/>
    <w:rsid w:val="00F67140"/>
    <w:rsid w:val="00F710E3"/>
    <w:rsid w:val="00F81495"/>
    <w:rsid w:val="00F84566"/>
    <w:rsid w:val="00F93686"/>
    <w:rsid w:val="00F946F8"/>
    <w:rsid w:val="00F958E6"/>
    <w:rsid w:val="00FA4697"/>
    <w:rsid w:val="00FB0177"/>
    <w:rsid w:val="00FC16A4"/>
    <w:rsid w:val="00FD0021"/>
    <w:rsid w:val="00FD28C6"/>
    <w:rsid w:val="00FD2C0C"/>
    <w:rsid w:val="00FD4E5C"/>
    <w:rsid w:val="00FD4F7F"/>
    <w:rsid w:val="00FD625C"/>
    <w:rsid w:val="00FE67C8"/>
    <w:rsid w:val="00FF24F4"/>
    <w:rsid w:val="00FF3849"/>
    <w:rsid w:val="00FF57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E6"/>
    <w:rPr>
      <w:rFonts w:ascii="Times New Roman" w:hAnsi="Times New Roman"/>
      <w:sz w:val="24"/>
      <w:szCs w:val="22"/>
    </w:rPr>
  </w:style>
  <w:style w:type="paragraph" w:styleId="Heading1">
    <w:name w:val="heading 1"/>
    <w:basedOn w:val="Normal"/>
    <w:next w:val="Normal"/>
    <w:link w:val="Heading1Char"/>
    <w:qFormat/>
    <w:rsid w:val="00523AE6"/>
    <w:pPr>
      <w:keepNext/>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523AE6"/>
    <w:pPr>
      <w:keepNext/>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523AE6"/>
    <w:pPr>
      <w:keepNext/>
      <w:outlineLvl w:val="2"/>
    </w:pPr>
    <w:rPr>
      <w:rFonts w:ascii="Cambria" w:eastAsia="Times New Roman" w:hAnsi="Cambria"/>
      <w:b/>
      <w:bCs/>
      <w:sz w:val="26"/>
      <w:szCs w:val="26"/>
    </w:rPr>
  </w:style>
  <w:style w:type="paragraph" w:styleId="Heading4">
    <w:name w:val="heading 4"/>
    <w:basedOn w:val="Normal"/>
    <w:link w:val="Heading4Char"/>
    <w:uiPriority w:val="9"/>
    <w:qFormat/>
    <w:rsid w:val="00523AE6"/>
    <w:pPr>
      <w:spacing w:before="100" w:beforeAutospacing="1" w:after="100" w:afterAutospacing="1"/>
      <w:outlineLvl w:val="3"/>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3AE6"/>
    <w:rPr>
      <w:rFonts w:ascii="Cambria" w:eastAsia="Times New Roman" w:hAnsi="Cambria" w:cs="Times New Roman"/>
      <w:b/>
      <w:bCs/>
      <w:kern w:val="32"/>
      <w:sz w:val="32"/>
      <w:szCs w:val="32"/>
    </w:rPr>
  </w:style>
  <w:style w:type="character" w:customStyle="1" w:styleId="Heading2Char">
    <w:name w:val="Heading 2 Char"/>
    <w:link w:val="Heading2"/>
    <w:uiPriority w:val="9"/>
    <w:rsid w:val="00523AE6"/>
    <w:rPr>
      <w:rFonts w:ascii="Cambria" w:eastAsia="Times New Roman" w:hAnsi="Cambria" w:cs="Times New Roman"/>
      <w:b/>
      <w:bCs/>
      <w:i/>
      <w:iCs/>
      <w:sz w:val="28"/>
      <w:szCs w:val="28"/>
    </w:rPr>
  </w:style>
  <w:style w:type="character" w:customStyle="1" w:styleId="Heading3Char">
    <w:name w:val="Heading 3 Char"/>
    <w:link w:val="Heading3"/>
    <w:uiPriority w:val="9"/>
    <w:rsid w:val="00523AE6"/>
    <w:rPr>
      <w:rFonts w:ascii="Cambria" w:eastAsia="Times New Roman" w:hAnsi="Cambria" w:cs="Times New Roman"/>
      <w:b/>
      <w:bCs/>
      <w:sz w:val="26"/>
      <w:szCs w:val="26"/>
    </w:rPr>
  </w:style>
  <w:style w:type="character" w:customStyle="1" w:styleId="Heading4Char">
    <w:name w:val="Heading 4 Char"/>
    <w:link w:val="Heading4"/>
    <w:uiPriority w:val="9"/>
    <w:rsid w:val="00523AE6"/>
    <w:rPr>
      <w:rFonts w:ascii="Times New Roman" w:eastAsia="Times New Roman" w:hAnsi="Times New Roman" w:cs="Times New Roman"/>
      <w:b/>
      <w:bCs/>
      <w:sz w:val="24"/>
      <w:szCs w:val="24"/>
    </w:rPr>
  </w:style>
  <w:style w:type="paragraph" w:customStyle="1" w:styleId="ParagraphIndent">
    <w:name w:val="ParagraphIndent"/>
    <w:basedOn w:val="Normal"/>
    <w:qFormat/>
    <w:rsid w:val="00523AE6"/>
    <w:pPr>
      <w:ind w:firstLine="360"/>
    </w:pPr>
    <w:rPr>
      <w:color w:val="000000"/>
      <w:szCs w:val="24"/>
    </w:rPr>
  </w:style>
  <w:style w:type="paragraph" w:customStyle="1" w:styleId="ParagraphNoIndent">
    <w:name w:val="ParagraphNoIndent"/>
    <w:basedOn w:val="Normal"/>
    <w:qFormat/>
    <w:rsid w:val="00523AE6"/>
    <w:rPr>
      <w:rFonts w:eastAsia="Times New Roman"/>
      <w:bCs/>
      <w:szCs w:val="24"/>
      <w:lang w:val="en-CA"/>
    </w:rPr>
  </w:style>
  <w:style w:type="paragraph" w:customStyle="1" w:styleId="CERTitle">
    <w:name w:val="CERTitle"/>
    <w:basedOn w:val="ParagraphNoIndent"/>
    <w:qFormat/>
    <w:rsid w:val="00523AE6"/>
    <w:rPr>
      <w:b/>
      <w:i/>
      <w:sz w:val="36"/>
      <w:szCs w:val="36"/>
    </w:rPr>
  </w:style>
  <w:style w:type="paragraph" w:customStyle="1" w:styleId="NumberLine">
    <w:name w:val="NumberLine"/>
    <w:basedOn w:val="ParagraphNoIndent"/>
    <w:qFormat/>
    <w:rsid w:val="00523AE6"/>
    <w:rPr>
      <w:rFonts w:ascii="Arial" w:hAnsi="Arial"/>
      <w:b/>
      <w:sz w:val="28"/>
      <w:szCs w:val="28"/>
    </w:rPr>
  </w:style>
  <w:style w:type="paragraph" w:customStyle="1" w:styleId="TitleLine">
    <w:name w:val="TitleLine"/>
    <w:basedOn w:val="ParagraphNoIndent"/>
    <w:qFormat/>
    <w:rsid w:val="00523AE6"/>
    <w:rPr>
      <w:rFonts w:ascii="Arial" w:hAnsi="Arial"/>
      <w:b/>
      <w:sz w:val="36"/>
      <w:szCs w:val="36"/>
    </w:rPr>
  </w:style>
  <w:style w:type="paragraph" w:styleId="NormalWeb">
    <w:name w:val="Normal (Web)"/>
    <w:basedOn w:val="Normal"/>
    <w:uiPriority w:val="99"/>
    <w:semiHidden/>
    <w:rsid w:val="00523AE6"/>
    <w:pPr>
      <w:spacing w:before="100" w:beforeAutospacing="1" w:after="100" w:afterAutospacing="1"/>
    </w:pPr>
    <w:rPr>
      <w:rFonts w:eastAsia="Times New Roman"/>
      <w:szCs w:val="24"/>
    </w:rPr>
  </w:style>
  <w:style w:type="paragraph" w:customStyle="1" w:styleId="CM108">
    <w:name w:val="CM108"/>
    <w:basedOn w:val="Normal"/>
    <w:next w:val="Normal"/>
    <w:rsid w:val="00523AE6"/>
    <w:pPr>
      <w:autoSpaceDE w:val="0"/>
      <w:autoSpaceDN w:val="0"/>
      <w:adjustRightInd w:val="0"/>
      <w:spacing w:line="276" w:lineRule="atLeast"/>
    </w:pPr>
    <w:rPr>
      <w:rFonts w:eastAsia="Times"/>
      <w:szCs w:val="24"/>
    </w:rPr>
  </w:style>
  <w:style w:type="paragraph" w:customStyle="1" w:styleId="Preface">
    <w:name w:val="Preface"/>
    <w:basedOn w:val="Normal"/>
    <w:qFormat/>
    <w:rsid w:val="00523AE6"/>
    <w:pPr>
      <w:keepNext/>
    </w:pPr>
    <w:rPr>
      <w:rFonts w:ascii="Arial" w:hAnsi="Arial" w:cs="Arial"/>
      <w:b/>
      <w:sz w:val="32"/>
      <w:szCs w:val="32"/>
    </w:rPr>
  </w:style>
  <w:style w:type="table" w:customStyle="1" w:styleId="AHRQ1">
    <w:name w:val="AHRQ1"/>
    <w:basedOn w:val="TableGrid"/>
    <w:rsid w:val="00523AE6"/>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PlainText">
    <w:name w:val="Plain Text"/>
    <w:basedOn w:val="Normal"/>
    <w:link w:val="PlainTextChar"/>
    <w:uiPriority w:val="99"/>
    <w:rsid w:val="00523AE6"/>
    <w:rPr>
      <w:rFonts w:ascii="Courier New" w:eastAsia="Times New Roman" w:hAnsi="Courier New"/>
      <w:sz w:val="20"/>
      <w:szCs w:val="20"/>
    </w:rPr>
  </w:style>
  <w:style w:type="character" w:customStyle="1" w:styleId="PlainTextChar">
    <w:name w:val="Plain Text Char"/>
    <w:link w:val="PlainText"/>
    <w:uiPriority w:val="99"/>
    <w:rsid w:val="00523AE6"/>
    <w:rPr>
      <w:rFonts w:ascii="Courier New" w:eastAsia="Times New Roman" w:hAnsi="Courier New" w:cs="Times New Roman"/>
      <w:sz w:val="20"/>
      <w:szCs w:val="20"/>
    </w:rPr>
  </w:style>
  <w:style w:type="table" w:styleId="TableGrid">
    <w:name w:val="Table Grid"/>
    <w:basedOn w:val="TableNormal"/>
    <w:uiPriority w:val="59"/>
    <w:rsid w:val="00523A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F81495"/>
    <w:pPr>
      <w:tabs>
        <w:tab w:val="right" w:leader="dot" w:pos="9350"/>
      </w:tabs>
    </w:pPr>
    <w:rPr>
      <w:rFonts w:eastAsia="Times New Roman"/>
      <w:noProof/>
      <w:szCs w:val="24"/>
      <w:lang w:val="en-CA"/>
    </w:rPr>
  </w:style>
  <w:style w:type="paragraph" w:styleId="TOC2">
    <w:name w:val="toc 2"/>
    <w:basedOn w:val="Normal"/>
    <w:next w:val="Normal"/>
    <w:autoRedefine/>
    <w:uiPriority w:val="39"/>
    <w:rsid w:val="00523AE6"/>
    <w:pPr>
      <w:ind w:left="240"/>
    </w:pPr>
    <w:rPr>
      <w:rFonts w:eastAsia="Times New Roman"/>
      <w:szCs w:val="24"/>
      <w:lang w:val="en-CA"/>
    </w:rPr>
  </w:style>
  <w:style w:type="paragraph" w:styleId="TableofFigures">
    <w:name w:val="table of figures"/>
    <w:basedOn w:val="Normal"/>
    <w:next w:val="Normal"/>
    <w:uiPriority w:val="99"/>
    <w:rsid w:val="00523AE6"/>
    <w:rPr>
      <w:rFonts w:eastAsia="Times New Roman"/>
      <w:szCs w:val="24"/>
      <w:lang w:val="en-CA"/>
    </w:rPr>
  </w:style>
  <w:style w:type="paragraph" w:customStyle="1" w:styleId="HeadLevel1">
    <w:name w:val="Head Level 1"/>
    <w:basedOn w:val="ParagraphNoIndent"/>
    <w:qFormat/>
    <w:rsid w:val="00523AE6"/>
    <w:pPr>
      <w:keepNext/>
      <w:spacing w:before="240" w:after="60"/>
    </w:pPr>
    <w:rPr>
      <w:rFonts w:ascii="Arial" w:hAnsi="Arial"/>
      <w:b/>
      <w:sz w:val="32"/>
    </w:rPr>
  </w:style>
  <w:style w:type="paragraph" w:customStyle="1" w:styleId="HeadLevel2">
    <w:name w:val="Head Level 2"/>
    <w:basedOn w:val="ParagraphNoIndent"/>
    <w:qFormat/>
    <w:rsid w:val="00523AE6"/>
    <w:pPr>
      <w:keepNext/>
      <w:spacing w:before="240" w:after="60"/>
    </w:pPr>
    <w:rPr>
      <w:b/>
      <w:sz w:val="32"/>
    </w:rPr>
  </w:style>
  <w:style w:type="paragraph" w:customStyle="1" w:styleId="HeadLevel3">
    <w:name w:val="Head Level 3"/>
    <w:basedOn w:val="ParagraphNoIndent"/>
    <w:qFormat/>
    <w:rsid w:val="00523AE6"/>
    <w:pPr>
      <w:keepNext/>
      <w:spacing w:before="240" w:after="60"/>
    </w:pPr>
    <w:rPr>
      <w:rFonts w:ascii="Arial" w:hAnsi="Arial"/>
      <w:b/>
      <w:sz w:val="28"/>
    </w:rPr>
  </w:style>
  <w:style w:type="paragraph" w:customStyle="1" w:styleId="KeyQuestion">
    <w:name w:val="KeyQuestion"/>
    <w:basedOn w:val="Normal"/>
    <w:rsid w:val="00523AE6"/>
    <w:pPr>
      <w:keepNext/>
      <w:spacing w:before="120" w:after="120"/>
    </w:pPr>
    <w:rPr>
      <w:rFonts w:ascii="Arial" w:eastAsia="Times New Roman" w:hAnsi="Arial" w:cs="Arial"/>
      <w:iCs/>
      <w:kern w:val="32"/>
      <w:sz w:val="32"/>
      <w:szCs w:val="28"/>
      <w:lang w:val="en-GB"/>
    </w:rPr>
  </w:style>
  <w:style w:type="paragraph" w:customStyle="1" w:styleId="TableTitle">
    <w:name w:val="TableTitle"/>
    <w:basedOn w:val="ParagraphIndent"/>
    <w:qFormat/>
    <w:rsid w:val="00523AE6"/>
    <w:pPr>
      <w:keepNext/>
      <w:ind w:firstLine="0"/>
    </w:pPr>
    <w:rPr>
      <w:rFonts w:ascii="Arial" w:hAnsi="Arial"/>
      <w:b/>
      <w:sz w:val="20"/>
    </w:rPr>
  </w:style>
  <w:style w:type="paragraph" w:customStyle="1" w:styleId="TableNote">
    <w:name w:val="TableNote"/>
    <w:basedOn w:val="ParagraphNoIndent"/>
    <w:qFormat/>
    <w:rsid w:val="00523AE6"/>
    <w:rPr>
      <w:sz w:val="18"/>
    </w:rPr>
  </w:style>
  <w:style w:type="paragraph" w:customStyle="1" w:styleId="Reference">
    <w:name w:val="Reference"/>
    <w:basedOn w:val="ParagraphNoIndent"/>
    <w:qFormat/>
    <w:rsid w:val="00523AE6"/>
    <w:pPr>
      <w:keepNext/>
      <w:keepLines/>
      <w:spacing w:before="60" w:after="60"/>
      <w:ind w:left="720" w:hanging="720"/>
    </w:pPr>
    <w:rPr>
      <w:sz w:val="20"/>
    </w:rPr>
  </w:style>
  <w:style w:type="paragraph" w:styleId="Header">
    <w:name w:val="header"/>
    <w:basedOn w:val="Normal"/>
    <w:link w:val="HeaderChar"/>
    <w:uiPriority w:val="99"/>
    <w:unhideWhenUsed/>
    <w:rsid w:val="00523AE6"/>
    <w:pPr>
      <w:tabs>
        <w:tab w:val="center" w:pos="4680"/>
        <w:tab w:val="right" w:pos="9360"/>
      </w:tabs>
    </w:pPr>
    <w:rPr>
      <w:szCs w:val="20"/>
    </w:rPr>
  </w:style>
  <w:style w:type="character" w:customStyle="1" w:styleId="HeaderChar">
    <w:name w:val="Header Char"/>
    <w:link w:val="Header"/>
    <w:uiPriority w:val="99"/>
    <w:rsid w:val="00523AE6"/>
    <w:rPr>
      <w:rFonts w:ascii="Times New Roman" w:eastAsia="Calibri" w:hAnsi="Times New Roman" w:cs="Times New Roman"/>
      <w:sz w:val="24"/>
    </w:rPr>
  </w:style>
  <w:style w:type="paragraph" w:styleId="Footer">
    <w:name w:val="footer"/>
    <w:basedOn w:val="Normal"/>
    <w:link w:val="FooterChar"/>
    <w:uiPriority w:val="99"/>
    <w:unhideWhenUsed/>
    <w:rsid w:val="00523AE6"/>
    <w:pPr>
      <w:tabs>
        <w:tab w:val="center" w:pos="4680"/>
        <w:tab w:val="right" w:pos="9360"/>
      </w:tabs>
    </w:pPr>
    <w:rPr>
      <w:szCs w:val="20"/>
    </w:rPr>
  </w:style>
  <w:style w:type="character" w:customStyle="1" w:styleId="FooterChar">
    <w:name w:val="Footer Char"/>
    <w:link w:val="Footer"/>
    <w:uiPriority w:val="99"/>
    <w:rsid w:val="00523AE6"/>
    <w:rPr>
      <w:rFonts w:ascii="Times New Roman" w:eastAsia="Calibri" w:hAnsi="Times New Roman" w:cs="Times New Roman"/>
      <w:sz w:val="24"/>
    </w:rPr>
  </w:style>
  <w:style w:type="paragraph" w:customStyle="1" w:styleId="HeadLevel4">
    <w:name w:val="Head Level 4"/>
    <w:basedOn w:val="ParagraphNoIndent"/>
    <w:qFormat/>
    <w:rsid w:val="00523AE6"/>
    <w:pPr>
      <w:keepNext/>
      <w:spacing w:before="240" w:after="60"/>
    </w:pPr>
    <w:rPr>
      <w:b/>
    </w:rPr>
  </w:style>
  <w:style w:type="paragraph" w:styleId="BalloonText">
    <w:name w:val="Balloon Text"/>
    <w:basedOn w:val="Normal"/>
    <w:link w:val="BalloonTextChar"/>
    <w:uiPriority w:val="99"/>
    <w:semiHidden/>
    <w:unhideWhenUsed/>
    <w:rsid w:val="00523AE6"/>
    <w:rPr>
      <w:rFonts w:ascii="Tahoma" w:hAnsi="Tahoma"/>
      <w:sz w:val="16"/>
      <w:szCs w:val="16"/>
    </w:rPr>
  </w:style>
  <w:style w:type="character" w:customStyle="1" w:styleId="BalloonTextChar">
    <w:name w:val="Balloon Text Char"/>
    <w:link w:val="BalloonText"/>
    <w:uiPriority w:val="99"/>
    <w:semiHidden/>
    <w:rsid w:val="00523AE6"/>
    <w:rPr>
      <w:rFonts w:ascii="Tahoma" w:eastAsia="Calibri" w:hAnsi="Tahoma" w:cs="Times New Roman"/>
      <w:sz w:val="16"/>
      <w:szCs w:val="16"/>
    </w:rPr>
  </w:style>
  <w:style w:type="character" w:styleId="CommentReference">
    <w:name w:val="annotation reference"/>
    <w:uiPriority w:val="99"/>
    <w:rsid w:val="00523AE6"/>
    <w:rPr>
      <w:sz w:val="16"/>
      <w:szCs w:val="16"/>
    </w:rPr>
  </w:style>
  <w:style w:type="paragraph" w:styleId="CommentText">
    <w:name w:val="annotation text"/>
    <w:aliases w:val=" Char2,Char2"/>
    <w:basedOn w:val="Normal"/>
    <w:link w:val="CommentTextChar"/>
    <w:uiPriority w:val="99"/>
    <w:rsid w:val="00523AE6"/>
    <w:rPr>
      <w:sz w:val="20"/>
      <w:szCs w:val="20"/>
    </w:rPr>
  </w:style>
  <w:style w:type="character" w:customStyle="1" w:styleId="CommentTextChar">
    <w:name w:val="Comment Text Char"/>
    <w:aliases w:val=" Char2 Char,Char2 Char"/>
    <w:link w:val="CommentText"/>
    <w:uiPriority w:val="99"/>
    <w:rsid w:val="00523AE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rsid w:val="00523AE6"/>
    <w:rPr>
      <w:rFonts w:ascii="Calibri" w:hAnsi="Calibri"/>
      <w:b/>
      <w:bCs/>
    </w:rPr>
  </w:style>
  <w:style w:type="character" w:customStyle="1" w:styleId="CommentSubjectChar">
    <w:name w:val="Comment Subject Char"/>
    <w:link w:val="CommentSubject"/>
    <w:uiPriority w:val="99"/>
    <w:rsid w:val="00523AE6"/>
    <w:rPr>
      <w:rFonts w:ascii="Calibri" w:eastAsia="Calibri" w:hAnsi="Calibri" w:cs="Times New Roman"/>
      <w:b/>
      <w:bCs/>
      <w:sz w:val="20"/>
      <w:szCs w:val="20"/>
    </w:rPr>
  </w:style>
  <w:style w:type="character" w:styleId="Hyperlink">
    <w:name w:val="Hyperlink"/>
    <w:uiPriority w:val="99"/>
    <w:unhideWhenUsed/>
    <w:rsid w:val="00523AE6"/>
    <w:rPr>
      <w:color w:val="0000FF"/>
      <w:u w:val="single"/>
    </w:rPr>
  </w:style>
  <w:style w:type="character" w:customStyle="1" w:styleId="urmheaderhighlight">
    <w:name w:val="urm_header_highlight"/>
    <w:basedOn w:val="DefaultParagraphFont"/>
    <w:rsid w:val="00523AE6"/>
  </w:style>
  <w:style w:type="character" w:customStyle="1" w:styleId="st1">
    <w:name w:val="st1"/>
    <w:basedOn w:val="DefaultParagraphFont"/>
    <w:rsid w:val="00523AE6"/>
  </w:style>
  <w:style w:type="character" w:styleId="Emphasis">
    <w:name w:val="Emphasis"/>
    <w:uiPriority w:val="20"/>
    <w:qFormat/>
    <w:rsid w:val="00523AE6"/>
    <w:rPr>
      <w:i/>
      <w:iCs/>
    </w:rPr>
  </w:style>
  <w:style w:type="paragraph" w:styleId="BodyText">
    <w:name w:val="Body Text"/>
    <w:basedOn w:val="Normal"/>
    <w:link w:val="BodyTextChar"/>
    <w:uiPriority w:val="99"/>
    <w:semiHidden/>
    <w:unhideWhenUsed/>
    <w:rsid w:val="00523AE6"/>
    <w:pPr>
      <w:spacing w:after="120"/>
    </w:pPr>
    <w:rPr>
      <w:rFonts w:ascii="Calibri" w:hAnsi="Calibri"/>
      <w:sz w:val="20"/>
      <w:szCs w:val="20"/>
    </w:rPr>
  </w:style>
  <w:style w:type="character" w:customStyle="1" w:styleId="BodyTextChar">
    <w:name w:val="Body Text Char"/>
    <w:link w:val="BodyText"/>
    <w:uiPriority w:val="99"/>
    <w:semiHidden/>
    <w:rsid w:val="00523AE6"/>
    <w:rPr>
      <w:rFonts w:ascii="Calibri" w:eastAsia="Calibri" w:hAnsi="Calibri" w:cs="Times New Roman"/>
    </w:rPr>
  </w:style>
  <w:style w:type="paragraph" w:styleId="BodyTextFirstIndent">
    <w:name w:val="Body Text First Indent"/>
    <w:basedOn w:val="Normal"/>
    <w:link w:val="BodyTextFirstIndentChar"/>
    <w:rsid w:val="00523AE6"/>
    <w:pPr>
      <w:ind w:firstLine="360"/>
    </w:pPr>
    <w:rPr>
      <w:rFonts w:eastAsia="Times New Roman"/>
      <w:szCs w:val="24"/>
    </w:rPr>
  </w:style>
  <w:style w:type="character" w:customStyle="1" w:styleId="BodyTextFirstIndentChar">
    <w:name w:val="Body Text First Indent Char"/>
    <w:link w:val="BodyTextFirstIndent"/>
    <w:rsid w:val="00523AE6"/>
    <w:rPr>
      <w:rFonts w:ascii="Times New Roman" w:eastAsia="Times New Roman" w:hAnsi="Times New Roman" w:cs="Times New Roman"/>
      <w:sz w:val="24"/>
      <w:szCs w:val="24"/>
    </w:rPr>
  </w:style>
  <w:style w:type="paragraph" w:customStyle="1" w:styleId="TitlePageHeader">
    <w:name w:val="Title Page Header"/>
    <w:basedOn w:val="Normal"/>
    <w:next w:val="Normal"/>
    <w:rsid w:val="00523AE6"/>
    <w:rPr>
      <w:rFonts w:ascii="Times" w:eastAsia="Times New Roman" w:hAnsi="Times"/>
      <w:b/>
      <w:i/>
      <w:sz w:val="32"/>
      <w:szCs w:val="20"/>
    </w:rPr>
  </w:style>
  <w:style w:type="paragraph" w:customStyle="1" w:styleId="AHRQBODYTEXT">
    <w:name w:val="AHRQ BODY TEXT"/>
    <w:basedOn w:val="Normal"/>
    <w:link w:val="AHRQBODYTEXTChar"/>
    <w:rsid w:val="00523AE6"/>
    <w:pPr>
      <w:ind w:firstLine="360"/>
    </w:pPr>
    <w:rPr>
      <w:rFonts w:eastAsia="Times"/>
      <w:szCs w:val="20"/>
    </w:rPr>
  </w:style>
  <w:style w:type="character" w:customStyle="1" w:styleId="AHRQBODYTEXTChar">
    <w:name w:val="AHRQ BODY TEXT Char"/>
    <w:link w:val="AHRQBODYTEXT"/>
    <w:rsid w:val="00523AE6"/>
    <w:rPr>
      <w:rFonts w:ascii="Times New Roman" w:eastAsia="Times" w:hAnsi="Times New Roman" w:cs="Times New Roman"/>
      <w:sz w:val="24"/>
      <w:szCs w:val="20"/>
    </w:rPr>
  </w:style>
  <w:style w:type="paragraph" w:customStyle="1" w:styleId="Default">
    <w:name w:val="Default"/>
    <w:rsid w:val="00523AE6"/>
    <w:pPr>
      <w:autoSpaceDE w:val="0"/>
      <w:autoSpaceDN w:val="0"/>
      <w:adjustRightInd w:val="0"/>
    </w:pPr>
    <w:rPr>
      <w:rFonts w:ascii="Times New Roman" w:hAnsi="Times New Roman"/>
      <w:color w:val="000000"/>
      <w:sz w:val="24"/>
      <w:szCs w:val="24"/>
    </w:rPr>
  </w:style>
  <w:style w:type="paragraph" w:customStyle="1" w:styleId="Level1Heading">
    <w:name w:val="Level1Heading"/>
    <w:qFormat/>
    <w:rsid w:val="00523AE6"/>
    <w:pPr>
      <w:keepNext/>
      <w:spacing w:before="240" w:after="60"/>
    </w:pPr>
    <w:rPr>
      <w:rFonts w:ascii="Arial" w:eastAsia="Times New Roman" w:hAnsi="Arial"/>
      <w:b/>
      <w:bCs/>
      <w:sz w:val="32"/>
      <w:szCs w:val="24"/>
    </w:rPr>
  </w:style>
  <w:style w:type="paragraph" w:customStyle="1" w:styleId="ChapterHeading">
    <w:name w:val="ChapterHeading"/>
    <w:qFormat/>
    <w:rsid w:val="00523AE6"/>
    <w:pPr>
      <w:keepNext/>
      <w:spacing w:after="60"/>
      <w:jc w:val="center"/>
    </w:pPr>
    <w:rPr>
      <w:rFonts w:ascii="Arial" w:eastAsia="Times New Roman" w:hAnsi="Arial"/>
      <w:b/>
      <w:bCs/>
      <w:sz w:val="36"/>
      <w:szCs w:val="24"/>
    </w:rPr>
  </w:style>
  <w:style w:type="paragraph" w:customStyle="1" w:styleId="Level2Heading">
    <w:name w:val="Level2Heading"/>
    <w:basedOn w:val="Heading3"/>
    <w:qFormat/>
    <w:rsid w:val="00523AE6"/>
    <w:rPr>
      <w:rFonts w:ascii="Arial" w:hAnsi="Arial" w:cs="Arial"/>
      <w:sz w:val="28"/>
    </w:rPr>
  </w:style>
  <w:style w:type="paragraph" w:customStyle="1" w:styleId="Pa12">
    <w:name w:val="Pa12"/>
    <w:basedOn w:val="Default"/>
    <w:next w:val="Default"/>
    <w:uiPriority w:val="99"/>
    <w:rsid w:val="00523AE6"/>
    <w:pPr>
      <w:spacing w:line="161" w:lineRule="atLeast"/>
    </w:pPr>
    <w:rPr>
      <w:rFonts w:ascii="MetaHeadlineOT-Bold" w:hAnsi="MetaHeadlineOT-Bold"/>
      <w:color w:val="auto"/>
    </w:rPr>
  </w:style>
  <w:style w:type="paragraph" w:customStyle="1" w:styleId="Pa8">
    <w:name w:val="Pa8"/>
    <w:basedOn w:val="Default"/>
    <w:next w:val="Default"/>
    <w:uiPriority w:val="99"/>
    <w:rsid w:val="00523AE6"/>
    <w:pPr>
      <w:spacing w:line="141" w:lineRule="atLeast"/>
    </w:pPr>
    <w:rPr>
      <w:rFonts w:ascii="MetaHeadlineOT-Bold" w:hAnsi="MetaHeadlineOT-Bold"/>
      <w:color w:val="auto"/>
    </w:rPr>
  </w:style>
  <w:style w:type="character" w:styleId="FollowedHyperlink">
    <w:name w:val="FollowedHyperlink"/>
    <w:uiPriority w:val="99"/>
    <w:semiHidden/>
    <w:unhideWhenUsed/>
    <w:rsid w:val="00523AE6"/>
    <w:rPr>
      <w:color w:val="800080"/>
      <w:u w:val="single"/>
    </w:rPr>
  </w:style>
  <w:style w:type="paragraph" w:customStyle="1" w:styleId="NoSpacing1">
    <w:name w:val="No Spacing1"/>
    <w:uiPriority w:val="1"/>
    <w:qFormat/>
    <w:rsid w:val="00523AE6"/>
    <w:rPr>
      <w:rFonts w:ascii="Times New Roman" w:hAnsi="Times New Roman"/>
      <w:sz w:val="24"/>
      <w:szCs w:val="22"/>
    </w:rPr>
  </w:style>
  <w:style w:type="paragraph" w:styleId="Caption">
    <w:name w:val="caption"/>
    <w:basedOn w:val="Normal"/>
    <w:next w:val="Normal"/>
    <w:uiPriority w:val="35"/>
    <w:qFormat/>
    <w:rsid w:val="00523AE6"/>
    <w:rPr>
      <w:rFonts w:ascii="Arial" w:hAnsi="Arial"/>
      <w:b/>
      <w:bCs/>
      <w:sz w:val="20"/>
      <w:szCs w:val="20"/>
    </w:rPr>
  </w:style>
  <w:style w:type="paragraph" w:customStyle="1" w:styleId="BodyText0">
    <w:name w:val="BodyText"/>
    <w:basedOn w:val="Normal"/>
    <w:link w:val="BodyTextChar0"/>
    <w:rsid w:val="00523AE6"/>
    <w:pPr>
      <w:spacing w:after="120"/>
    </w:pPr>
    <w:rPr>
      <w:rFonts w:eastAsia="Times New Roman"/>
      <w:szCs w:val="24"/>
    </w:rPr>
  </w:style>
  <w:style w:type="character" w:customStyle="1" w:styleId="BodyTextChar0">
    <w:name w:val="BodyText Char"/>
    <w:link w:val="BodyText0"/>
    <w:rsid w:val="00523AE6"/>
    <w:rPr>
      <w:rFonts w:ascii="Times New Roman" w:eastAsia="Times New Roman" w:hAnsi="Times New Roman" w:cs="Times New Roman"/>
      <w:sz w:val="24"/>
      <w:szCs w:val="24"/>
    </w:rPr>
  </w:style>
  <w:style w:type="paragraph" w:customStyle="1" w:styleId="TitlePageReportNumber">
    <w:name w:val="Title Page Report Number"/>
    <w:basedOn w:val="Normal"/>
    <w:rsid w:val="00523AE6"/>
    <w:rPr>
      <w:rFonts w:ascii="Arial" w:eastAsia="Times" w:hAnsi="Arial"/>
      <w:b/>
      <w:sz w:val="28"/>
      <w:szCs w:val="20"/>
    </w:rPr>
  </w:style>
  <w:style w:type="paragraph" w:styleId="TOC3">
    <w:name w:val="toc 3"/>
    <w:basedOn w:val="Normal"/>
    <w:next w:val="Normal"/>
    <w:autoRedefine/>
    <w:uiPriority w:val="39"/>
    <w:unhideWhenUsed/>
    <w:rsid w:val="00523AE6"/>
    <w:pPr>
      <w:ind w:left="446"/>
    </w:pPr>
  </w:style>
  <w:style w:type="paragraph" w:styleId="ListParagraph">
    <w:name w:val="List Paragraph"/>
    <w:basedOn w:val="Normal"/>
    <w:uiPriority w:val="34"/>
    <w:qFormat/>
    <w:rsid w:val="00EE593D"/>
    <w:pPr>
      <w:ind w:left="720"/>
      <w:contextualSpacing/>
    </w:pPr>
    <w:rPr>
      <w:rFonts w:eastAsia="Times New Roman"/>
      <w:szCs w:val="24"/>
    </w:rPr>
  </w:style>
  <w:style w:type="paragraph" w:styleId="Revision">
    <w:name w:val="Revision"/>
    <w:hidden/>
    <w:uiPriority w:val="99"/>
    <w:semiHidden/>
    <w:rsid w:val="00672F08"/>
    <w:rPr>
      <w:rFonts w:ascii="Times New Roman" w:hAnsi="Times New Roman"/>
      <w:sz w:val="24"/>
      <w:szCs w:val="22"/>
    </w:rPr>
  </w:style>
  <w:style w:type="paragraph" w:styleId="TOC4">
    <w:name w:val="toc 4"/>
    <w:basedOn w:val="Normal"/>
    <w:next w:val="Normal"/>
    <w:autoRedefine/>
    <w:uiPriority w:val="39"/>
    <w:unhideWhenUsed/>
    <w:rsid w:val="005674EC"/>
    <w:pPr>
      <w:spacing w:after="100" w:line="276"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5674EC"/>
    <w:pPr>
      <w:spacing w:after="100" w:line="276"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5674EC"/>
    <w:pPr>
      <w:spacing w:after="100" w:line="276"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5674EC"/>
    <w:pPr>
      <w:spacing w:after="100" w:line="276"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5674EC"/>
    <w:pPr>
      <w:spacing w:after="100" w:line="276"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5674EC"/>
    <w:pPr>
      <w:spacing w:after="100" w:line="276" w:lineRule="auto"/>
      <w:ind w:left="1760"/>
    </w:pPr>
    <w:rPr>
      <w:rFonts w:asciiTheme="minorHAnsi" w:eastAsiaTheme="minorEastAsia" w:hAnsiTheme="minorHAnsi" w:cstheme="minorBidi"/>
      <w:sz w:val="22"/>
    </w:rPr>
  </w:style>
  <w:style w:type="paragraph" w:customStyle="1" w:styleId="xmsonormal">
    <w:name w:val="x_msonormal"/>
    <w:basedOn w:val="Normal"/>
    <w:rsid w:val="00186575"/>
    <w:pPr>
      <w:spacing w:before="100" w:beforeAutospacing="1" w:after="100" w:afterAutospacing="1"/>
    </w:pPr>
    <w:rPr>
      <w:rFonts w:eastAsia="Times New Roman"/>
      <w:szCs w:val="24"/>
    </w:rPr>
  </w:style>
  <w:style w:type="paragraph" w:customStyle="1" w:styleId="ReportType">
    <w:name w:val="ReportType"/>
    <w:qFormat/>
    <w:rsid w:val="00B01E2B"/>
    <w:rPr>
      <w:rFonts w:ascii="Times New Roman" w:eastAsia="Times New Roman" w:hAnsi="Times New Roman"/>
      <w:b/>
      <w:bCs/>
      <w:i/>
      <w:sz w:val="36"/>
      <w:szCs w:val="36"/>
    </w:rPr>
  </w:style>
  <w:style w:type="paragraph" w:customStyle="1" w:styleId="ReportTitle">
    <w:name w:val="ReportTitle"/>
    <w:uiPriority w:val="99"/>
    <w:qFormat/>
    <w:rsid w:val="00B01E2B"/>
    <w:rPr>
      <w:rFonts w:ascii="Arial" w:eastAsia="Times New Roman" w:hAnsi="Arial"/>
      <w:b/>
      <w:bCs/>
      <w:sz w:val="36"/>
      <w:szCs w:val="36"/>
    </w:rPr>
  </w:style>
  <w:style w:type="paragraph" w:customStyle="1" w:styleId="PageNumber">
    <w:name w:val="PageNumber"/>
    <w:qFormat/>
    <w:rsid w:val="00B01E2B"/>
    <w:pPr>
      <w:jc w:val="center"/>
    </w:pPr>
    <w:rPr>
      <w:rFonts w:ascii="Times New Roman" w:hAnsi="Times New Roman"/>
      <w:sz w:val="24"/>
      <w:szCs w:val="24"/>
    </w:rPr>
  </w:style>
  <w:style w:type="paragraph" w:customStyle="1" w:styleId="FrontMatterHead">
    <w:name w:val="FrontMatterHead"/>
    <w:qFormat/>
    <w:rsid w:val="00B01E2B"/>
    <w:pPr>
      <w:keepNext/>
      <w:spacing w:before="240" w:after="60"/>
    </w:pPr>
    <w:rPr>
      <w:rFonts w:ascii="Arial" w:hAnsi="Arial" w:cs="Arial"/>
      <w:b/>
      <w:sz w:val="32"/>
      <w:szCs w:val="32"/>
    </w:rPr>
  </w:style>
  <w:style w:type="paragraph" w:customStyle="1" w:styleId="Level5Heading">
    <w:name w:val="Level5Heading"/>
    <w:qFormat/>
    <w:rsid w:val="00B01E2B"/>
    <w:pPr>
      <w:keepNext/>
      <w:spacing w:before="240"/>
      <w:outlineLvl w:val="5"/>
    </w:pPr>
    <w:rPr>
      <w:rFonts w:ascii="Arial" w:eastAsia="Times New Roman" w:hAnsi="Arial"/>
      <w:b/>
      <w:bCs/>
      <w:sz w:val="24"/>
      <w:szCs w:val="24"/>
    </w:rPr>
  </w:style>
  <w:style w:type="paragraph" w:customStyle="1" w:styleId="Level3Heading">
    <w:name w:val="Level3Heading"/>
    <w:qFormat/>
    <w:rsid w:val="00B01E2B"/>
    <w:pPr>
      <w:keepNext/>
      <w:spacing w:before="240"/>
      <w:outlineLvl w:val="3"/>
    </w:pPr>
    <w:rPr>
      <w:rFonts w:ascii="Arial" w:eastAsia="Times New Roman" w:hAnsi="Arial"/>
      <w:b/>
      <w:bCs/>
      <w:sz w:val="28"/>
      <w:szCs w:val="24"/>
    </w:rPr>
  </w:style>
  <w:style w:type="paragraph" w:customStyle="1" w:styleId="PreparedForText">
    <w:name w:val="PreparedForText"/>
    <w:qFormat/>
    <w:rsid w:val="00B01E2B"/>
    <w:rPr>
      <w:rFonts w:ascii="Times New Roman" w:eastAsia="Times New Roman" w:hAnsi="Times New Roman"/>
      <w:bCs/>
      <w:sz w:val="24"/>
      <w:szCs w:val="24"/>
    </w:rPr>
  </w:style>
  <w:style w:type="paragraph" w:customStyle="1" w:styleId="ParagraphNoIndentBold">
    <w:name w:val="ParagraphNoIndentBold"/>
    <w:qFormat/>
    <w:rsid w:val="00B01E2B"/>
    <w:rPr>
      <w:rFonts w:ascii="Times New Roman" w:eastAsia="Times New Roman" w:hAnsi="Times New Roman"/>
      <w:b/>
      <w:bCs/>
      <w:sz w:val="24"/>
      <w:szCs w:val="24"/>
    </w:rPr>
  </w:style>
  <w:style w:type="paragraph" w:customStyle="1" w:styleId="ContractNumber">
    <w:name w:val="ContractNumber"/>
    <w:next w:val="ParagraphNoIndent"/>
    <w:qFormat/>
    <w:rsid w:val="00B01E2B"/>
    <w:rPr>
      <w:rFonts w:ascii="Times New Roman" w:eastAsia="Times New Roman" w:hAnsi="Times New Roman"/>
      <w:b/>
      <w:bCs/>
      <w:sz w:val="24"/>
      <w:szCs w:val="24"/>
    </w:rPr>
  </w:style>
  <w:style w:type="paragraph" w:customStyle="1" w:styleId="PreparedByText">
    <w:name w:val="PreparedByText"/>
    <w:qFormat/>
    <w:rsid w:val="00B01E2B"/>
    <w:rPr>
      <w:rFonts w:ascii="Times New Roman" w:eastAsia="Times New Roman" w:hAnsi="Times New Roman"/>
      <w:bCs/>
      <w:sz w:val="24"/>
      <w:szCs w:val="24"/>
    </w:rPr>
  </w:style>
  <w:style w:type="paragraph" w:customStyle="1" w:styleId="Investigators">
    <w:name w:val="Investigators"/>
    <w:qFormat/>
    <w:rsid w:val="00B01E2B"/>
    <w:rPr>
      <w:rFonts w:ascii="Times New Roman" w:eastAsia="Times New Roman" w:hAnsi="Times New Roman"/>
      <w:bCs/>
      <w:sz w:val="24"/>
      <w:szCs w:val="24"/>
    </w:rPr>
  </w:style>
  <w:style w:type="paragraph" w:customStyle="1" w:styleId="PublicationNumberDate">
    <w:name w:val="PublicationNumberDate"/>
    <w:qFormat/>
    <w:rsid w:val="00B01E2B"/>
    <w:rPr>
      <w:rFonts w:ascii="Times New Roman" w:eastAsia="Times New Roman" w:hAnsi="Times New Roman"/>
      <w:b/>
      <w:bCs/>
      <w:sz w:val="24"/>
      <w:szCs w:val="24"/>
    </w:rPr>
  </w:style>
  <w:style w:type="paragraph" w:customStyle="1" w:styleId="SuggestedCitation">
    <w:name w:val="SuggestedCitation"/>
    <w:qFormat/>
    <w:rsid w:val="00B01E2B"/>
    <w:rPr>
      <w:rFonts w:ascii="Times New Roman" w:eastAsia="Times New Roman" w:hAnsi="Times New Roman"/>
      <w:bCs/>
      <w:sz w:val="24"/>
      <w:szCs w:val="24"/>
    </w:rPr>
  </w:style>
  <w:style w:type="paragraph" w:customStyle="1" w:styleId="Contents">
    <w:name w:val="Contents"/>
    <w:qFormat/>
    <w:rsid w:val="00B01E2B"/>
    <w:pPr>
      <w:keepNext/>
      <w:jc w:val="center"/>
    </w:pPr>
    <w:rPr>
      <w:rFonts w:ascii="Arial" w:hAnsi="Arial" w:cs="Arial"/>
      <w:b/>
      <w:sz w:val="36"/>
      <w:szCs w:val="32"/>
    </w:rPr>
  </w:style>
  <w:style w:type="paragraph" w:customStyle="1" w:styleId="ContentsSubhead">
    <w:name w:val="ContentsSubhead"/>
    <w:qFormat/>
    <w:rsid w:val="00B01E2B"/>
    <w:pPr>
      <w:keepNext/>
      <w:spacing w:before="240"/>
    </w:pPr>
    <w:rPr>
      <w:rFonts w:ascii="Times New Roman" w:eastAsia="Times New Roman" w:hAnsi="Times New Roman"/>
      <w:b/>
      <w:bCs/>
      <w:sz w:val="24"/>
      <w:szCs w:val="28"/>
    </w:rPr>
  </w:style>
  <w:style w:type="paragraph" w:customStyle="1" w:styleId="Level4Heading">
    <w:name w:val="Level4Heading"/>
    <w:qFormat/>
    <w:rsid w:val="00B01E2B"/>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B01E2B"/>
    <w:pPr>
      <w:jc w:val="center"/>
    </w:pPr>
    <w:rPr>
      <w:rFonts w:ascii="Arial" w:hAnsi="Arial" w:cs="Arial"/>
      <w:b/>
      <w:bCs/>
      <w:sz w:val="18"/>
      <w:szCs w:val="18"/>
    </w:rPr>
  </w:style>
  <w:style w:type="paragraph" w:customStyle="1" w:styleId="TableSubhead">
    <w:name w:val="TableSubhead"/>
    <w:qFormat/>
    <w:rsid w:val="00B01E2B"/>
    <w:rPr>
      <w:rFonts w:ascii="Arial" w:hAnsi="Arial" w:cs="Arial"/>
      <w:b/>
      <w:i/>
      <w:sz w:val="18"/>
      <w:szCs w:val="18"/>
    </w:rPr>
  </w:style>
  <w:style w:type="paragraph" w:customStyle="1" w:styleId="TableText">
    <w:name w:val="TableText"/>
    <w:qFormat/>
    <w:rsid w:val="00B01E2B"/>
    <w:rPr>
      <w:rFonts w:ascii="Arial" w:hAnsi="Arial" w:cs="Arial"/>
      <w:sz w:val="18"/>
      <w:szCs w:val="18"/>
    </w:rPr>
  </w:style>
  <w:style w:type="paragraph" w:customStyle="1" w:styleId="Level6Heading">
    <w:name w:val="Level6Heading"/>
    <w:qFormat/>
    <w:rsid w:val="00B01E2B"/>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B01E2B"/>
    <w:pPr>
      <w:keepNext/>
    </w:pPr>
    <w:rPr>
      <w:rFonts w:ascii="Times New Roman" w:hAnsi="Times New Roman"/>
      <w:b/>
      <w:color w:val="000000"/>
      <w:sz w:val="24"/>
      <w:szCs w:val="24"/>
    </w:rPr>
  </w:style>
  <w:style w:type="paragraph" w:customStyle="1" w:styleId="Level8Heading">
    <w:name w:val="Level8Heading"/>
    <w:qFormat/>
    <w:rsid w:val="00B01E2B"/>
    <w:pPr>
      <w:keepNext/>
    </w:pPr>
    <w:rPr>
      <w:rFonts w:ascii="Times New Roman" w:eastAsia="Times New Roman" w:hAnsi="Times New Roman"/>
      <w:bCs/>
      <w:i/>
      <w:sz w:val="24"/>
      <w:szCs w:val="24"/>
    </w:rPr>
  </w:style>
  <w:style w:type="paragraph" w:customStyle="1" w:styleId="Bullet1">
    <w:name w:val="Bullet1"/>
    <w:qFormat/>
    <w:rsid w:val="00B01E2B"/>
    <w:pPr>
      <w:numPr>
        <w:numId w:val="23"/>
      </w:numPr>
    </w:pPr>
    <w:rPr>
      <w:rFonts w:ascii="Times New Roman" w:eastAsia="Times New Roman" w:hAnsi="Times New Roman"/>
      <w:bCs/>
      <w:sz w:val="24"/>
      <w:szCs w:val="24"/>
    </w:rPr>
  </w:style>
  <w:style w:type="paragraph" w:customStyle="1" w:styleId="Bullet2">
    <w:name w:val="Bullet2"/>
    <w:qFormat/>
    <w:rsid w:val="00B01E2B"/>
    <w:pPr>
      <w:numPr>
        <w:ilvl w:val="1"/>
        <w:numId w:val="23"/>
      </w:numPr>
      <w:ind w:left="1080"/>
    </w:pPr>
    <w:rPr>
      <w:rFonts w:ascii="Times New Roman" w:eastAsia="Times New Roman" w:hAnsi="Times New Roman"/>
      <w:bCs/>
      <w:sz w:val="24"/>
      <w:szCs w:val="24"/>
    </w:rPr>
  </w:style>
  <w:style w:type="paragraph" w:customStyle="1" w:styleId="TableCenteredText">
    <w:name w:val="TableCenteredText"/>
    <w:qFormat/>
    <w:rsid w:val="00B01E2B"/>
    <w:pPr>
      <w:jc w:val="center"/>
    </w:pPr>
    <w:rPr>
      <w:rFonts w:ascii="Arial" w:hAnsi="Arial" w:cs="Arial"/>
      <w:sz w:val="18"/>
      <w:szCs w:val="18"/>
    </w:rPr>
  </w:style>
  <w:style w:type="paragraph" w:customStyle="1" w:styleId="TableLeftText">
    <w:name w:val="TableLeftText"/>
    <w:qFormat/>
    <w:rsid w:val="00B01E2B"/>
    <w:rPr>
      <w:rFonts w:ascii="Arial" w:hAnsi="Arial" w:cs="Arial"/>
      <w:sz w:val="18"/>
      <w:szCs w:val="18"/>
    </w:rPr>
  </w:style>
  <w:style w:type="paragraph" w:customStyle="1" w:styleId="TableBoldText">
    <w:name w:val="TableBoldText"/>
    <w:qFormat/>
    <w:rsid w:val="00B01E2B"/>
    <w:rPr>
      <w:rFonts w:ascii="Arial" w:hAnsi="Arial" w:cs="Arial"/>
      <w:b/>
      <w:sz w:val="18"/>
      <w:szCs w:val="18"/>
    </w:rPr>
  </w:style>
  <w:style w:type="paragraph" w:customStyle="1" w:styleId="Studies1">
    <w:name w:val="Studies1"/>
    <w:qFormat/>
    <w:rsid w:val="00B01E2B"/>
    <w:pPr>
      <w:keepLines/>
      <w:spacing w:before="120" w:after="120"/>
    </w:pPr>
    <w:rPr>
      <w:rFonts w:ascii="Times New Roman" w:hAnsi="Times New Roman" w:cs="Arial"/>
      <w:color w:val="000000"/>
      <w:sz w:val="24"/>
      <w:szCs w:val="32"/>
    </w:rPr>
  </w:style>
  <w:style w:type="paragraph" w:customStyle="1" w:styleId="Studies2">
    <w:name w:val="Studies2"/>
    <w:qFormat/>
    <w:rsid w:val="00B01E2B"/>
    <w:pPr>
      <w:keepLines/>
      <w:numPr>
        <w:numId w:val="2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01E2B"/>
    <w:pPr>
      <w:numPr>
        <w:numId w:val="25"/>
      </w:numPr>
      <w:ind w:left="720"/>
    </w:pPr>
  </w:style>
  <w:style w:type="paragraph" w:customStyle="1" w:styleId="ReportSubtitle">
    <w:name w:val="ReportSubtitle"/>
    <w:qFormat/>
    <w:rsid w:val="00B01E2B"/>
    <w:rPr>
      <w:rFonts w:ascii="Arial" w:eastAsia="Times New Roman" w:hAnsi="Arial"/>
      <w:b/>
      <w:bCs/>
      <w:sz w:val="24"/>
      <w:szCs w:val="24"/>
    </w:rPr>
  </w:style>
  <w:style w:type="paragraph" w:customStyle="1" w:styleId="FrontMatterSubhead">
    <w:name w:val="FrontMatterSubhead"/>
    <w:qFormat/>
    <w:rsid w:val="00B01E2B"/>
    <w:pPr>
      <w:keepNext/>
      <w:spacing w:before="120"/>
    </w:pPr>
    <w:rPr>
      <w:rFonts w:ascii="Arial" w:hAnsi="Arial" w:cs="Arial"/>
      <w:b/>
      <w:sz w:val="24"/>
      <w:szCs w:val="32"/>
    </w:rPr>
  </w:style>
  <w:style w:type="paragraph" w:customStyle="1" w:styleId="ReportTypeCover">
    <w:name w:val="ReportTypeCover"/>
    <w:qFormat/>
    <w:rsid w:val="009F3E34"/>
    <w:pPr>
      <w:pBdr>
        <w:bottom w:val="single" w:sz="12" w:space="1" w:color="auto"/>
      </w:pBdr>
    </w:pPr>
    <w:rPr>
      <w:rFonts w:ascii="Times New Roman" w:eastAsia="Times New Roman" w:hAnsi="Times New Roman"/>
      <w:bCs/>
      <w:i/>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E6"/>
    <w:rPr>
      <w:rFonts w:ascii="Times New Roman" w:hAnsi="Times New Roman"/>
      <w:sz w:val="24"/>
      <w:szCs w:val="22"/>
    </w:rPr>
  </w:style>
  <w:style w:type="paragraph" w:styleId="Heading1">
    <w:name w:val="heading 1"/>
    <w:basedOn w:val="Normal"/>
    <w:next w:val="Normal"/>
    <w:link w:val="Heading1Char"/>
    <w:uiPriority w:val="9"/>
    <w:qFormat/>
    <w:rsid w:val="00523AE6"/>
    <w:pPr>
      <w:keepNext/>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523AE6"/>
    <w:pPr>
      <w:keepNext/>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523AE6"/>
    <w:pPr>
      <w:keepNext/>
      <w:outlineLvl w:val="2"/>
    </w:pPr>
    <w:rPr>
      <w:rFonts w:ascii="Cambria" w:eastAsia="Times New Roman" w:hAnsi="Cambria"/>
      <w:b/>
      <w:bCs/>
      <w:sz w:val="26"/>
      <w:szCs w:val="26"/>
    </w:rPr>
  </w:style>
  <w:style w:type="paragraph" w:styleId="Heading4">
    <w:name w:val="heading 4"/>
    <w:basedOn w:val="Normal"/>
    <w:link w:val="Heading4Char"/>
    <w:uiPriority w:val="9"/>
    <w:qFormat/>
    <w:rsid w:val="00523AE6"/>
    <w:pPr>
      <w:spacing w:before="100" w:beforeAutospacing="1" w:after="100" w:afterAutospacing="1"/>
      <w:outlineLvl w:val="3"/>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3AE6"/>
    <w:rPr>
      <w:rFonts w:ascii="Cambria" w:eastAsia="Times New Roman" w:hAnsi="Cambria" w:cs="Times New Roman"/>
      <w:b/>
      <w:bCs/>
      <w:kern w:val="32"/>
      <w:sz w:val="32"/>
      <w:szCs w:val="32"/>
    </w:rPr>
  </w:style>
  <w:style w:type="character" w:customStyle="1" w:styleId="Heading2Char">
    <w:name w:val="Heading 2 Char"/>
    <w:link w:val="Heading2"/>
    <w:uiPriority w:val="9"/>
    <w:rsid w:val="00523AE6"/>
    <w:rPr>
      <w:rFonts w:ascii="Cambria" w:eastAsia="Times New Roman" w:hAnsi="Cambria" w:cs="Times New Roman"/>
      <w:b/>
      <w:bCs/>
      <w:i/>
      <w:iCs/>
      <w:sz w:val="28"/>
      <w:szCs w:val="28"/>
    </w:rPr>
  </w:style>
  <w:style w:type="character" w:customStyle="1" w:styleId="Heading3Char">
    <w:name w:val="Heading 3 Char"/>
    <w:link w:val="Heading3"/>
    <w:uiPriority w:val="9"/>
    <w:rsid w:val="00523AE6"/>
    <w:rPr>
      <w:rFonts w:ascii="Cambria" w:eastAsia="Times New Roman" w:hAnsi="Cambria" w:cs="Times New Roman"/>
      <w:b/>
      <w:bCs/>
      <w:sz w:val="26"/>
      <w:szCs w:val="26"/>
    </w:rPr>
  </w:style>
  <w:style w:type="character" w:customStyle="1" w:styleId="Heading4Char">
    <w:name w:val="Heading 4 Char"/>
    <w:link w:val="Heading4"/>
    <w:uiPriority w:val="9"/>
    <w:rsid w:val="00523AE6"/>
    <w:rPr>
      <w:rFonts w:ascii="Times New Roman" w:eastAsia="Times New Roman" w:hAnsi="Times New Roman" w:cs="Times New Roman"/>
      <w:b/>
      <w:bCs/>
      <w:sz w:val="24"/>
      <w:szCs w:val="24"/>
    </w:rPr>
  </w:style>
  <w:style w:type="paragraph" w:customStyle="1" w:styleId="ParagraphIndent">
    <w:name w:val="ParagraphIndent"/>
    <w:basedOn w:val="Normal"/>
    <w:qFormat/>
    <w:rsid w:val="00523AE6"/>
    <w:pPr>
      <w:ind w:firstLine="360"/>
    </w:pPr>
    <w:rPr>
      <w:color w:val="000000"/>
      <w:szCs w:val="24"/>
    </w:rPr>
  </w:style>
  <w:style w:type="paragraph" w:customStyle="1" w:styleId="ParagraphNoIndent">
    <w:name w:val="ParagraphNoIndent"/>
    <w:basedOn w:val="Normal"/>
    <w:qFormat/>
    <w:rsid w:val="00523AE6"/>
    <w:rPr>
      <w:rFonts w:eastAsia="Times New Roman"/>
      <w:bCs/>
      <w:szCs w:val="24"/>
      <w:lang w:val="en-CA"/>
    </w:rPr>
  </w:style>
  <w:style w:type="paragraph" w:customStyle="1" w:styleId="CERTitle">
    <w:name w:val="CERTitle"/>
    <w:basedOn w:val="ParagraphNoIndent"/>
    <w:qFormat/>
    <w:rsid w:val="00523AE6"/>
    <w:rPr>
      <w:b/>
      <w:i/>
      <w:sz w:val="36"/>
      <w:szCs w:val="36"/>
    </w:rPr>
  </w:style>
  <w:style w:type="paragraph" w:customStyle="1" w:styleId="NumberLine">
    <w:name w:val="NumberLine"/>
    <w:basedOn w:val="ParagraphNoIndent"/>
    <w:qFormat/>
    <w:rsid w:val="00523AE6"/>
    <w:rPr>
      <w:rFonts w:ascii="Arial" w:hAnsi="Arial"/>
      <w:b/>
      <w:sz w:val="28"/>
      <w:szCs w:val="28"/>
    </w:rPr>
  </w:style>
  <w:style w:type="paragraph" w:customStyle="1" w:styleId="TitleLine">
    <w:name w:val="TitleLine"/>
    <w:basedOn w:val="ParagraphNoIndent"/>
    <w:qFormat/>
    <w:rsid w:val="00523AE6"/>
    <w:rPr>
      <w:rFonts w:ascii="Arial" w:hAnsi="Arial"/>
      <w:b/>
      <w:sz w:val="36"/>
      <w:szCs w:val="36"/>
    </w:rPr>
  </w:style>
  <w:style w:type="paragraph" w:styleId="NormalWeb">
    <w:name w:val="Normal (Web)"/>
    <w:basedOn w:val="Normal"/>
    <w:uiPriority w:val="99"/>
    <w:semiHidden/>
    <w:rsid w:val="00523AE6"/>
    <w:pPr>
      <w:spacing w:before="100" w:beforeAutospacing="1" w:after="100" w:afterAutospacing="1"/>
    </w:pPr>
    <w:rPr>
      <w:rFonts w:eastAsia="Times New Roman"/>
      <w:szCs w:val="24"/>
    </w:rPr>
  </w:style>
  <w:style w:type="paragraph" w:customStyle="1" w:styleId="CM108">
    <w:name w:val="CM108"/>
    <w:basedOn w:val="Normal"/>
    <w:next w:val="Normal"/>
    <w:rsid w:val="00523AE6"/>
    <w:pPr>
      <w:autoSpaceDE w:val="0"/>
      <w:autoSpaceDN w:val="0"/>
      <w:adjustRightInd w:val="0"/>
      <w:spacing w:line="276" w:lineRule="atLeast"/>
    </w:pPr>
    <w:rPr>
      <w:rFonts w:eastAsia="Times"/>
      <w:szCs w:val="24"/>
    </w:rPr>
  </w:style>
  <w:style w:type="paragraph" w:customStyle="1" w:styleId="Preface">
    <w:name w:val="Preface"/>
    <w:basedOn w:val="Normal"/>
    <w:qFormat/>
    <w:rsid w:val="00523AE6"/>
    <w:pPr>
      <w:keepNext/>
    </w:pPr>
    <w:rPr>
      <w:rFonts w:ascii="Arial" w:hAnsi="Arial" w:cs="Arial"/>
      <w:b/>
      <w:sz w:val="32"/>
      <w:szCs w:val="32"/>
    </w:rPr>
  </w:style>
  <w:style w:type="table" w:customStyle="1" w:styleId="AHRQ1">
    <w:name w:val="AHRQ1"/>
    <w:basedOn w:val="TableGrid"/>
    <w:rsid w:val="00523AE6"/>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PlainText">
    <w:name w:val="Plain Text"/>
    <w:basedOn w:val="Normal"/>
    <w:link w:val="PlainTextChar"/>
    <w:uiPriority w:val="99"/>
    <w:rsid w:val="00523AE6"/>
    <w:rPr>
      <w:rFonts w:ascii="Courier New" w:eastAsia="Times New Roman" w:hAnsi="Courier New"/>
      <w:sz w:val="20"/>
      <w:szCs w:val="20"/>
    </w:rPr>
  </w:style>
  <w:style w:type="character" w:customStyle="1" w:styleId="PlainTextChar">
    <w:name w:val="Plain Text Char"/>
    <w:link w:val="PlainText"/>
    <w:uiPriority w:val="99"/>
    <w:rsid w:val="00523AE6"/>
    <w:rPr>
      <w:rFonts w:ascii="Courier New" w:eastAsia="Times New Roman" w:hAnsi="Courier New" w:cs="Times New Roman"/>
      <w:sz w:val="20"/>
      <w:szCs w:val="20"/>
    </w:rPr>
  </w:style>
  <w:style w:type="table" w:styleId="TableGrid">
    <w:name w:val="Table Grid"/>
    <w:basedOn w:val="TableNormal"/>
    <w:uiPriority w:val="59"/>
    <w:rsid w:val="00523A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523AE6"/>
    <w:rPr>
      <w:rFonts w:eastAsia="Times New Roman"/>
      <w:szCs w:val="24"/>
      <w:lang w:val="en-CA"/>
    </w:rPr>
  </w:style>
  <w:style w:type="paragraph" w:styleId="TOC2">
    <w:name w:val="toc 2"/>
    <w:basedOn w:val="Normal"/>
    <w:next w:val="Normal"/>
    <w:autoRedefine/>
    <w:uiPriority w:val="39"/>
    <w:rsid w:val="00523AE6"/>
    <w:pPr>
      <w:ind w:left="240"/>
    </w:pPr>
    <w:rPr>
      <w:rFonts w:eastAsia="Times New Roman"/>
      <w:szCs w:val="24"/>
      <w:lang w:val="en-CA"/>
    </w:rPr>
  </w:style>
  <w:style w:type="paragraph" w:styleId="TableofFigures">
    <w:name w:val="table of figures"/>
    <w:basedOn w:val="Normal"/>
    <w:next w:val="Normal"/>
    <w:uiPriority w:val="99"/>
    <w:rsid w:val="00523AE6"/>
    <w:rPr>
      <w:rFonts w:eastAsia="Times New Roman"/>
      <w:szCs w:val="24"/>
      <w:lang w:val="en-CA"/>
    </w:rPr>
  </w:style>
  <w:style w:type="paragraph" w:customStyle="1" w:styleId="HeadLevel1">
    <w:name w:val="Head Level 1"/>
    <w:basedOn w:val="ParagraphNoIndent"/>
    <w:qFormat/>
    <w:rsid w:val="00523AE6"/>
    <w:pPr>
      <w:keepNext/>
      <w:spacing w:before="240" w:after="60"/>
    </w:pPr>
    <w:rPr>
      <w:rFonts w:ascii="Arial" w:hAnsi="Arial"/>
      <w:b/>
      <w:sz w:val="32"/>
    </w:rPr>
  </w:style>
  <w:style w:type="paragraph" w:customStyle="1" w:styleId="HeadLevel2">
    <w:name w:val="Head Level 2"/>
    <w:basedOn w:val="ParagraphNoIndent"/>
    <w:qFormat/>
    <w:rsid w:val="00523AE6"/>
    <w:pPr>
      <w:keepNext/>
      <w:spacing w:before="240" w:after="60"/>
    </w:pPr>
    <w:rPr>
      <w:b/>
      <w:sz w:val="32"/>
    </w:rPr>
  </w:style>
  <w:style w:type="paragraph" w:customStyle="1" w:styleId="HeadLevel3">
    <w:name w:val="Head Level 3"/>
    <w:basedOn w:val="ParagraphNoIndent"/>
    <w:qFormat/>
    <w:rsid w:val="00523AE6"/>
    <w:pPr>
      <w:keepNext/>
      <w:spacing w:before="240" w:after="60"/>
    </w:pPr>
    <w:rPr>
      <w:rFonts w:ascii="Arial" w:hAnsi="Arial"/>
      <w:b/>
      <w:sz w:val="28"/>
    </w:rPr>
  </w:style>
  <w:style w:type="paragraph" w:customStyle="1" w:styleId="KeyQuestion">
    <w:name w:val="KeyQuestion"/>
    <w:basedOn w:val="Normal"/>
    <w:rsid w:val="00523AE6"/>
    <w:pPr>
      <w:keepNext/>
      <w:spacing w:before="120" w:after="120"/>
    </w:pPr>
    <w:rPr>
      <w:rFonts w:ascii="Arial" w:eastAsia="Times New Roman" w:hAnsi="Arial" w:cs="Arial"/>
      <w:iCs/>
      <w:kern w:val="32"/>
      <w:sz w:val="32"/>
      <w:szCs w:val="28"/>
      <w:lang w:val="en-GB"/>
    </w:rPr>
  </w:style>
  <w:style w:type="paragraph" w:customStyle="1" w:styleId="TableTitle">
    <w:name w:val="TableTitle"/>
    <w:basedOn w:val="ParagraphIndent"/>
    <w:qFormat/>
    <w:rsid w:val="00523AE6"/>
    <w:pPr>
      <w:keepNext/>
      <w:ind w:firstLine="0"/>
    </w:pPr>
    <w:rPr>
      <w:rFonts w:ascii="Arial" w:hAnsi="Arial"/>
      <w:b/>
      <w:sz w:val="20"/>
    </w:rPr>
  </w:style>
  <w:style w:type="paragraph" w:customStyle="1" w:styleId="TableNote">
    <w:name w:val="TableNote"/>
    <w:basedOn w:val="ParagraphNoIndent"/>
    <w:qFormat/>
    <w:rsid w:val="00523AE6"/>
    <w:rPr>
      <w:sz w:val="18"/>
    </w:rPr>
  </w:style>
  <w:style w:type="paragraph" w:customStyle="1" w:styleId="Reference">
    <w:name w:val="Reference"/>
    <w:basedOn w:val="ParagraphNoIndent"/>
    <w:qFormat/>
    <w:rsid w:val="00523AE6"/>
    <w:pPr>
      <w:keepNext/>
      <w:keepLines/>
      <w:spacing w:before="60" w:after="60"/>
      <w:ind w:left="720" w:hanging="720"/>
    </w:pPr>
    <w:rPr>
      <w:sz w:val="20"/>
    </w:rPr>
  </w:style>
  <w:style w:type="paragraph" w:styleId="Header">
    <w:name w:val="header"/>
    <w:basedOn w:val="Normal"/>
    <w:link w:val="HeaderChar"/>
    <w:uiPriority w:val="99"/>
    <w:unhideWhenUsed/>
    <w:rsid w:val="00523AE6"/>
    <w:pPr>
      <w:tabs>
        <w:tab w:val="center" w:pos="4680"/>
        <w:tab w:val="right" w:pos="9360"/>
      </w:tabs>
    </w:pPr>
    <w:rPr>
      <w:szCs w:val="20"/>
    </w:rPr>
  </w:style>
  <w:style w:type="character" w:customStyle="1" w:styleId="HeaderChar">
    <w:name w:val="Header Char"/>
    <w:link w:val="Header"/>
    <w:uiPriority w:val="99"/>
    <w:rsid w:val="00523AE6"/>
    <w:rPr>
      <w:rFonts w:ascii="Times New Roman" w:eastAsia="Calibri" w:hAnsi="Times New Roman" w:cs="Times New Roman"/>
      <w:sz w:val="24"/>
    </w:rPr>
  </w:style>
  <w:style w:type="paragraph" w:styleId="Footer">
    <w:name w:val="footer"/>
    <w:basedOn w:val="Normal"/>
    <w:link w:val="FooterChar"/>
    <w:uiPriority w:val="99"/>
    <w:unhideWhenUsed/>
    <w:rsid w:val="00523AE6"/>
    <w:pPr>
      <w:tabs>
        <w:tab w:val="center" w:pos="4680"/>
        <w:tab w:val="right" w:pos="9360"/>
      </w:tabs>
    </w:pPr>
    <w:rPr>
      <w:szCs w:val="20"/>
    </w:rPr>
  </w:style>
  <w:style w:type="character" w:customStyle="1" w:styleId="FooterChar">
    <w:name w:val="Footer Char"/>
    <w:link w:val="Footer"/>
    <w:uiPriority w:val="99"/>
    <w:rsid w:val="00523AE6"/>
    <w:rPr>
      <w:rFonts w:ascii="Times New Roman" w:eastAsia="Calibri" w:hAnsi="Times New Roman" w:cs="Times New Roman"/>
      <w:sz w:val="24"/>
    </w:rPr>
  </w:style>
  <w:style w:type="paragraph" w:customStyle="1" w:styleId="HeadLevel4">
    <w:name w:val="Head Level 4"/>
    <w:basedOn w:val="ParagraphNoIndent"/>
    <w:qFormat/>
    <w:rsid w:val="00523AE6"/>
    <w:pPr>
      <w:keepNext/>
      <w:spacing w:before="240" w:after="60"/>
    </w:pPr>
    <w:rPr>
      <w:b/>
    </w:rPr>
  </w:style>
  <w:style w:type="paragraph" w:styleId="BalloonText">
    <w:name w:val="Balloon Text"/>
    <w:basedOn w:val="Normal"/>
    <w:link w:val="BalloonTextChar"/>
    <w:uiPriority w:val="99"/>
    <w:semiHidden/>
    <w:unhideWhenUsed/>
    <w:rsid w:val="00523AE6"/>
    <w:rPr>
      <w:rFonts w:ascii="Tahoma" w:hAnsi="Tahoma"/>
      <w:sz w:val="16"/>
      <w:szCs w:val="16"/>
    </w:rPr>
  </w:style>
  <w:style w:type="character" w:customStyle="1" w:styleId="BalloonTextChar">
    <w:name w:val="Balloon Text Char"/>
    <w:link w:val="BalloonText"/>
    <w:uiPriority w:val="99"/>
    <w:semiHidden/>
    <w:rsid w:val="00523AE6"/>
    <w:rPr>
      <w:rFonts w:ascii="Tahoma" w:eastAsia="Calibri" w:hAnsi="Tahoma" w:cs="Times New Roman"/>
      <w:sz w:val="16"/>
      <w:szCs w:val="16"/>
    </w:rPr>
  </w:style>
  <w:style w:type="character" w:styleId="CommentReference">
    <w:name w:val="annotation reference"/>
    <w:uiPriority w:val="99"/>
    <w:rsid w:val="00523AE6"/>
    <w:rPr>
      <w:sz w:val="16"/>
      <w:szCs w:val="16"/>
    </w:rPr>
  </w:style>
  <w:style w:type="paragraph" w:styleId="CommentText">
    <w:name w:val="annotation text"/>
    <w:aliases w:val=" Char2,Char2"/>
    <w:basedOn w:val="Normal"/>
    <w:link w:val="CommentTextChar"/>
    <w:uiPriority w:val="99"/>
    <w:rsid w:val="00523AE6"/>
    <w:rPr>
      <w:sz w:val="20"/>
      <w:szCs w:val="20"/>
    </w:rPr>
  </w:style>
  <w:style w:type="character" w:customStyle="1" w:styleId="CommentTextChar">
    <w:name w:val="Comment Text Char"/>
    <w:aliases w:val=" Char2 Char,Char2 Char"/>
    <w:link w:val="CommentText"/>
    <w:uiPriority w:val="99"/>
    <w:rsid w:val="00523AE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rsid w:val="00523AE6"/>
    <w:rPr>
      <w:rFonts w:ascii="Calibri" w:hAnsi="Calibri"/>
      <w:b/>
      <w:bCs/>
    </w:rPr>
  </w:style>
  <w:style w:type="character" w:customStyle="1" w:styleId="CommentSubjectChar">
    <w:name w:val="Comment Subject Char"/>
    <w:link w:val="CommentSubject"/>
    <w:rsid w:val="00523AE6"/>
    <w:rPr>
      <w:rFonts w:ascii="Calibri" w:eastAsia="Calibri" w:hAnsi="Calibri" w:cs="Times New Roman"/>
      <w:b/>
      <w:bCs/>
      <w:sz w:val="20"/>
      <w:szCs w:val="20"/>
    </w:rPr>
  </w:style>
  <w:style w:type="character" w:styleId="Hyperlink">
    <w:name w:val="Hyperlink"/>
    <w:uiPriority w:val="99"/>
    <w:unhideWhenUsed/>
    <w:rsid w:val="00523AE6"/>
    <w:rPr>
      <w:color w:val="0000FF"/>
      <w:u w:val="single"/>
    </w:rPr>
  </w:style>
  <w:style w:type="character" w:customStyle="1" w:styleId="urmheaderhighlight">
    <w:name w:val="urm_header_highlight"/>
    <w:basedOn w:val="DefaultParagraphFont"/>
    <w:rsid w:val="00523AE6"/>
  </w:style>
  <w:style w:type="character" w:customStyle="1" w:styleId="st1">
    <w:name w:val="st1"/>
    <w:basedOn w:val="DefaultParagraphFont"/>
    <w:rsid w:val="00523AE6"/>
  </w:style>
  <w:style w:type="character" w:styleId="Emphasis">
    <w:name w:val="Emphasis"/>
    <w:uiPriority w:val="20"/>
    <w:qFormat/>
    <w:rsid w:val="00523AE6"/>
    <w:rPr>
      <w:i/>
      <w:iCs/>
    </w:rPr>
  </w:style>
  <w:style w:type="paragraph" w:styleId="BodyText">
    <w:name w:val="Body Text"/>
    <w:basedOn w:val="Normal"/>
    <w:link w:val="BodyTextChar"/>
    <w:uiPriority w:val="99"/>
    <w:semiHidden/>
    <w:unhideWhenUsed/>
    <w:rsid w:val="00523AE6"/>
    <w:pPr>
      <w:spacing w:after="120"/>
    </w:pPr>
    <w:rPr>
      <w:rFonts w:ascii="Calibri" w:hAnsi="Calibri"/>
      <w:sz w:val="20"/>
      <w:szCs w:val="20"/>
    </w:rPr>
  </w:style>
  <w:style w:type="character" w:customStyle="1" w:styleId="BodyTextChar">
    <w:name w:val="Body Text Char"/>
    <w:link w:val="BodyText"/>
    <w:uiPriority w:val="99"/>
    <w:semiHidden/>
    <w:rsid w:val="00523AE6"/>
    <w:rPr>
      <w:rFonts w:ascii="Calibri" w:eastAsia="Calibri" w:hAnsi="Calibri" w:cs="Times New Roman"/>
    </w:rPr>
  </w:style>
  <w:style w:type="paragraph" w:styleId="BodyTextFirstIndent">
    <w:name w:val="Body Text First Indent"/>
    <w:basedOn w:val="Normal"/>
    <w:link w:val="BodyTextFirstIndentChar"/>
    <w:rsid w:val="00523AE6"/>
    <w:pPr>
      <w:ind w:firstLine="360"/>
    </w:pPr>
    <w:rPr>
      <w:rFonts w:eastAsia="Times New Roman"/>
      <w:szCs w:val="24"/>
    </w:rPr>
  </w:style>
  <w:style w:type="character" w:customStyle="1" w:styleId="BodyTextFirstIndentChar">
    <w:name w:val="Body Text First Indent Char"/>
    <w:link w:val="BodyTextFirstIndent"/>
    <w:rsid w:val="00523AE6"/>
    <w:rPr>
      <w:rFonts w:ascii="Times New Roman" w:eastAsia="Times New Roman" w:hAnsi="Times New Roman" w:cs="Times New Roman"/>
      <w:sz w:val="24"/>
      <w:szCs w:val="24"/>
    </w:rPr>
  </w:style>
  <w:style w:type="paragraph" w:customStyle="1" w:styleId="TitlePageHeader">
    <w:name w:val="Title Page Header"/>
    <w:basedOn w:val="Normal"/>
    <w:next w:val="Normal"/>
    <w:rsid w:val="00523AE6"/>
    <w:rPr>
      <w:rFonts w:ascii="Times" w:eastAsia="Times New Roman" w:hAnsi="Times"/>
      <w:b/>
      <w:i/>
      <w:sz w:val="32"/>
      <w:szCs w:val="20"/>
    </w:rPr>
  </w:style>
  <w:style w:type="paragraph" w:customStyle="1" w:styleId="AHRQBODYTEXT">
    <w:name w:val="AHRQ BODY TEXT"/>
    <w:basedOn w:val="Normal"/>
    <w:link w:val="AHRQBODYTEXTChar"/>
    <w:rsid w:val="00523AE6"/>
    <w:pPr>
      <w:ind w:firstLine="360"/>
    </w:pPr>
    <w:rPr>
      <w:rFonts w:eastAsia="Times"/>
      <w:szCs w:val="20"/>
    </w:rPr>
  </w:style>
  <w:style w:type="character" w:customStyle="1" w:styleId="AHRQBODYTEXTChar">
    <w:name w:val="AHRQ BODY TEXT Char"/>
    <w:link w:val="AHRQBODYTEXT"/>
    <w:rsid w:val="00523AE6"/>
    <w:rPr>
      <w:rFonts w:ascii="Times New Roman" w:eastAsia="Times" w:hAnsi="Times New Roman" w:cs="Times New Roman"/>
      <w:sz w:val="24"/>
      <w:szCs w:val="20"/>
    </w:rPr>
  </w:style>
  <w:style w:type="paragraph" w:customStyle="1" w:styleId="Default">
    <w:name w:val="Default"/>
    <w:rsid w:val="00523AE6"/>
    <w:pPr>
      <w:autoSpaceDE w:val="0"/>
      <w:autoSpaceDN w:val="0"/>
      <w:adjustRightInd w:val="0"/>
    </w:pPr>
    <w:rPr>
      <w:rFonts w:ascii="Times New Roman" w:hAnsi="Times New Roman"/>
      <w:color w:val="000000"/>
      <w:sz w:val="24"/>
      <w:szCs w:val="24"/>
    </w:rPr>
  </w:style>
  <w:style w:type="paragraph" w:customStyle="1" w:styleId="Level1Heading">
    <w:name w:val="Level1Heading"/>
    <w:qFormat/>
    <w:rsid w:val="00523AE6"/>
    <w:pPr>
      <w:keepNext/>
      <w:spacing w:before="240" w:after="60"/>
    </w:pPr>
    <w:rPr>
      <w:rFonts w:ascii="Arial" w:eastAsia="Times New Roman" w:hAnsi="Arial"/>
      <w:b/>
      <w:bCs/>
      <w:sz w:val="32"/>
      <w:szCs w:val="24"/>
    </w:rPr>
  </w:style>
  <w:style w:type="paragraph" w:customStyle="1" w:styleId="ChapterHeading">
    <w:name w:val="ChapterHeading"/>
    <w:qFormat/>
    <w:rsid w:val="00523AE6"/>
    <w:pPr>
      <w:keepNext/>
      <w:spacing w:after="60"/>
      <w:jc w:val="center"/>
    </w:pPr>
    <w:rPr>
      <w:rFonts w:ascii="Arial" w:eastAsia="Times New Roman" w:hAnsi="Arial"/>
      <w:b/>
      <w:bCs/>
      <w:sz w:val="36"/>
      <w:szCs w:val="24"/>
    </w:rPr>
  </w:style>
  <w:style w:type="paragraph" w:customStyle="1" w:styleId="Level2Heading">
    <w:name w:val="Level2Heading"/>
    <w:basedOn w:val="Heading3"/>
    <w:qFormat/>
    <w:rsid w:val="00523AE6"/>
    <w:rPr>
      <w:rFonts w:ascii="Arial" w:hAnsi="Arial" w:cs="Arial"/>
      <w:sz w:val="28"/>
    </w:rPr>
  </w:style>
  <w:style w:type="paragraph" w:customStyle="1" w:styleId="Pa12">
    <w:name w:val="Pa12"/>
    <w:basedOn w:val="Default"/>
    <w:next w:val="Default"/>
    <w:uiPriority w:val="99"/>
    <w:rsid w:val="00523AE6"/>
    <w:pPr>
      <w:spacing w:line="161" w:lineRule="atLeast"/>
    </w:pPr>
    <w:rPr>
      <w:rFonts w:ascii="MetaHeadlineOT-Bold" w:hAnsi="MetaHeadlineOT-Bold"/>
      <w:color w:val="auto"/>
    </w:rPr>
  </w:style>
  <w:style w:type="paragraph" w:customStyle="1" w:styleId="Pa8">
    <w:name w:val="Pa8"/>
    <w:basedOn w:val="Default"/>
    <w:next w:val="Default"/>
    <w:uiPriority w:val="99"/>
    <w:rsid w:val="00523AE6"/>
    <w:pPr>
      <w:spacing w:line="141" w:lineRule="atLeast"/>
    </w:pPr>
    <w:rPr>
      <w:rFonts w:ascii="MetaHeadlineOT-Bold" w:hAnsi="MetaHeadlineOT-Bold"/>
      <w:color w:val="auto"/>
    </w:rPr>
  </w:style>
  <w:style w:type="character" w:styleId="FollowedHyperlink">
    <w:name w:val="FollowedHyperlink"/>
    <w:uiPriority w:val="99"/>
    <w:semiHidden/>
    <w:unhideWhenUsed/>
    <w:rsid w:val="00523AE6"/>
    <w:rPr>
      <w:color w:val="800080"/>
      <w:u w:val="single"/>
    </w:rPr>
  </w:style>
  <w:style w:type="paragraph" w:customStyle="1" w:styleId="NoSpacing1">
    <w:name w:val="No Spacing1"/>
    <w:uiPriority w:val="1"/>
    <w:qFormat/>
    <w:rsid w:val="00523AE6"/>
    <w:rPr>
      <w:rFonts w:ascii="Times New Roman" w:hAnsi="Times New Roman"/>
      <w:sz w:val="24"/>
      <w:szCs w:val="22"/>
    </w:rPr>
  </w:style>
  <w:style w:type="paragraph" w:styleId="Caption">
    <w:name w:val="caption"/>
    <w:basedOn w:val="Normal"/>
    <w:next w:val="Normal"/>
    <w:uiPriority w:val="35"/>
    <w:qFormat/>
    <w:rsid w:val="00523AE6"/>
    <w:rPr>
      <w:rFonts w:ascii="Arial" w:hAnsi="Arial"/>
      <w:b/>
      <w:bCs/>
      <w:sz w:val="20"/>
      <w:szCs w:val="20"/>
    </w:rPr>
  </w:style>
  <w:style w:type="paragraph" w:customStyle="1" w:styleId="BodyText0">
    <w:name w:val="BodyText"/>
    <w:basedOn w:val="Normal"/>
    <w:link w:val="BodyTextChar0"/>
    <w:rsid w:val="00523AE6"/>
    <w:pPr>
      <w:spacing w:after="120"/>
    </w:pPr>
    <w:rPr>
      <w:rFonts w:eastAsia="Times New Roman"/>
      <w:szCs w:val="24"/>
    </w:rPr>
  </w:style>
  <w:style w:type="character" w:customStyle="1" w:styleId="BodyTextChar0">
    <w:name w:val="BodyText Char"/>
    <w:link w:val="BodyText0"/>
    <w:rsid w:val="00523AE6"/>
    <w:rPr>
      <w:rFonts w:ascii="Times New Roman" w:eastAsia="Times New Roman" w:hAnsi="Times New Roman" w:cs="Times New Roman"/>
      <w:sz w:val="24"/>
      <w:szCs w:val="24"/>
    </w:rPr>
  </w:style>
  <w:style w:type="paragraph" w:customStyle="1" w:styleId="TitlePageReportNumber">
    <w:name w:val="Title Page Report Number"/>
    <w:basedOn w:val="Normal"/>
    <w:rsid w:val="00523AE6"/>
    <w:rPr>
      <w:rFonts w:ascii="Arial" w:eastAsia="Times" w:hAnsi="Arial"/>
      <w:b/>
      <w:sz w:val="28"/>
      <w:szCs w:val="20"/>
    </w:rPr>
  </w:style>
  <w:style w:type="paragraph" w:styleId="TOC3">
    <w:name w:val="toc 3"/>
    <w:basedOn w:val="Normal"/>
    <w:next w:val="Normal"/>
    <w:autoRedefine/>
    <w:uiPriority w:val="39"/>
    <w:unhideWhenUsed/>
    <w:rsid w:val="00523AE6"/>
    <w:pPr>
      <w:ind w:left="446"/>
    </w:pPr>
  </w:style>
  <w:style w:type="paragraph" w:styleId="ListParagraph">
    <w:name w:val="List Paragraph"/>
    <w:basedOn w:val="Normal"/>
    <w:uiPriority w:val="34"/>
    <w:qFormat/>
    <w:rsid w:val="00EE593D"/>
    <w:pPr>
      <w:ind w:left="720"/>
      <w:contextualSpacing/>
    </w:pPr>
    <w:rPr>
      <w:rFonts w:eastAsia="Times New Roman"/>
      <w:szCs w:val="24"/>
    </w:rPr>
  </w:style>
  <w:style w:type="paragraph" w:styleId="Revision">
    <w:name w:val="Revision"/>
    <w:hidden/>
    <w:uiPriority w:val="99"/>
    <w:semiHidden/>
    <w:rsid w:val="00672F08"/>
    <w:rPr>
      <w:rFonts w:ascii="Times New Roman" w:hAnsi="Times New Roman"/>
      <w:sz w:val="24"/>
      <w:szCs w:val="22"/>
    </w:rPr>
  </w:style>
  <w:style w:type="paragraph" w:styleId="TOC4">
    <w:name w:val="toc 4"/>
    <w:basedOn w:val="Normal"/>
    <w:next w:val="Normal"/>
    <w:autoRedefine/>
    <w:uiPriority w:val="39"/>
    <w:unhideWhenUsed/>
    <w:rsid w:val="005674EC"/>
    <w:pPr>
      <w:spacing w:after="100" w:line="276"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5674EC"/>
    <w:pPr>
      <w:spacing w:after="100" w:line="276"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5674EC"/>
    <w:pPr>
      <w:spacing w:after="100" w:line="276"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5674EC"/>
    <w:pPr>
      <w:spacing w:after="100" w:line="276"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5674EC"/>
    <w:pPr>
      <w:spacing w:after="100" w:line="276"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5674EC"/>
    <w:pPr>
      <w:spacing w:after="100" w:line="276" w:lineRule="auto"/>
      <w:ind w:left="1760"/>
    </w:pPr>
    <w:rPr>
      <w:rFonts w:asciiTheme="minorHAnsi" w:eastAsiaTheme="minorEastAsia" w:hAnsiTheme="minorHAnsi" w:cstheme="minorBidi"/>
      <w:sz w:val="22"/>
    </w:rPr>
  </w:style>
  <w:style w:type="paragraph" w:customStyle="1" w:styleId="xmsonormal">
    <w:name w:val="x_msonormal"/>
    <w:basedOn w:val="Normal"/>
    <w:rsid w:val="00186575"/>
    <w:pPr>
      <w:spacing w:before="100" w:beforeAutospacing="1" w:after="100" w:afterAutospacing="1"/>
    </w:pPr>
    <w:rPr>
      <w:rFonts w:eastAsia="Times New Roman"/>
      <w:szCs w:val="24"/>
    </w:rPr>
  </w:style>
</w:styles>
</file>

<file path=word/webSettings.xml><?xml version="1.0" encoding="utf-8"?>
<w:webSettings xmlns:r="http://schemas.openxmlformats.org/officeDocument/2006/relationships" xmlns:w="http://schemas.openxmlformats.org/wordprocessingml/2006/main">
  <w:divs>
    <w:div w:id="216941891">
      <w:bodyDiv w:val="1"/>
      <w:marLeft w:val="0"/>
      <w:marRight w:val="0"/>
      <w:marTop w:val="0"/>
      <w:marBottom w:val="0"/>
      <w:divBdr>
        <w:top w:val="none" w:sz="0" w:space="0" w:color="auto"/>
        <w:left w:val="none" w:sz="0" w:space="0" w:color="auto"/>
        <w:bottom w:val="none" w:sz="0" w:space="0" w:color="auto"/>
        <w:right w:val="none" w:sz="0" w:space="0" w:color="auto"/>
      </w:divBdr>
    </w:div>
    <w:div w:id="591007972">
      <w:bodyDiv w:val="1"/>
      <w:marLeft w:val="0"/>
      <w:marRight w:val="0"/>
      <w:marTop w:val="0"/>
      <w:marBottom w:val="0"/>
      <w:divBdr>
        <w:top w:val="none" w:sz="0" w:space="0" w:color="auto"/>
        <w:left w:val="none" w:sz="0" w:space="0" w:color="auto"/>
        <w:bottom w:val="none" w:sz="0" w:space="0" w:color="auto"/>
        <w:right w:val="none" w:sz="0" w:space="0" w:color="auto"/>
      </w:divBdr>
      <w:divsChild>
        <w:div w:id="206602120">
          <w:marLeft w:val="0"/>
          <w:marRight w:val="0"/>
          <w:marTop w:val="0"/>
          <w:marBottom w:val="0"/>
          <w:divBdr>
            <w:top w:val="none" w:sz="0" w:space="0" w:color="auto"/>
            <w:left w:val="none" w:sz="0" w:space="0" w:color="auto"/>
            <w:bottom w:val="none" w:sz="0" w:space="0" w:color="auto"/>
            <w:right w:val="none" w:sz="0" w:space="0" w:color="auto"/>
          </w:divBdr>
          <w:divsChild>
            <w:div w:id="1435596298">
              <w:marLeft w:val="0"/>
              <w:marRight w:val="0"/>
              <w:marTop w:val="0"/>
              <w:marBottom w:val="0"/>
              <w:divBdr>
                <w:top w:val="none" w:sz="0" w:space="0" w:color="auto"/>
                <w:left w:val="none" w:sz="0" w:space="0" w:color="auto"/>
                <w:bottom w:val="none" w:sz="0" w:space="0" w:color="auto"/>
                <w:right w:val="none" w:sz="0" w:space="0" w:color="auto"/>
              </w:divBdr>
              <w:divsChild>
                <w:div w:id="650446277">
                  <w:marLeft w:val="0"/>
                  <w:marRight w:val="0"/>
                  <w:marTop w:val="0"/>
                  <w:marBottom w:val="0"/>
                  <w:divBdr>
                    <w:top w:val="none" w:sz="0" w:space="0" w:color="auto"/>
                    <w:left w:val="none" w:sz="0" w:space="0" w:color="auto"/>
                    <w:bottom w:val="none" w:sz="0" w:space="0" w:color="auto"/>
                    <w:right w:val="none" w:sz="0" w:space="0" w:color="auto"/>
                  </w:divBdr>
                  <w:divsChild>
                    <w:div w:id="717585551">
                      <w:marLeft w:val="0"/>
                      <w:marRight w:val="0"/>
                      <w:marTop w:val="0"/>
                      <w:marBottom w:val="0"/>
                      <w:divBdr>
                        <w:top w:val="none" w:sz="0" w:space="0" w:color="auto"/>
                        <w:left w:val="none" w:sz="0" w:space="0" w:color="auto"/>
                        <w:bottom w:val="none" w:sz="0" w:space="0" w:color="auto"/>
                        <w:right w:val="none" w:sz="0" w:space="0" w:color="auto"/>
                      </w:divBdr>
                      <w:divsChild>
                        <w:div w:id="9670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643870">
      <w:bodyDiv w:val="1"/>
      <w:marLeft w:val="0"/>
      <w:marRight w:val="0"/>
      <w:marTop w:val="0"/>
      <w:marBottom w:val="0"/>
      <w:divBdr>
        <w:top w:val="none" w:sz="0" w:space="0" w:color="auto"/>
        <w:left w:val="none" w:sz="0" w:space="0" w:color="auto"/>
        <w:bottom w:val="none" w:sz="0" w:space="0" w:color="auto"/>
        <w:right w:val="none" w:sz="0" w:space="0" w:color="auto"/>
      </w:divBdr>
      <w:divsChild>
        <w:div w:id="1642692274">
          <w:marLeft w:val="0"/>
          <w:marRight w:val="0"/>
          <w:marTop w:val="0"/>
          <w:marBottom w:val="0"/>
          <w:divBdr>
            <w:top w:val="none" w:sz="0" w:space="0" w:color="auto"/>
            <w:left w:val="none" w:sz="0" w:space="0" w:color="auto"/>
            <w:bottom w:val="none" w:sz="0" w:space="0" w:color="auto"/>
            <w:right w:val="none" w:sz="0" w:space="0" w:color="auto"/>
          </w:divBdr>
          <w:divsChild>
            <w:div w:id="2065059648">
              <w:marLeft w:val="0"/>
              <w:marRight w:val="0"/>
              <w:marTop w:val="0"/>
              <w:marBottom w:val="0"/>
              <w:divBdr>
                <w:top w:val="none" w:sz="0" w:space="0" w:color="auto"/>
                <w:left w:val="none" w:sz="0" w:space="0" w:color="auto"/>
                <w:bottom w:val="none" w:sz="0" w:space="0" w:color="auto"/>
                <w:right w:val="none" w:sz="0" w:space="0" w:color="auto"/>
              </w:divBdr>
              <w:divsChild>
                <w:div w:id="200476973">
                  <w:marLeft w:val="0"/>
                  <w:marRight w:val="0"/>
                  <w:marTop w:val="0"/>
                  <w:marBottom w:val="0"/>
                  <w:divBdr>
                    <w:top w:val="none" w:sz="0" w:space="0" w:color="auto"/>
                    <w:left w:val="none" w:sz="0" w:space="0" w:color="auto"/>
                    <w:bottom w:val="none" w:sz="0" w:space="0" w:color="auto"/>
                    <w:right w:val="none" w:sz="0" w:space="0" w:color="auto"/>
                  </w:divBdr>
                  <w:divsChild>
                    <w:div w:id="1399862733">
                      <w:marLeft w:val="0"/>
                      <w:marRight w:val="0"/>
                      <w:marTop w:val="0"/>
                      <w:marBottom w:val="0"/>
                      <w:divBdr>
                        <w:top w:val="none" w:sz="0" w:space="0" w:color="auto"/>
                        <w:left w:val="none" w:sz="0" w:space="0" w:color="auto"/>
                        <w:bottom w:val="none" w:sz="0" w:space="0" w:color="auto"/>
                        <w:right w:val="none" w:sz="0" w:space="0" w:color="auto"/>
                      </w:divBdr>
                      <w:divsChild>
                        <w:div w:id="99962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621645">
      <w:bodyDiv w:val="1"/>
      <w:marLeft w:val="0"/>
      <w:marRight w:val="0"/>
      <w:marTop w:val="0"/>
      <w:marBottom w:val="0"/>
      <w:divBdr>
        <w:top w:val="none" w:sz="0" w:space="0" w:color="auto"/>
        <w:left w:val="none" w:sz="0" w:space="0" w:color="auto"/>
        <w:bottom w:val="none" w:sz="0" w:space="0" w:color="auto"/>
        <w:right w:val="none" w:sz="0" w:space="0" w:color="auto"/>
      </w:divBdr>
    </w:div>
    <w:div w:id="207299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46"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D14EF-6F5F-4FF3-99BC-1F195F57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10171</CharactersWithSpaces>
  <SharedDoc>false</SharedDoc>
  <HLinks>
    <vt:vector size="402" baseType="variant">
      <vt:variant>
        <vt:i4>7471200</vt:i4>
      </vt:variant>
      <vt:variant>
        <vt:i4>671</vt:i4>
      </vt:variant>
      <vt:variant>
        <vt:i4>0</vt:i4>
      </vt:variant>
      <vt:variant>
        <vt:i4>5</vt:i4>
      </vt:variant>
      <vt:variant>
        <vt:lpwstr>http://clinicaltrials.gov/ct2/info/results</vt:lpwstr>
      </vt:variant>
      <vt:variant>
        <vt:lpwstr/>
      </vt:variant>
      <vt:variant>
        <vt:i4>5111839</vt:i4>
      </vt:variant>
      <vt:variant>
        <vt:i4>668</vt:i4>
      </vt:variant>
      <vt:variant>
        <vt:i4>0</vt:i4>
      </vt:variant>
      <vt:variant>
        <vt:i4>5</vt:i4>
      </vt:variant>
      <vt:variant>
        <vt:lpwstr>http://www.effectivehealthcare.ahrq.gov/reports/final.cfm</vt:lpwstr>
      </vt:variant>
      <vt:variant>
        <vt:lpwstr/>
      </vt:variant>
      <vt:variant>
        <vt:i4>5111839</vt:i4>
      </vt:variant>
      <vt:variant>
        <vt:i4>665</vt:i4>
      </vt:variant>
      <vt:variant>
        <vt:i4>0</vt:i4>
      </vt:variant>
      <vt:variant>
        <vt:i4>5</vt:i4>
      </vt:variant>
      <vt:variant>
        <vt:lpwstr>http://www.effectivehealthcare.ahrq.gov/reports/final.cfm</vt:lpwstr>
      </vt:variant>
      <vt:variant>
        <vt:lpwstr/>
      </vt:variant>
      <vt:variant>
        <vt:i4>5111839</vt:i4>
      </vt:variant>
      <vt:variant>
        <vt:i4>662</vt:i4>
      </vt:variant>
      <vt:variant>
        <vt:i4>0</vt:i4>
      </vt:variant>
      <vt:variant>
        <vt:i4>5</vt:i4>
      </vt:variant>
      <vt:variant>
        <vt:lpwstr>http://www.effectivehealthcare.ahrq.gov/reports/final.cfm</vt:lpwstr>
      </vt:variant>
      <vt:variant>
        <vt:lpwstr/>
      </vt:variant>
      <vt:variant>
        <vt:i4>5111839</vt:i4>
      </vt:variant>
      <vt:variant>
        <vt:i4>659</vt:i4>
      </vt:variant>
      <vt:variant>
        <vt:i4>0</vt:i4>
      </vt:variant>
      <vt:variant>
        <vt:i4>5</vt:i4>
      </vt:variant>
      <vt:variant>
        <vt:lpwstr>http://www.effectivehealthcare.ahrq.gov/reports/final.cfm</vt:lpwstr>
      </vt:variant>
      <vt:variant>
        <vt:lpwstr/>
      </vt:variant>
      <vt:variant>
        <vt:i4>5111839</vt:i4>
      </vt:variant>
      <vt:variant>
        <vt:i4>656</vt:i4>
      </vt:variant>
      <vt:variant>
        <vt:i4>0</vt:i4>
      </vt:variant>
      <vt:variant>
        <vt:i4>5</vt:i4>
      </vt:variant>
      <vt:variant>
        <vt:lpwstr>http://www.effectivehealthcare.ahrq.gov/reports/final.cfm</vt:lpwstr>
      </vt:variant>
      <vt:variant>
        <vt:lpwstr/>
      </vt:variant>
      <vt:variant>
        <vt:i4>5111839</vt:i4>
      </vt:variant>
      <vt:variant>
        <vt:i4>653</vt:i4>
      </vt:variant>
      <vt:variant>
        <vt:i4>0</vt:i4>
      </vt:variant>
      <vt:variant>
        <vt:i4>5</vt:i4>
      </vt:variant>
      <vt:variant>
        <vt:lpwstr>http://www.effectivehealthcare.ahrq.gov/reports/final.cfm</vt:lpwstr>
      </vt:variant>
      <vt:variant>
        <vt:lpwstr/>
      </vt:variant>
      <vt:variant>
        <vt:i4>5111839</vt:i4>
      </vt:variant>
      <vt:variant>
        <vt:i4>650</vt:i4>
      </vt:variant>
      <vt:variant>
        <vt:i4>0</vt:i4>
      </vt:variant>
      <vt:variant>
        <vt:i4>5</vt:i4>
      </vt:variant>
      <vt:variant>
        <vt:lpwstr>http://www.effectivehealthcare.ahrq.gov/reports/final.cfm</vt:lpwstr>
      </vt:variant>
      <vt:variant>
        <vt:lpwstr/>
      </vt:variant>
      <vt:variant>
        <vt:i4>5111839</vt:i4>
      </vt:variant>
      <vt:variant>
        <vt:i4>647</vt:i4>
      </vt:variant>
      <vt:variant>
        <vt:i4>0</vt:i4>
      </vt:variant>
      <vt:variant>
        <vt:i4>5</vt:i4>
      </vt:variant>
      <vt:variant>
        <vt:lpwstr>http://www.effectivehealthcare.ahrq.gov/reports/final.cfm</vt:lpwstr>
      </vt:variant>
      <vt:variant>
        <vt:lpwstr/>
      </vt:variant>
      <vt:variant>
        <vt:i4>5111839</vt:i4>
      </vt:variant>
      <vt:variant>
        <vt:i4>644</vt:i4>
      </vt:variant>
      <vt:variant>
        <vt:i4>0</vt:i4>
      </vt:variant>
      <vt:variant>
        <vt:i4>5</vt:i4>
      </vt:variant>
      <vt:variant>
        <vt:lpwstr>http://www.effectivehealthcare.ahrq.gov/reports/final.cfm</vt:lpwstr>
      </vt:variant>
      <vt:variant>
        <vt:lpwstr/>
      </vt:variant>
      <vt:variant>
        <vt:i4>5111839</vt:i4>
      </vt:variant>
      <vt:variant>
        <vt:i4>641</vt:i4>
      </vt:variant>
      <vt:variant>
        <vt:i4>0</vt:i4>
      </vt:variant>
      <vt:variant>
        <vt:i4>5</vt:i4>
      </vt:variant>
      <vt:variant>
        <vt:lpwstr>http://www.effectivehealthcare.ahrq.gov/reports/final.cfm</vt:lpwstr>
      </vt:variant>
      <vt:variant>
        <vt:lpwstr/>
      </vt:variant>
      <vt:variant>
        <vt:i4>5111839</vt:i4>
      </vt:variant>
      <vt:variant>
        <vt:i4>638</vt:i4>
      </vt:variant>
      <vt:variant>
        <vt:i4>0</vt:i4>
      </vt:variant>
      <vt:variant>
        <vt:i4>5</vt:i4>
      </vt:variant>
      <vt:variant>
        <vt:lpwstr>http://www.effectivehealthcare.ahrq.gov/reports/final.cfm</vt:lpwstr>
      </vt:variant>
      <vt:variant>
        <vt:lpwstr/>
      </vt:variant>
      <vt:variant>
        <vt:i4>5111839</vt:i4>
      </vt:variant>
      <vt:variant>
        <vt:i4>635</vt:i4>
      </vt:variant>
      <vt:variant>
        <vt:i4>0</vt:i4>
      </vt:variant>
      <vt:variant>
        <vt:i4>5</vt:i4>
      </vt:variant>
      <vt:variant>
        <vt:lpwstr>http://www.effectivehealthcare.ahrq.gov/reports/final.cfm</vt:lpwstr>
      </vt:variant>
      <vt:variant>
        <vt:lpwstr/>
      </vt:variant>
      <vt:variant>
        <vt:i4>1638409</vt:i4>
      </vt:variant>
      <vt:variant>
        <vt:i4>632</vt:i4>
      </vt:variant>
      <vt:variant>
        <vt:i4>0</vt:i4>
      </vt:variant>
      <vt:variant>
        <vt:i4>5</vt:i4>
      </vt:variant>
      <vt:variant>
        <vt:lpwstr>http://www.ahrp.org/infomail/04/07/06.php</vt:lpwstr>
      </vt:variant>
      <vt:variant>
        <vt:lpwstr/>
      </vt:variant>
      <vt:variant>
        <vt:i4>6291470</vt:i4>
      </vt:variant>
      <vt:variant>
        <vt:i4>629</vt:i4>
      </vt:variant>
      <vt:variant>
        <vt:i4>0</vt:i4>
      </vt:variant>
      <vt:variant>
        <vt:i4>5</vt:i4>
      </vt:variant>
      <vt:variant>
        <vt:lpwstr>http://frwebgate.access.gpo.gov/cgi-bin/getdoc.cgi?dbname=110_cong_public_laws&amp;docid=f:publ085.110</vt:lpwstr>
      </vt:variant>
      <vt:variant>
        <vt:lpwstr/>
      </vt:variant>
      <vt:variant>
        <vt:i4>6357020</vt:i4>
      </vt:variant>
      <vt:variant>
        <vt:i4>626</vt:i4>
      </vt:variant>
      <vt:variant>
        <vt:i4>0</vt:i4>
      </vt:variant>
      <vt:variant>
        <vt:i4>5</vt:i4>
      </vt:variant>
      <vt:variant>
        <vt:lpwstr>http://www.icmje.org/faq_clinical.html</vt:lpwstr>
      </vt:variant>
      <vt:variant>
        <vt:lpwstr/>
      </vt:variant>
      <vt:variant>
        <vt:i4>589831</vt:i4>
      </vt:variant>
      <vt:variant>
        <vt:i4>623</vt:i4>
      </vt:variant>
      <vt:variant>
        <vt:i4>0</vt:i4>
      </vt:variant>
      <vt:variant>
        <vt:i4>5</vt:i4>
      </vt:variant>
      <vt:variant>
        <vt:lpwstr>http://www.who.int/ictrp/en/</vt:lpwstr>
      </vt:variant>
      <vt:variant>
        <vt:lpwstr/>
      </vt:variant>
      <vt:variant>
        <vt:i4>5111839</vt:i4>
      </vt:variant>
      <vt:variant>
        <vt:i4>620</vt:i4>
      </vt:variant>
      <vt:variant>
        <vt:i4>0</vt:i4>
      </vt:variant>
      <vt:variant>
        <vt:i4>5</vt:i4>
      </vt:variant>
      <vt:variant>
        <vt:lpwstr>http://www.effectivehealthcare.ahrq.gov/reports/final.cfm</vt:lpwstr>
      </vt:variant>
      <vt:variant>
        <vt:lpwstr/>
      </vt:variant>
      <vt:variant>
        <vt:i4>5111839</vt:i4>
      </vt:variant>
      <vt:variant>
        <vt:i4>617</vt:i4>
      </vt:variant>
      <vt:variant>
        <vt:i4>0</vt:i4>
      </vt:variant>
      <vt:variant>
        <vt:i4>5</vt:i4>
      </vt:variant>
      <vt:variant>
        <vt:lpwstr>http://www.effectivehealthcare.ahrq.gov/reports/final.cfm</vt:lpwstr>
      </vt:variant>
      <vt:variant>
        <vt:lpwstr/>
      </vt:variant>
      <vt:variant>
        <vt:i4>5111839</vt:i4>
      </vt:variant>
      <vt:variant>
        <vt:i4>614</vt:i4>
      </vt:variant>
      <vt:variant>
        <vt:i4>0</vt:i4>
      </vt:variant>
      <vt:variant>
        <vt:i4>5</vt:i4>
      </vt:variant>
      <vt:variant>
        <vt:lpwstr>http://www.effectivehealthcare.ahrq.gov/reports/final.cfm</vt:lpwstr>
      </vt:variant>
      <vt:variant>
        <vt:lpwstr/>
      </vt:variant>
      <vt:variant>
        <vt:i4>2818170</vt:i4>
      </vt:variant>
      <vt:variant>
        <vt:i4>355</vt:i4>
      </vt:variant>
      <vt:variant>
        <vt:i4>0</vt:i4>
      </vt:variant>
      <vt:variant>
        <vt:i4>5</vt:i4>
      </vt:variant>
      <vt:variant>
        <vt:lpwstr>http://www.who.int/ictrp/network/primary/en/index.html</vt:lpwstr>
      </vt:variant>
      <vt:variant>
        <vt:lpwstr/>
      </vt:variant>
      <vt:variant>
        <vt:i4>1572916</vt:i4>
      </vt:variant>
      <vt:variant>
        <vt:i4>289</vt:i4>
      </vt:variant>
      <vt:variant>
        <vt:i4>0</vt:i4>
      </vt:variant>
      <vt:variant>
        <vt:i4>5</vt:i4>
      </vt:variant>
      <vt:variant>
        <vt:lpwstr/>
      </vt:variant>
      <vt:variant>
        <vt:lpwstr>_Toc323732780</vt:lpwstr>
      </vt:variant>
      <vt:variant>
        <vt:i4>1507380</vt:i4>
      </vt:variant>
      <vt:variant>
        <vt:i4>283</vt:i4>
      </vt:variant>
      <vt:variant>
        <vt:i4>0</vt:i4>
      </vt:variant>
      <vt:variant>
        <vt:i4>5</vt:i4>
      </vt:variant>
      <vt:variant>
        <vt:lpwstr/>
      </vt:variant>
      <vt:variant>
        <vt:lpwstr>_Toc323732779</vt:lpwstr>
      </vt:variant>
      <vt:variant>
        <vt:i4>1507380</vt:i4>
      </vt:variant>
      <vt:variant>
        <vt:i4>277</vt:i4>
      </vt:variant>
      <vt:variant>
        <vt:i4>0</vt:i4>
      </vt:variant>
      <vt:variant>
        <vt:i4>5</vt:i4>
      </vt:variant>
      <vt:variant>
        <vt:lpwstr/>
      </vt:variant>
      <vt:variant>
        <vt:lpwstr>_Toc323732778</vt:lpwstr>
      </vt:variant>
      <vt:variant>
        <vt:i4>1507380</vt:i4>
      </vt:variant>
      <vt:variant>
        <vt:i4>271</vt:i4>
      </vt:variant>
      <vt:variant>
        <vt:i4>0</vt:i4>
      </vt:variant>
      <vt:variant>
        <vt:i4>5</vt:i4>
      </vt:variant>
      <vt:variant>
        <vt:lpwstr/>
      </vt:variant>
      <vt:variant>
        <vt:lpwstr>_Toc323732777</vt:lpwstr>
      </vt:variant>
      <vt:variant>
        <vt:i4>1507380</vt:i4>
      </vt:variant>
      <vt:variant>
        <vt:i4>265</vt:i4>
      </vt:variant>
      <vt:variant>
        <vt:i4>0</vt:i4>
      </vt:variant>
      <vt:variant>
        <vt:i4>5</vt:i4>
      </vt:variant>
      <vt:variant>
        <vt:lpwstr/>
      </vt:variant>
      <vt:variant>
        <vt:lpwstr>_Toc323732776</vt:lpwstr>
      </vt:variant>
      <vt:variant>
        <vt:i4>1507380</vt:i4>
      </vt:variant>
      <vt:variant>
        <vt:i4>259</vt:i4>
      </vt:variant>
      <vt:variant>
        <vt:i4>0</vt:i4>
      </vt:variant>
      <vt:variant>
        <vt:i4>5</vt:i4>
      </vt:variant>
      <vt:variant>
        <vt:lpwstr/>
      </vt:variant>
      <vt:variant>
        <vt:lpwstr>_Toc323732775</vt:lpwstr>
      </vt:variant>
      <vt:variant>
        <vt:i4>1507380</vt:i4>
      </vt:variant>
      <vt:variant>
        <vt:i4>253</vt:i4>
      </vt:variant>
      <vt:variant>
        <vt:i4>0</vt:i4>
      </vt:variant>
      <vt:variant>
        <vt:i4>5</vt:i4>
      </vt:variant>
      <vt:variant>
        <vt:lpwstr/>
      </vt:variant>
      <vt:variant>
        <vt:lpwstr>_Toc323732774</vt:lpwstr>
      </vt:variant>
      <vt:variant>
        <vt:i4>1245236</vt:i4>
      </vt:variant>
      <vt:variant>
        <vt:i4>211</vt:i4>
      </vt:variant>
      <vt:variant>
        <vt:i4>0</vt:i4>
      </vt:variant>
      <vt:variant>
        <vt:i4>5</vt:i4>
      </vt:variant>
      <vt:variant>
        <vt:lpwstr/>
      </vt:variant>
      <vt:variant>
        <vt:lpwstr>_Toc316397816</vt:lpwstr>
      </vt:variant>
      <vt:variant>
        <vt:i4>1245236</vt:i4>
      </vt:variant>
      <vt:variant>
        <vt:i4>205</vt:i4>
      </vt:variant>
      <vt:variant>
        <vt:i4>0</vt:i4>
      </vt:variant>
      <vt:variant>
        <vt:i4>5</vt:i4>
      </vt:variant>
      <vt:variant>
        <vt:lpwstr/>
      </vt:variant>
      <vt:variant>
        <vt:lpwstr>_Toc316397815</vt:lpwstr>
      </vt:variant>
      <vt:variant>
        <vt:i4>1245236</vt:i4>
      </vt:variant>
      <vt:variant>
        <vt:i4>199</vt:i4>
      </vt:variant>
      <vt:variant>
        <vt:i4>0</vt:i4>
      </vt:variant>
      <vt:variant>
        <vt:i4>5</vt:i4>
      </vt:variant>
      <vt:variant>
        <vt:lpwstr/>
      </vt:variant>
      <vt:variant>
        <vt:lpwstr>_Toc316397814</vt:lpwstr>
      </vt:variant>
      <vt:variant>
        <vt:i4>1245236</vt:i4>
      </vt:variant>
      <vt:variant>
        <vt:i4>196</vt:i4>
      </vt:variant>
      <vt:variant>
        <vt:i4>0</vt:i4>
      </vt:variant>
      <vt:variant>
        <vt:i4>5</vt:i4>
      </vt:variant>
      <vt:variant>
        <vt:lpwstr/>
      </vt:variant>
      <vt:variant>
        <vt:lpwstr>_Toc316397813</vt:lpwstr>
      </vt:variant>
      <vt:variant>
        <vt:i4>1245236</vt:i4>
      </vt:variant>
      <vt:variant>
        <vt:i4>190</vt:i4>
      </vt:variant>
      <vt:variant>
        <vt:i4>0</vt:i4>
      </vt:variant>
      <vt:variant>
        <vt:i4>5</vt:i4>
      </vt:variant>
      <vt:variant>
        <vt:lpwstr/>
      </vt:variant>
      <vt:variant>
        <vt:lpwstr>_Toc316397812</vt:lpwstr>
      </vt:variant>
      <vt:variant>
        <vt:i4>1245236</vt:i4>
      </vt:variant>
      <vt:variant>
        <vt:i4>184</vt:i4>
      </vt:variant>
      <vt:variant>
        <vt:i4>0</vt:i4>
      </vt:variant>
      <vt:variant>
        <vt:i4>5</vt:i4>
      </vt:variant>
      <vt:variant>
        <vt:lpwstr/>
      </vt:variant>
      <vt:variant>
        <vt:lpwstr>_Toc316397811</vt:lpwstr>
      </vt:variant>
      <vt:variant>
        <vt:i4>1245236</vt:i4>
      </vt:variant>
      <vt:variant>
        <vt:i4>178</vt:i4>
      </vt:variant>
      <vt:variant>
        <vt:i4>0</vt:i4>
      </vt:variant>
      <vt:variant>
        <vt:i4>5</vt:i4>
      </vt:variant>
      <vt:variant>
        <vt:lpwstr/>
      </vt:variant>
      <vt:variant>
        <vt:lpwstr>_Toc316397810</vt:lpwstr>
      </vt:variant>
      <vt:variant>
        <vt:i4>1179700</vt:i4>
      </vt:variant>
      <vt:variant>
        <vt:i4>172</vt:i4>
      </vt:variant>
      <vt:variant>
        <vt:i4>0</vt:i4>
      </vt:variant>
      <vt:variant>
        <vt:i4>5</vt:i4>
      </vt:variant>
      <vt:variant>
        <vt:lpwstr/>
      </vt:variant>
      <vt:variant>
        <vt:lpwstr>_Toc316397809</vt:lpwstr>
      </vt:variant>
      <vt:variant>
        <vt:i4>1179700</vt:i4>
      </vt:variant>
      <vt:variant>
        <vt:i4>166</vt:i4>
      </vt:variant>
      <vt:variant>
        <vt:i4>0</vt:i4>
      </vt:variant>
      <vt:variant>
        <vt:i4>5</vt:i4>
      </vt:variant>
      <vt:variant>
        <vt:lpwstr/>
      </vt:variant>
      <vt:variant>
        <vt:lpwstr>_Toc316397808</vt:lpwstr>
      </vt:variant>
      <vt:variant>
        <vt:i4>1179700</vt:i4>
      </vt:variant>
      <vt:variant>
        <vt:i4>160</vt:i4>
      </vt:variant>
      <vt:variant>
        <vt:i4>0</vt:i4>
      </vt:variant>
      <vt:variant>
        <vt:i4>5</vt:i4>
      </vt:variant>
      <vt:variant>
        <vt:lpwstr/>
      </vt:variant>
      <vt:variant>
        <vt:lpwstr>_Toc316397807</vt:lpwstr>
      </vt:variant>
      <vt:variant>
        <vt:i4>1179700</vt:i4>
      </vt:variant>
      <vt:variant>
        <vt:i4>154</vt:i4>
      </vt:variant>
      <vt:variant>
        <vt:i4>0</vt:i4>
      </vt:variant>
      <vt:variant>
        <vt:i4>5</vt:i4>
      </vt:variant>
      <vt:variant>
        <vt:lpwstr/>
      </vt:variant>
      <vt:variant>
        <vt:lpwstr>_Toc316397806</vt:lpwstr>
      </vt:variant>
      <vt:variant>
        <vt:i4>1179700</vt:i4>
      </vt:variant>
      <vt:variant>
        <vt:i4>148</vt:i4>
      </vt:variant>
      <vt:variant>
        <vt:i4>0</vt:i4>
      </vt:variant>
      <vt:variant>
        <vt:i4>5</vt:i4>
      </vt:variant>
      <vt:variant>
        <vt:lpwstr/>
      </vt:variant>
      <vt:variant>
        <vt:lpwstr>_Toc316397805</vt:lpwstr>
      </vt:variant>
      <vt:variant>
        <vt:i4>1179700</vt:i4>
      </vt:variant>
      <vt:variant>
        <vt:i4>142</vt:i4>
      </vt:variant>
      <vt:variant>
        <vt:i4>0</vt:i4>
      </vt:variant>
      <vt:variant>
        <vt:i4>5</vt:i4>
      </vt:variant>
      <vt:variant>
        <vt:lpwstr/>
      </vt:variant>
      <vt:variant>
        <vt:lpwstr>_Toc316397804</vt:lpwstr>
      </vt:variant>
      <vt:variant>
        <vt:i4>1179700</vt:i4>
      </vt:variant>
      <vt:variant>
        <vt:i4>136</vt:i4>
      </vt:variant>
      <vt:variant>
        <vt:i4>0</vt:i4>
      </vt:variant>
      <vt:variant>
        <vt:i4>5</vt:i4>
      </vt:variant>
      <vt:variant>
        <vt:lpwstr/>
      </vt:variant>
      <vt:variant>
        <vt:lpwstr>_Toc316397803</vt:lpwstr>
      </vt:variant>
      <vt:variant>
        <vt:i4>1179700</vt:i4>
      </vt:variant>
      <vt:variant>
        <vt:i4>130</vt:i4>
      </vt:variant>
      <vt:variant>
        <vt:i4>0</vt:i4>
      </vt:variant>
      <vt:variant>
        <vt:i4>5</vt:i4>
      </vt:variant>
      <vt:variant>
        <vt:lpwstr/>
      </vt:variant>
      <vt:variant>
        <vt:lpwstr>_Toc316397802</vt:lpwstr>
      </vt:variant>
      <vt:variant>
        <vt:i4>1179700</vt:i4>
      </vt:variant>
      <vt:variant>
        <vt:i4>124</vt:i4>
      </vt:variant>
      <vt:variant>
        <vt:i4>0</vt:i4>
      </vt:variant>
      <vt:variant>
        <vt:i4>5</vt:i4>
      </vt:variant>
      <vt:variant>
        <vt:lpwstr/>
      </vt:variant>
      <vt:variant>
        <vt:lpwstr>_Toc316397801</vt:lpwstr>
      </vt:variant>
      <vt:variant>
        <vt:i4>1179700</vt:i4>
      </vt:variant>
      <vt:variant>
        <vt:i4>118</vt:i4>
      </vt:variant>
      <vt:variant>
        <vt:i4>0</vt:i4>
      </vt:variant>
      <vt:variant>
        <vt:i4>5</vt:i4>
      </vt:variant>
      <vt:variant>
        <vt:lpwstr/>
      </vt:variant>
      <vt:variant>
        <vt:lpwstr>_Toc316397800</vt:lpwstr>
      </vt:variant>
      <vt:variant>
        <vt:i4>1769531</vt:i4>
      </vt:variant>
      <vt:variant>
        <vt:i4>112</vt:i4>
      </vt:variant>
      <vt:variant>
        <vt:i4>0</vt:i4>
      </vt:variant>
      <vt:variant>
        <vt:i4>5</vt:i4>
      </vt:variant>
      <vt:variant>
        <vt:lpwstr/>
      </vt:variant>
      <vt:variant>
        <vt:lpwstr>_Toc316397799</vt:lpwstr>
      </vt:variant>
      <vt:variant>
        <vt:i4>1769531</vt:i4>
      </vt:variant>
      <vt:variant>
        <vt:i4>106</vt:i4>
      </vt:variant>
      <vt:variant>
        <vt:i4>0</vt:i4>
      </vt:variant>
      <vt:variant>
        <vt:i4>5</vt:i4>
      </vt:variant>
      <vt:variant>
        <vt:lpwstr/>
      </vt:variant>
      <vt:variant>
        <vt:lpwstr>_Toc316397798</vt:lpwstr>
      </vt:variant>
      <vt:variant>
        <vt:i4>1769531</vt:i4>
      </vt:variant>
      <vt:variant>
        <vt:i4>100</vt:i4>
      </vt:variant>
      <vt:variant>
        <vt:i4>0</vt:i4>
      </vt:variant>
      <vt:variant>
        <vt:i4>5</vt:i4>
      </vt:variant>
      <vt:variant>
        <vt:lpwstr/>
      </vt:variant>
      <vt:variant>
        <vt:lpwstr>_Toc316397797</vt:lpwstr>
      </vt:variant>
      <vt:variant>
        <vt:i4>1769531</vt:i4>
      </vt:variant>
      <vt:variant>
        <vt:i4>94</vt:i4>
      </vt:variant>
      <vt:variant>
        <vt:i4>0</vt:i4>
      </vt:variant>
      <vt:variant>
        <vt:i4>5</vt:i4>
      </vt:variant>
      <vt:variant>
        <vt:lpwstr/>
      </vt:variant>
      <vt:variant>
        <vt:lpwstr>_Toc316397796</vt:lpwstr>
      </vt:variant>
      <vt:variant>
        <vt:i4>1769531</vt:i4>
      </vt:variant>
      <vt:variant>
        <vt:i4>88</vt:i4>
      </vt:variant>
      <vt:variant>
        <vt:i4>0</vt:i4>
      </vt:variant>
      <vt:variant>
        <vt:i4>5</vt:i4>
      </vt:variant>
      <vt:variant>
        <vt:lpwstr/>
      </vt:variant>
      <vt:variant>
        <vt:lpwstr>_Toc316397795</vt:lpwstr>
      </vt:variant>
      <vt:variant>
        <vt:i4>1769531</vt:i4>
      </vt:variant>
      <vt:variant>
        <vt:i4>82</vt:i4>
      </vt:variant>
      <vt:variant>
        <vt:i4>0</vt:i4>
      </vt:variant>
      <vt:variant>
        <vt:i4>5</vt:i4>
      </vt:variant>
      <vt:variant>
        <vt:lpwstr/>
      </vt:variant>
      <vt:variant>
        <vt:lpwstr>_Toc316397794</vt:lpwstr>
      </vt:variant>
      <vt:variant>
        <vt:i4>1769531</vt:i4>
      </vt:variant>
      <vt:variant>
        <vt:i4>76</vt:i4>
      </vt:variant>
      <vt:variant>
        <vt:i4>0</vt:i4>
      </vt:variant>
      <vt:variant>
        <vt:i4>5</vt:i4>
      </vt:variant>
      <vt:variant>
        <vt:lpwstr/>
      </vt:variant>
      <vt:variant>
        <vt:lpwstr>_Toc316397793</vt:lpwstr>
      </vt:variant>
      <vt:variant>
        <vt:i4>1769531</vt:i4>
      </vt:variant>
      <vt:variant>
        <vt:i4>70</vt:i4>
      </vt:variant>
      <vt:variant>
        <vt:i4>0</vt:i4>
      </vt:variant>
      <vt:variant>
        <vt:i4>5</vt:i4>
      </vt:variant>
      <vt:variant>
        <vt:lpwstr/>
      </vt:variant>
      <vt:variant>
        <vt:lpwstr>_Toc316397792</vt:lpwstr>
      </vt:variant>
      <vt:variant>
        <vt:i4>1769531</vt:i4>
      </vt:variant>
      <vt:variant>
        <vt:i4>64</vt:i4>
      </vt:variant>
      <vt:variant>
        <vt:i4>0</vt:i4>
      </vt:variant>
      <vt:variant>
        <vt:i4>5</vt:i4>
      </vt:variant>
      <vt:variant>
        <vt:lpwstr/>
      </vt:variant>
      <vt:variant>
        <vt:lpwstr>_Toc316397791</vt:lpwstr>
      </vt:variant>
      <vt:variant>
        <vt:i4>1703995</vt:i4>
      </vt:variant>
      <vt:variant>
        <vt:i4>58</vt:i4>
      </vt:variant>
      <vt:variant>
        <vt:i4>0</vt:i4>
      </vt:variant>
      <vt:variant>
        <vt:i4>5</vt:i4>
      </vt:variant>
      <vt:variant>
        <vt:lpwstr/>
      </vt:variant>
      <vt:variant>
        <vt:lpwstr>_Toc316397789</vt:lpwstr>
      </vt:variant>
      <vt:variant>
        <vt:i4>1703995</vt:i4>
      </vt:variant>
      <vt:variant>
        <vt:i4>52</vt:i4>
      </vt:variant>
      <vt:variant>
        <vt:i4>0</vt:i4>
      </vt:variant>
      <vt:variant>
        <vt:i4>5</vt:i4>
      </vt:variant>
      <vt:variant>
        <vt:lpwstr/>
      </vt:variant>
      <vt:variant>
        <vt:lpwstr>_Toc316397788</vt:lpwstr>
      </vt:variant>
      <vt:variant>
        <vt:i4>1703995</vt:i4>
      </vt:variant>
      <vt:variant>
        <vt:i4>46</vt:i4>
      </vt:variant>
      <vt:variant>
        <vt:i4>0</vt:i4>
      </vt:variant>
      <vt:variant>
        <vt:i4>5</vt:i4>
      </vt:variant>
      <vt:variant>
        <vt:lpwstr/>
      </vt:variant>
      <vt:variant>
        <vt:lpwstr>_Toc316397787</vt:lpwstr>
      </vt:variant>
      <vt:variant>
        <vt:i4>1703995</vt:i4>
      </vt:variant>
      <vt:variant>
        <vt:i4>40</vt:i4>
      </vt:variant>
      <vt:variant>
        <vt:i4>0</vt:i4>
      </vt:variant>
      <vt:variant>
        <vt:i4>5</vt:i4>
      </vt:variant>
      <vt:variant>
        <vt:lpwstr/>
      </vt:variant>
      <vt:variant>
        <vt:lpwstr>_Toc316397786</vt:lpwstr>
      </vt:variant>
      <vt:variant>
        <vt:i4>1703995</vt:i4>
      </vt:variant>
      <vt:variant>
        <vt:i4>34</vt:i4>
      </vt:variant>
      <vt:variant>
        <vt:i4>0</vt:i4>
      </vt:variant>
      <vt:variant>
        <vt:i4>5</vt:i4>
      </vt:variant>
      <vt:variant>
        <vt:lpwstr/>
      </vt:variant>
      <vt:variant>
        <vt:lpwstr>_Toc316397785</vt:lpwstr>
      </vt:variant>
      <vt:variant>
        <vt:i4>1703995</vt:i4>
      </vt:variant>
      <vt:variant>
        <vt:i4>28</vt:i4>
      </vt:variant>
      <vt:variant>
        <vt:i4>0</vt:i4>
      </vt:variant>
      <vt:variant>
        <vt:i4>5</vt:i4>
      </vt:variant>
      <vt:variant>
        <vt:lpwstr/>
      </vt:variant>
      <vt:variant>
        <vt:lpwstr>_Toc316397784</vt:lpwstr>
      </vt:variant>
      <vt:variant>
        <vt:i4>1703995</vt:i4>
      </vt:variant>
      <vt:variant>
        <vt:i4>22</vt:i4>
      </vt:variant>
      <vt:variant>
        <vt:i4>0</vt:i4>
      </vt:variant>
      <vt:variant>
        <vt:i4>5</vt:i4>
      </vt:variant>
      <vt:variant>
        <vt:lpwstr/>
      </vt:variant>
      <vt:variant>
        <vt:lpwstr>_Toc316397783</vt:lpwstr>
      </vt:variant>
      <vt:variant>
        <vt:i4>1703995</vt:i4>
      </vt:variant>
      <vt:variant>
        <vt:i4>16</vt:i4>
      </vt:variant>
      <vt:variant>
        <vt:i4>0</vt:i4>
      </vt:variant>
      <vt:variant>
        <vt:i4>5</vt:i4>
      </vt:variant>
      <vt:variant>
        <vt:lpwstr/>
      </vt:variant>
      <vt:variant>
        <vt:lpwstr>_Toc316397782</vt:lpwstr>
      </vt:variant>
      <vt:variant>
        <vt:i4>1703995</vt:i4>
      </vt:variant>
      <vt:variant>
        <vt:i4>10</vt:i4>
      </vt:variant>
      <vt:variant>
        <vt:i4>0</vt:i4>
      </vt:variant>
      <vt:variant>
        <vt:i4>5</vt:i4>
      </vt:variant>
      <vt:variant>
        <vt:lpwstr/>
      </vt:variant>
      <vt:variant>
        <vt:lpwstr>_Toc316397781</vt:lpwstr>
      </vt:variant>
      <vt:variant>
        <vt:i4>7340063</vt:i4>
      </vt:variant>
      <vt:variant>
        <vt:i4>5</vt:i4>
      </vt:variant>
      <vt:variant>
        <vt:i4>0</vt:i4>
      </vt:variant>
      <vt:variant>
        <vt:i4>5</vt:i4>
      </vt:variant>
      <vt:variant>
        <vt:lpwstr>mailto:epc@ahrq.hhs.gov</vt:lpwstr>
      </vt:variant>
      <vt:variant>
        <vt:lpwstr/>
      </vt:variant>
      <vt:variant>
        <vt:i4>2424857</vt:i4>
      </vt:variant>
      <vt:variant>
        <vt:i4>0</vt:i4>
      </vt:variant>
      <vt:variant>
        <vt:i4>0</vt:i4>
      </vt:variant>
      <vt:variant>
        <vt:i4>5</vt:i4>
      </vt:variant>
      <vt:variant>
        <vt:lpwstr>mailto:info@ahrq.gov</vt:lpwstr>
      </vt:variant>
      <vt:variant>
        <vt:lpwstr/>
      </vt:variant>
      <vt:variant>
        <vt:i4>1245271</vt:i4>
      </vt:variant>
      <vt:variant>
        <vt:i4>3</vt:i4>
      </vt:variant>
      <vt:variant>
        <vt:i4>0</vt:i4>
      </vt:variant>
      <vt:variant>
        <vt:i4>5</vt:i4>
      </vt:variant>
      <vt:variant>
        <vt:lpwstr>http://www.thecochranelibrary.com/details/editorial/1797057/The-COMET-Core-Outcome-Measures-in-Effectiveness-Trials-Initiative-its-role-in-i.html</vt:lpwstr>
      </vt:variant>
      <vt:variant>
        <vt:lpwstr/>
      </vt:variant>
      <vt:variant>
        <vt:i4>6291470</vt:i4>
      </vt:variant>
      <vt:variant>
        <vt:i4>0</vt:i4>
      </vt:variant>
      <vt:variant>
        <vt:i4>0</vt:i4>
      </vt:variant>
      <vt:variant>
        <vt:i4>5</vt:i4>
      </vt:variant>
      <vt:variant>
        <vt:lpwstr>http://frwebgate.access.gpo.gov/cgi-bin/getdoc.cgi?dbname=110_cong_public_laws&amp;docid=f:publ085.110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SLNorris</dc:creator>
  <cp:lastModifiedBy>Venture</cp:lastModifiedBy>
  <cp:revision>3</cp:revision>
  <cp:lastPrinted>2012-07-27T14:46:00Z</cp:lastPrinted>
  <dcterms:created xsi:type="dcterms:W3CDTF">2012-08-21T04:34:00Z</dcterms:created>
  <dcterms:modified xsi:type="dcterms:W3CDTF">2012-08-21T05:17:00Z</dcterms:modified>
</cp:coreProperties>
</file>