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B" w:rsidRDefault="00B01E2B" w:rsidP="00B01E2B">
      <w:r>
        <w:rPr>
          <w:rFonts w:ascii="Arial" w:hAnsi="Arial" w:cs="Arial"/>
          <w:b/>
          <w:sz w:val="20"/>
          <w:szCs w:val="20"/>
        </w:rPr>
        <w:t>Table B1</w:t>
      </w:r>
      <w:r w:rsidR="003F28F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D91D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Osteoporosis: Data A</w:t>
      </w:r>
      <w:r w:rsidRPr="00D91D9B">
        <w:rPr>
          <w:rFonts w:ascii="Arial" w:hAnsi="Arial" w:cs="Arial"/>
          <w:b/>
          <w:sz w:val="20"/>
          <w:szCs w:val="20"/>
        </w:rPr>
        <w:t>bstraction</w:t>
      </w:r>
      <w:r>
        <w:rPr>
          <w:rFonts w:ascii="Arial" w:hAnsi="Arial" w:cs="Arial"/>
          <w:b/>
          <w:sz w:val="20"/>
          <w:szCs w:val="20"/>
        </w:rPr>
        <w:t xml:space="preserve">: Study Characteristics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3"/>
        <w:gridCol w:w="1552"/>
        <w:gridCol w:w="1538"/>
        <w:gridCol w:w="1406"/>
        <w:gridCol w:w="851"/>
        <w:gridCol w:w="1394"/>
        <w:gridCol w:w="1380"/>
        <w:gridCol w:w="1219"/>
        <w:gridCol w:w="1579"/>
        <w:gridCol w:w="1090"/>
        <w:gridCol w:w="1324"/>
      </w:tblGrid>
      <w:tr w:rsidR="00B01E2B" w:rsidRPr="003360F1" w:rsidTr="00B01E2B">
        <w:trPr>
          <w:cantSplit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Publication, methods section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01E2B" w:rsidRPr="003360F1" w:rsidTr="00B01E2B">
        <w:trPr>
          <w:cantSplit/>
          <w:tblHeader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Primary outcome as stated in the study (relevant to index outcome)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Relevant secondary outcomes (relevant to index outcome)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Follow</w:t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up intervals (months or years)</w:t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F/U 1</w:t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F/U 2</w:t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F/U 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Analysis set (definition from study)</w:t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Definition of analysis set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How handled missing values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Subgroups specified in the methods section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Barrett-Connor,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Raloxifene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10,101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Fracture; clinical nonvertebral and vertebral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Median 5.6 years range, 0.01 to 7.06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NA (time-to-event data for primary outcomes)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 for fractures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Black, 2007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 placebo RCT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Zoledronic acid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3889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New vertebral fracture (in patients not taking concomitant osteoporosis medications) and hip fracture (in all patients)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Secondary efficacy endpoints: any nonvertebral fracture, any clinical fracture, and clinical vertebral fracture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12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24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36 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Efficacy analyses included all patients who had undergone randomization except for 29 whose site was terminated.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The incidence of vertebral fracture included patients who had undergone radiography at baseline at least once during F/U.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Bonnick, 2006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NOTE: this is a companion to Rosen 2005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 RCT, extension study of Rosen 2005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Alendronate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Risedronate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833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12 month extension after initial 12 months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For safety outcomes, all patients who received at least one dose of study medication in the extension period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NA for safety outcomes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Grant, 2005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Factorial design, 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Oral vitamin D3 combined with calcium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5292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All-new low-energy fractures including clinical, radiologically confirmed vertebral fractures, but not those of the face or skull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24 to 64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High or low weight (less than 55 kg or not); latitude of recruitment center; dietary calcium; and vitamin D exposure from the sun or diet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Greenspan,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Risedronate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12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24 m (extension)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Jackson,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Elemental calcium as calcium carbonate with vitamin D3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36,282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Total fractures defined as all reported clinical fractures other than ribs, face, etc.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7 years average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Time-to-event basis according to the ITT principle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McClung,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group, placebo control and active control RCT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Denosumab; alendronate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12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Efficacy analyses: 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Fractures were reported as a safety outcome and that analysis set was no specified explicitly (was n=406 from adverse event table).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All subjects with a baseline value and at least one value after baseline and compared across dose groups.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Porthouse, 2005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 RCT, open label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Calcium with cholecalciferol and information leaflet on dietary calcium intake and prevention of falls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Leaflet only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3454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All clinical fractures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Hip fractures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25 months (range 18 to 42 months)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Hip and wrist fractures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Prince,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Calcium carbonate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1460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Clinical incident osteoporotic fractures, vertebral deformity, and adverse events ascertained in 5 years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5 y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Patients consuming 80% or more of tablets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Reid,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Calcium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Placebo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1471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Time to first clinical fracture at any site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Fracture subgroups: total vertebral fractures, hip fractures, distal forearm fractures, and osteoporotic fractures (comprising all fractures except those of the head, hands, feet, and ankles, and resulting from major trauma).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"Over 5 years"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ITT and per protocol</w:t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Per protocol pre-specified as primary analysis "because of the likelihood 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 other anti-osteoporotic ther</w:t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ies would have much greater effects on bone density and fracture than calcium…" </w:t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Total vertebral fractures, hip fractures, distal forearm fractures, and osteoporotic fractures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Rosen, 2005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NOTE: this is a companion to Bonnick 2006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but has separate NCT number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 RCT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Alendronate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Risedronate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1053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6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12 m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All patients who received at least one dose of study drug in either treatment group for safety analyses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LOCF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B01E2B" w:rsidRPr="003360F1" w:rsidTr="00B01E2B">
        <w:trPr>
          <w:cantSplit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Vogel, 2006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Parallel group RCT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Tamoxifen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Raloxifene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19747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Osteoporotic fractures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5 y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ITT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All randomized participants 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r w:rsidRPr="003360F1">
              <w:rPr>
                <w:rFonts w:ascii="Arial" w:eastAsia="Times New Roman" w:hAnsi="Arial" w:cs="Arial"/>
                <w:sz w:val="18"/>
                <w:szCs w:val="18"/>
              </w:rPr>
              <w:t xml:space="preserve"> data who were at risk at baseline for the diagnosis of an incident case of breast cancer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3360F1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360F1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</w:tbl>
    <w:p w:rsidR="00B01E2B" w:rsidRDefault="00B01E2B" w:rsidP="00B01E2B">
      <w:bookmarkStart w:id="0" w:name="_GoBack"/>
      <w:bookmarkEnd w:id="0"/>
    </w:p>
    <w:sectPr w:rsidR="00B01E2B" w:rsidSect="00F55962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67" w:rsidRDefault="00FD6267" w:rsidP="007A73D8">
      <w:r>
        <w:separator/>
      </w:r>
    </w:p>
  </w:endnote>
  <w:endnote w:type="continuationSeparator" w:id="0">
    <w:p w:rsidR="00FD6267" w:rsidRDefault="00FD6267" w:rsidP="007A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67" w:rsidRDefault="00FD6267" w:rsidP="007A73D8">
      <w:r>
        <w:separator/>
      </w:r>
    </w:p>
  </w:footnote>
  <w:footnote w:type="continuationSeparator" w:id="0">
    <w:p w:rsidR="00FD6267" w:rsidRDefault="00FD6267" w:rsidP="007A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3827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312D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566F3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C72BA"/>
    <w:rsid w:val="003D1C27"/>
    <w:rsid w:val="003D6531"/>
    <w:rsid w:val="003E2B38"/>
    <w:rsid w:val="003E6969"/>
    <w:rsid w:val="003F28FA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2BE2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5F19DD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4F65"/>
    <w:rsid w:val="006D4991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5A0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3F87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F19D8"/>
    <w:rsid w:val="008F3011"/>
    <w:rsid w:val="008F61B4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2FC6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2E47"/>
    <w:rsid w:val="009F3B96"/>
    <w:rsid w:val="009F3E34"/>
    <w:rsid w:val="00A008AC"/>
    <w:rsid w:val="00A0405A"/>
    <w:rsid w:val="00A07687"/>
    <w:rsid w:val="00A07DFA"/>
    <w:rsid w:val="00A12B9A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2A53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148EC"/>
    <w:rsid w:val="00F2185A"/>
    <w:rsid w:val="00F24D22"/>
    <w:rsid w:val="00F30164"/>
    <w:rsid w:val="00F3345A"/>
    <w:rsid w:val="00F35195"/>
    <w:rsid w:val="00F41A27"/>
    <w:rsid w:val="00F46DAE"/>
    <w:rsid w:val="00F51A75"/>
    <w:rsid w:val="00F55962"/>
    <w:rsid w:val="00F5613D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D6267"/>
    <w:rsid w:val="00FE67C8"/>
    <w:rsid w:val="00FF24F4"/>
    <w:rsid w:val="00FF384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057A-9311-4C7A-89AE-40845104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4487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SLNorris</dc:creator>
  <cp:lastModifiedBy>Stacy Lathrop</cp:lastModifiedBy>
  <cp:revision>3</cp:revision>
  <cp:lastPrinted>2012-09-18T14:39:00Z</cp:lastPrinted>
  <dcterms:created xsi:type="dcterms:W3CDTF">2012-09-19T13:52:00Z</dcterms:created>
  <dcterms:modified xsi:type="dcterms:W3CDTF">2012-09-19T13:55:00Z</dcterms:modified>
</cp:coreProperties>
</file>