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6930"/>
        <w:gridCol w:w="1638"/>
      </w:tblGrid>
      <w:tr w:rsidR="0001232C" w:rsidRPr="002D472E" w:rsidTr="00DE7221">
        <w:trPr>
          <w:cantSplit/>
          <w:tblHeader/>
        </w:trPr>
        <w:tc>
          <w:tcPr>
            <w:tcW w:w="4500" w:type="dxa"/>
            <w:shd w:val="clear" w:color="auto" w:fill="auto"/>
          </w:tcPr>
          <w:p w:rsidR="0001232C" w:rsidRPr="00461436" w:rsidRDefault="0001232C" w:rsidP="00DE7221">
            <w:pPr>
              <w:rPr>
                <w:rFonts w:ascii="Arial" w:hAnsi="Arial" w:cs="Arial"/>
                <w:b/>
                <w:sz w:val="20"/>
              </w:rPr>
            </w:pPr>
            <w:bookmarkStart w:id="0" w:name="_GoBack"/>
            <w:bookmarkEnd w:id="0"/>
            <w:r w:rsidRPr="00461436">
              <w:rPr>
                <w:rFonts w:ascii="Arial" w:hAnsi="Arial" w:cs="Arial"/>
                <w:b/>
                <w:sz w:val="20"/>
              </w:rPr>
              <w:t>Criterion</w:t>
            </w:r>
          </w:p>
        </w:tc>
        <w:tc>
          <w:tcPr>
            <w:tcW w:w="693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Example of text related to this criterion</w:t>
            </w:r>
          </w:p>
        </w:tc>
        <w:tc>
          <w:tcPr>
            <w:tcW w:w="1638" w:type="dxa"/>
          </w:tcPr>
          <w:p w:rsidR="0001232C" w:rsidRPr="00461436" w:rsidRDefault="0001232C" w:rsidP="00DE7221">
            <w:pPr>
              <w:rPr>
                <w:rFonts w:ascii="Arial" w:hAnsi="Arial" w:cs="Arial"/>
                <w:b/>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Together with the Bangladesh Rural Advancement Committee (BRAC), Mitra and Associates, Ecuadorian and Bangladeshi physicians, nurse-midwives, and KMC experts, the study team adapted KMC so that it can be feasibly implemented as a community-based intervention (CKMC).</w:t>
            </w:r>
          </w:p>
          <w:p w:rsidR="0001232C" w:rsidRPr="00461436" w:rsidRDefault="0001232C" w:rsidP="00DE7221">
            <w:pPr>
              <w:rPr>
                <w:rFonts w:ascii="Arial" w:hAnsi="Arial" w:cs="Arial"/>
                <w:sz w:val="20"/>
              </w:rPr>
            </w:pPr>
            <w:r w:rsidRPr="00461436">
              <w:rPr>
                <w:rFonts w:ascii="Arial" w:hAnsi="Arial" w:cs="Arial"/>
                <w:sz w:val="20"/>
              </w:rPr>
              <w:t>(</w:t>
            </w:r>
            <w:r w:rsidRPr="00461436">
              <w:rPr>
                <w:rFonts w:ascii="Arial" w:hAnsi="Arial" w:cs="Arial"/>
                <w:i/>
                <w:sz w:val="20"/>
              </w:rPr>
              <w:t>This seems to imply that the intervention was externally developed)</w:t>
            </w: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Kangaroo mother care (KMC) is a method whereby the hospital-born stabilized LBW newborn is placed in skin-to-skin (STS) contact on the mother’s breast to promote thermal regulation, breastfeeding, and maternal–infant bonding. Traditional KMC reduces the incidence of morbidity but not mortality in LBW infants, because it is generally applied to clinically stabilized newborns and most neonatal mortality occurs in the first 2 days of life before stabilization. A single adequately designed study found a 43% (not statistically significant) lower infant mortality rate (IMR) associated with traditional KMC. Two small African studies of early (as soon as possible after birth) KMC in hospitals with little neonatal intensive</w:t>
            </w:r>
            <w:r>
              <w:rPr>
                <w:rFonts w:ascii="Arial" w:hAnsi="Arial" w:cs="Arial"/>
                <w:sz w:val="20"/>
              </w:rPr>
              <w:t xml:space="preserve"> </w:t>
            </w:r>
            <w:r w:rsidRPr="00461436">
              <w:rPr>
                <w:rFonts w:ascii="Arial" w:hAnsi="Arial" w:cs="Arial"/>
                <w:sz w:val="20"/>
              </w:rPr>
              <w:t>care capacity reported reduced mortality within 24 hours of birth and before discharge; however, important differences in study group characteristics were not controlled in analysis.</w:t>
            </w:r>
          </w:p>
          <w:p w:rsidR="0001232C" w:rsidRPr="00461436" w:rsidRDefault="0001232C" w:rsidP="00DE7221">
            <w:pPr>
              <w:rPr>
                <w:rFonts w:ascii="Arial" w:hAnsi="Arial" w:cs="Arial"/>
                <w:i/>
                <w:sz w:val="20"/>
              </w:rPr>
            </w:pPr>
            <w:r w:rsidRPr="00461436">
              <w:rPr>
                <w:rFonts w:ascii="Arial" w:hAnsi="Arial" w:cs="Arial"/>
                <w:i/>
                <w:sz w:val="20"/>
              </w:rPr>
              <w:t>(Describes the rational for why the intervention should work (Thermoregulation, breast feeding, bonding) and describes prior data from similar studies)</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was found.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Default="0001232C" w:rsidP="00DE7221">
            <w:pPr>
              <w:rPr>
                <w:rFonts w:ascii="Arial" w:hAnsi="Arial" w:cs="Arial"/>
                <w:b/>
                <w:bCs/>
                <w:sz w:val="20"/>
              </w:rPr>
            </w:pPr>
            <w:r w:rsidRPr="00201F17">
              <w:rPr>
                <w:rFonts w:ascii="Arial" w:hAnsi="Arial" w:cs="Arial"/>
                <w:b/>
                <w:bCs/>
                <w:sz w:val="20"/>
              </w:rPr>
              <w:lastRenderedPageBreak/>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shd w:val="clear" w:color="auto" w:fill="auto"/>
          </w:tcPr>
          <w:p w:rsidR="0001232C" w:rsidRPr="00461436" w:rsidRDefault="0001232C" w:rsidP="00DE7221">
            <w:pPr>
              <w:rPr>
                <w:rFonts w:ascii="Arial" w:hAnsi="Arial" w:cs="Arial"/>
                <w:sz w:val="20"/>
              </w:rPr>
            </w:pPr>
            <w:r>
              <w:rPr>
                <w:rFonts w:ascii="Arial" w:hAnsi="Arial" w:cs="Arial"/>
                <w:sz w:val="20"/>
              </w:rPr>
              <w:t>Not explicitly stated.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d. The mode of delivery (such as face-to-face)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e. The intensity of the intervention/program (such as the contact time with participants)</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f. The duration (such as the number of sessions and their spacing interval over a given period)</w:t>
            </w:r>
          </w:p>
        </w:tc>
        <w:tc>
          <w:tcPr>
            <w:tcW w:w="6930" w:type="dxa"/>
            <w:shd w:val="clear" w:color="auto" w:fill="auto"/>
          </w:tcPr>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physician who had participated in the pilot study trained 12 BRAC</w:t>
            </w:r>
          </w:p>
          <w:p w:rsidR="0001232C" w:rsidRPr="00461436" w:rsidRDefault="0001232C" w:rsidP="00DE7221">
            <w:pPr>
              <w:rPr>
                <w:rFonts w:ascii="Arial" w:hAnsi="Arial" w:cs="Arial"/>
                <w:sz w:val="20"/>
              </w:rPr>
            </w:pPr>
            <w:r w:rsidRPr="00461436">
              <w:rPr>
                <w:rFonts w:ascii="Arial" w:hAnsi="Arial" w:cs="Arial"/>
                <w:sz w:val="20"/>
              </w:rPr>
              <w:t>supervisors and, along with 1 supervisor, trained all 63 community nutrition workers and their 25 NNP supervisors serving the intervention group in 5 groups of 6 to 22 people during a 2-month period.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detailed table of characteristics of the recipients is included in Table 1.</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Bangladesh has a population of 140 000 000 administratively divided into</w:t>
            </w:r>
          </w:p>
          <w:p w:rsidR="0001232C" w:rsidRPr="00461436" w:rsidRDefault="0001232C" w:rsidP="00DE7221">
            <w:pPr>
              <w:rPr>
                <w:rFonts w:ascii="Arial" w:hAnsi="Arial" w:cs="Arial"/>
                <w:sz w:val="20"/>
              </w:rPr>
            </w:pPr>
            <w:r w:rsidRPr="00461436">
              <w:rPr>
                <w:rFonts w:ascii="Arial" w:hAnsi="Arial" w:cs="Arial"/>
                <w:sz w:val="20"/>
              </w:rPr>
              <w:t>6 divisions that, combined, contain 64 districts and 496 subdistricts called upazilas, each of which has a capitol city. Each study subdistrict contains 8 to 14 unions, and each union contains 5 to 25 villages. The sample includes the 42 unions that participated in the NNP, all that are supervised by our study partner BRAC in the Dhaka and Sylhet divisions. Dhaka and Sylhet divisions are located in northern Bangladesh, where NMR was 5.2% and 8.2% and IMR was 11.5% and 16.2%, the highest in the nation, when the study was designed.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Although not stated, it is implied that the intervention is developed face-to-face.</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No text was found.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No text was found.</w:t>
            </w:r>
          </w:p>
          <w:p w:rsidR="0001232C" w:rsidRPr="00461436" w:rsidRDefault="0001232C" w:rsidP="00DE7221">
            <w:pPr>
              <w:rPr>
                <w:rFonts w:ascii="Arial" w:hAnsi="Arial" w:cs="Arial"/>
                <w:sz w:val="20"/>
              </w:rPr>
            </w:pPr>
          </w:p>
        </w:tc>
        <w:tc>
          <w:tcPr>
            <w:tcW w:w="1638"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sz w:val="20"/>
              </w:rPr>
              <w:lastRenderedPageBreak/>
              <w:t>g. Adherence or fidelity to delivery protocols</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The training and intervention delivery processes that were used in the pilot study were only partially transferred to the full trial, with unplanned substitution of experienced trainers with individuals who were not trainers, less frequent contact between community workers and mothers in the last month of pregnancy, and unplanned emphasis on CKMC for LBW infants.</w:t>
            </w:r>
          </w:p>
          <w:p w:rsidR="0001232C" w:rsidRPr="00461436" w:rsidRDefault="0001232C" w:rsidP="00DE7221">
            <w:pPr>
              <w:rPr>
                <w:rFonts w:ascii="Arial" w:hAnsi="Arial" w:cs="Arial"/>
                <w:sz w:val="20"/>
              </w:rPr>
            </w:pPr>
            <w:r w:rsidRPr="00461436">
              <w:rPr>
                <w:rFonts w:ascii="Arial" w:hAnsi="Arial" w:cs="Arial"/>
                <w:sz w:val="20"/>
              </w:rPr>
              <w:t>The nested qualitative study found that &gt;35% of CKMC women were erroneously taught that STS was to be provided to LBW or preterm infants rather than to all infants, and only 30% were correctly taught to hold all</w:t>
            </w:r>
          </w:p>
          <w:p w:rsidR="0001232C" w:rsidRPr="00461436" w:rsidRDefault="0001232C" w:rsidP="00DE7221">
            <w:pPr>
              <w:rPr>
                <w:rFonts w:ascii="Arial" w:hAnsi="Arial" w:cs="Arial"/>
                <w:sz w:val="20"/>
              </w:rPr>
            </w:pPr>
            <w:r w:rsidRPr="00461436">
              <w:rPr>
                <w:rFonts w:ascii="Arial" w:hAnsi="Arial" w:cs="Arial"/>
                <w:sz w:val="20"/>
              </w:rPr>
              <w:t>infants STS. Less than 40% of CKMC mothers were taught to provide CKMC to infants who were ill, and &gt;25% were erroneously taught to breastfeed on schedule (not on demand). Women had numerous views</w:t>
            </w:r>
          </w:p>
          <w:p w:rsidR="0001232C" w:rsidRPr="00461436" w:rsidRDefault="0001232C" w:rsidP="00DE7221">
            <w:pPr>
              <w:rPr>
                <w:rFonts w:ascii="Arial" w:hAnsi="Arial" w:cs="Arial"/>
                <w:sz w:val="20"/>
              </w:rPr>
            </w:pPr>
            <w:r w:rsidRPr="00461436">
              <w:rPr>
                <w:rFonts w:ascii="Arial" w:hAnsi="Arial" w:cs="Arial"/>
                <w:sz w:val="20"/>
              </w:rPr>
              <w:t>about the number of hours and days they should provide STS, indicating that they received variable and frequently incorrect messages from the community workers and supervisors.</w:t>
            </w:r>
          </w:p>
        </w:tc>
        <w:tc>
          <w:tcPr>
            <w:tcW w:w="1638" w:type="dxa"/>
          </w:tcPr>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All participating community workers received $7.50 a month.</w:t>
            </w:r>
          </w:p>
          <w:p w:rsidR="0001232C" w:rsidRPr="00461436" w:rsidRDefault="0001232C" w:rsidP="00DE7221">
            <w:pPr>
              <w:rPr>
                <w:rFonts w:ascii="Arial" w:hAnsi="Arial" w:cs="Arial"/>
                <w:i/>
                <w:sz w:val="20"/>
              </w:rPr>
            </w:pPr>
            <w:r w:rsidRPr="00461436">
              <w:rPr>
                <w:rFonts w:ascii="Arial" w:hAnsi="Arial" w:cs="Arial"/>
                <w:i/>
                <w:sz w:val="20"/>
              </w:rPr>
              <w:t>(Only cost data identified)</w:t>
            </w:r>
          </w:p>
        </w:tc>
        <w:tc>
          <w:tcPr>
            <w:tcW w:w="1638" w:type="dxa"/>
          </w:tcPr>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shd w:val="clear" w:color="auto" w:fill="auto"/>
          </w:tcPr>
          <w:p w:rsidR="0001232C" w:rsidRPr="00461436" w:rsidRDefault="0001232C" w:rsidP="00DE7221">
            <w:pPr>
              <w:rPr>
                <w:rFonts w:ascii="Arial" w:hAnsi="Arial" w:cs="Arial"/>
                <w:i/>
                <w:sz w:val="20"/>
              </w:rPr>
            </w:pPr>
            <w:r w:rsidRPr="00461436">
              <w:rPr>
                <w:rFonts w:ascii="Arial" w:hAnsi="Arial" w:cs="Arial"/>
                <w:sz w:val="20"/>
              </w:rPr>
              <w:t>No text was found.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Field visits confirmed that some of those who were employed to conduct the CKMC training believed that CKMC was intended for small infants.</w:t>
            </w:r>
          </w:p>
          <w:p w:rsidR="0001232C" w:rsidRPr="00461436" w:rsidRDefault="0001232C" w:rsidP="00DE7221">
            <w:pPr>
              <w:rPr>
                <w:rFonts w:ascii="Arial" w:hAnsi="Arial" w:cs="Arial"/>
                <w:sz w:val="20"/>
              </w:rPr>
            </w:pPr>
            <w:r w:rsidRPr="00461436">
              <w:rPr>
                <w:rFonts w:ascii="Arial" w:hAnsi="Arial" w:cs="Arial"/>
                <w:sz w:val="20"/>
              </w:rPr>
              <w:t>Thus, some intervention group mothers may not have provided CKMC because they were mistakenly taught that CKMC is for small infants. CKMC implementation and effect depend on both the quality of CKMC training and the mother’s behavior modification, making it difficult to know whether the intervention does not have effect in larger, more mature infants or whether the uptake was suboptimal as a result of insufficient training or poor maternal adherence.</w:t>
            </w:r>
          </w:p>
          <w:p w:rsidR="0001232C" w:rsidRPr="00461436" w:rsidRDefault="0001232C" w:rsidP="00DE7221">
            <w:pPr>
              <w:rPr>
                <w:rFonts w:ascii="Arial" w:hAnsi="Arial" w:cs="Arial"/>
                <w:i/>
                <w:sz w:val="20"/>
              </w:rPr>
            </w:pPr>
            <w:r w:rsidRPr="00461436">
              <w:rPr>
                <w:rFonts w:ascii="Arial" w:hAnsi="Arial" w:cs="Arial"/>
                <w:i/>
                <w:sz w:val="20"/>
              </w:rPr>
              <w:t>(This indicates that insufficiently trained CKMC trainers decreased the effectiveness of the intervention)</w:t>
            </w: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was found.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50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The training and intervention delivery processes that were used in the pilot study were only partially transferred to the full trial, with unplanned substitution of experienced trainers with individuals who were not trainers, less frequent contact between community workers and mothers in the last month of pregnancy, and unplanned emphasis on CKMC for LBW infants.</w:t>
            </w:r>
          </w:p>
          <w:p w:rsidR="0001232C" w:rsidRPr="00461436" w:rsidRDefault="0001232C" w:rsidP="00DE7221">
            <w:pPr>
              <w:rPr>
                <w:rFonts w:ascii="Arial" w:hAnsi="Arial" w:cs="Arial"/>
                <w:sz w:val="20"/>
              </w:rPr>
            </w:pPr>
            <w:r w:rsidRPr="00461436">
              <w:rPr>
                <w:rFonts w:ascii="Arial" w:hAnsi="Arial" w:cs="Arial"/>
                <w:sz w:val="20"/>
              </w:rPr>
              <w:t>The nested qualitative study found that &gt;35% of CKMC women were erroneously taught that STS was to be provided to LBW or preterm infants rather than to all infants, and only 30% were correctly taught to hold all</w:t>
            </w:r>
          </w:p>
          <w:p w:rsidR="0001232C" w:rsidRPr="00461436" w:rsidRDefault="0001232C" w:rsidP="00DE7221">
            <w:pPr>
              <w:rPr>
                <w:rFonts w:ascii="Arial" w:hAnsi="Arial" w:cs="Arial"/>
                <w:sz w:val="20"/>
              </w:rPr>
            </w:pPr>
            <w:r w:rsidRPr="00461436">
              <w:rPr>
                <w:rFonts w:ascii="Arial" w:hAnsi="Arial" w:cs="Arial"/>
                <w:sz w:val="20"/>
              </w:rPr>
              <w:t>infants STS. Less than 40% of CKMC mothers were taught to provide CKMC to infants who were ill, and &gt;25% were erroneously taught to breastfeed on schedule (not on demand). Women had numerous views</w:t>
            </w:r>
          </w:p>
          <w:p w:rsidR="0001232C" w:rsidRPr="00461436" w:rsidRDefault="0001232C" w:rsidP="00DE7221">
            <w:pPr>
              <w:rPr>
                <w:rFonts w:ascii="Arial" w:hAnsi="Arial" w:cs="Arial"/>
                <w:sz w:val="20"/>
              </w:rPr>
            </w:pPr>
            <w:r w:rsidRPr="00461436">
              <w:rPr>
                <w:rFonts w:ascii="Arial" w:hAnsi="Arial" w:cs="Arial"/>
                <w:sz w:val="20"/>
              </w:rPr>
              <w:t>about the number of hours and days they should provide STS, indicating that they received variable and frequently incorrect messages from the community workers and supervisors.</w:t>
            </w:r>
          </w:p>
          <w:p w:rsidR="0001232C" w:rsidRPr="00461436" w:rsidRDefault="0001232C" w:rsidP="00DE7221">
            <w:pPr>
              <w:rPr>
                <w:rFonts w:ascii="Arial" w:hAnsi="Arial" w:cs="Arial"/>
                <w:i/>
                <w:sz w:val="20"/>
              </w:rPr>
            </w:pPr>
            <w:r w:rsidRPr="00461436">
              <w:rPr>
                <w:rFonts w:ascii="Arial" w:hAnsi="Arial" w:cs="Arial"/>
                <w:i/>
                <w:sz w:val="20"/>
              </w:rPr>
              <w:t>(Indicates implementation was not as successful as planned)</w:t>
            </w:r>
          </w:p>
          <w:p w:rsidR="0001232C" w:rsidRPr="00461436" w:rsidRDefault="0001232C" w:rsidP="00DE7221">
            <w:pPr>
              <w:rPr>
                <w:rFonts w:ascii="Arial" w:hAnsi="Arial" w:cs="Arial"/>
                <w:sz w:val="20"/>
              </w:rPr>
            </w:pPr>
          </w:p>
        </w:tc>
        <w:tc>
          <w:tcPr>
            <w:tcW w:w="1638" w:type="dxa"/>
          </w:tcPr>
          <w:p w:rsidR="0001232C" w:rsidRPr="00461436" w:rsidRDefault="0001232C" w:rsidP="00DE7221">
            <w:pPr>
              <w:rPr>
                <w:rFonts w:ascii="Arial" w:hAnsi="Arial" w:cs="Arial"/>
                <w:sz w:val="20"/>
              </w:rPr>
            </w:pPr>
            <w:r>
              <w:rPr>
                <w:rFonts w:ascii="Arial" w:hAnsi="Arial" w:cs="Arial"/>
                <w:sz w:val="20"/>
              </w:rPr>
              <w:t>Good</w:t>
            </w:r>
          </w:p>
        </w:tc>
      </w:tr>
    </w:tbl>
    <w:p w:rsidR="009A432F" w:rsidRDefault="009A432F" w:rsidP="00C2046B">
      <w:pPr>
        <w:rPr>
          <w:rFonts w:ascii="Arial" w:hAnsi="Arial" w:cs="Arial"/>
          <w:b/>
          <w:sz w:val="28"/>
          <w:szCs w:val="28"/>
        </w:rPr>
      </w:pPr>
    </w:p>
    <w:sectPr w:rsidR="009A432F" w:rsidSect="00C2046B">
      <w:headerReference w:type="default" r:id="rId9"/>
      <w:footerReference w:type="default" r:id="rId10"/>
      <w:pgSz w:w="15840" w:h="12240" w:orient="landscape"/>
      <w:pgMar w:top="1440" w:right="1440" w:bottom="1440" w:left="1440"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CB" w:rsidRDefault="005E55CB">
      <w:r>
        <w:separator/>
      </w:r>
    </w:p>
  </w:endnote>
  <w:endnote w:type="continuationSeparator" w:id="0">
    <w:p w:rsidR="005E55CB" w:rsidRDefault="005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39614"/>
      <w:docPartObj>
        <w:docPartGallery w:val="Page Numbers (Bottom of Page)"/>
        <w:docPartUnique/>
      </w:docPartObj>
    </w:sdtPr>
    <w:sdtEndPr>
      <w:rPr>
        <w:noProof/>
      </w:rPr>
    </w:sdtEndPr>
    <w:sdtContent>
      <w:p w:rsidR="00C2046B" w:rsidRDefault="00C2046B" w:rsidP="00C2046B">
        <w:pPr>
          <w:pStyle w:val="Footer"/>
          <w:jc w:val="center"/>
          <w:rPr>
            <w:noProof/>
          </w:rPr>
        </w:pPr>
        <w:r>
          <w:t>C-</w:t>
        </w:r>
        <w:r>
          <w:fldChar w:fldCharType="begin"/>
        </w:r>
        <w:r>
          <w:instrText xml:space="preserve"> PAGE   \* MERGEFORMAT </w:instrText>
        </w:r>
        <w:r>
          <w:fldChar w:fldCharType="separate"/>
        </w:r>
        <w:r>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CB" w:rsidRDefault="005E55CB">
      <w:r>
        <w:separator/>
      </w:r>
    </w:p>
  </w:footnote>
  <w:footnote w:type="continuationSeparator" w:id="0">
    <w:p w:rsidR="005E55CB" w:rsidRDefault="005E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46B" w:rsidRDefault="00C2046B" w:rsidP="00C2046B">
    <w:pPr>
      <w:rPr>
        <w:rFonts w:ascii="Arial" w:hAnsi="Arial" w:cs="Arial"/>
        <w:b/>
      </w:rPr>
    </w:pPr>
    <w:r w:rsidRPr="00865DAA">
      <w:rPr>
        <w:rFonts w:ascii="Arial" w:hAnsi="Arial" w:cs="Arial"/>
        <w:b/>
      </w:rPr>
      <w:t>Lay Health Workers</w:t>
    </w:r>
  </w:p>
  <w:p w:rsidR="00544943" w:rsidRPr="00C2046B" w:rsidRDefault="00C2046B" w:rsidP="00C2046B">
    <w:pPr>
      <w:rPr>
        <w:rFonts w:ascii="Arial" w:hAnsi="Arial" w:cs="Arial"/>
      </w:rPr>
    </w:pPr>
    <w:bookmarkStart w:id="1" w:name="_Toc335658323"/>
    <w:bookmarkStart w:id="2" w:name="_Toc335818402"/>
    <w:r w:rsidRPr="00865DAA">
      <w:rPr>
        <w:rFonts w:ascii="Arial" w:hAnsi="Arial" w:cs="Arial"/>
        <w:sz w:val="20"/>
      </w:rPr>
      <w:t xml:space="preserve">Table </w:t>
    </w:r>
    <w:proofErr w:type="spellStart"/>
    <w:r w:rsidRPr="00865DAA">
      <w:rPr>
        <w:rFonts w:ascii="Arial" w:hAnsi="Arial" w:cs="Arial"/>
        <w:sz w:val="20"/>
      </w:rPr>
      <w:t>C.1.3</w:t>
    </w:r>
    <w:proofErr w:type="spellEnd"/>
    <w:r w:rsidRPr="00865DAA">
      <w:rPr>
        <w:rFonts w:ascii="Arial" w:hAnsi="Arial" w:cs="Arial"/>
        <w:sz w:val="20"/>
      </w:rPr>
      <w:t xml:space="preserve"> - Criterion Table for Sloan, </w:t>
    </w:r>
    <w:proofErr w:type="spellStart"/>
    <w:r w:rsidRPr="00865DAA">
      <w:rPr>
        <w:rFonts w:ascii="Arial" w:hAnsi="Arial" w:cs="Arial"/>
        <w:sz w:val="20"/>
      </w:rPr>
      <w:t>N.L</w:t>
    </w:r>
    <w:proofErr w:type="spellEnd"/>
    <w:r w:rsidRPr="00865DAA">
      <w:rPr>
        <w:rFonts w:ascii="Arial" w:hAnsi="Arial" w:cs="Arial"/>
        <w:sz w:val="20"/>
      </w:rPr>
      <w:t xml:space="preserve">.; Community-Based Kangaroo Mother Care to Prevent Neonatal and Infant Mortality: A Randomized, Controlled Cluster Trial, Pediatrics 2008; 121; </w:t>
    </w:r>
    <w:proofErr w:type="spellStart"/>
    <w:r w:rsidRPr="00865DAA">
      <w:rPr>
        <w:rFonts w:ascii="Arial" w:hAnsi="Arial" w:cs="Arial"/>
        <w:sz w:val="20"/>
      </w:rPr>
      <w:t>e1047</w:t>
    </w:r>
    <w:bookmarkEnd w:id="1"/>
    <w:bookmarkEnd w:id="2"/>
    <w:r w:rsidRPr="00865DAA">
      <w:rPr>
        <w:rFonts w:ascii="Arial" w:hAnsi="Arial" w:cs="Arial"/>
        <w:noProof/>
        <w:sz w:val="20"/>
        <w:vertAlign w:val="superscript"/>
      </w:rPr>
      <w:t>6</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55CB"/>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046B"/>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A9FB-95E6-428E-9EDD-DAD2A1C4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1</TotalTime>
  <Pages>8</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12204</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2013-02-09T05:58:00Z</dcterms:modified>
</cp:coreProperties>
</file>