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EF" w:rsidRDefault="006938EF" w:rsidP="004B45F1">
      <w:pPr>
        <w:pStyle w:val="AppendixChapterHeading"/>
      </w:pPr>
      <w:bookmarkStart w:id="0" w:name="_Toc336348297"/>
      <w:bookmarkStart w:id="1" w:name="_GoBack"/>
      <w:bookmarkEnd w:id="1"/>
    </w:p>
    <w:p w:rsidR="006938EF" w:rsidRPr="00352640" w:rsidRDefault="006938EF" w:rsidP="00DF1D1C">
      <w:pPr>
        <w:pStyle w:val="AppendixTableTitle"/>
      </w:pPr>
      <w:proofErr w:type="gramStart"/>
      <w:r w:rsidRPr="0049735F">
        <w:t>Table D-1.</w:t>
      </w:r>
      <w:proofErr w:type="gramEnd"/>
      <w:r w:rsidRPr="0049735F">
        <w:t xml:space="preserve"> Characteristics of all included studies</w:t>
      </w:r>
      <w:r w:rsidRPr="00352640">
        <w:t xml:space="preserve"> </w:t>
      </w:r>
    </w:p>
    <w:tbl>
      <w:tblPr>
        <w:tblStyle w:val="AHRQ1"/>
        <w:tblW w:w="0" w:type="auto"/>
        <w:tblLook w:val="04A0" w:firstRow="1" w:lastRow="0" w:firstColumn="1" w:lastColumn="0" w:noHBand="0" w:noVBand="1"/>
      </w:tblPr>
      <w:tblGrid>
        <w:gridCol w:w="1421"/>
        <w:gridCol w:w="2917"/>
        <w:gridCol w:w="3150"/>
        <w:gridCol w:w="2970"/>
        <w:gridCol w:w="2718"/>
      </w:tblGrid>
      <w:tr w:rsidR="006938EF" w:rsidRPr="00604C0B" w:rsidTr="00DF1D1C">
        <w:trPr>
          <w:cnfStyle w:val="100000000000" w:firstRow="1" w:lastRow="0" w:firstColumn="0" w:lastColumn="0" w:oddVBand="0" w:evenVBand="0" w:oddHBand="0" w:evenHBand="0" w:firstRowFirstColumn="0" w:firstRowLastColumn="0" w:lastRowFirstColumn="0" w:lastRowLastColumn="0"/>
        </w:trPr>
        <w:tc>
          <w:tcPr>
            <w:tcW w:w="1421" w:type="dxa"/>
          </w:tcPr>
          <w:p w:rsidR="006938EF" w:rsidRPr="00604C0B" w:rsidRDefault="006938EF" w:rsidP="00DF1D1C">
            <w:pPr>
              <w:pStyle w:val="TableText"/>
            </w:pPr>
            <w:r w:rsidRPr="00604C0B">
              <w:t>Study Identification</w:t>
            </w:r>
          </w:p>
        </w:tc>
        <w:tc>
          <w:tcPr>
            <w:tcW w:w="2917" w:type="dxa"/>
          </w:tcPr>
          <w:p w:rsidR="006938EF" w:rsidRPr="00604C0B" w:rsidRDefault="006938EF" w:rsidP="00DF1D1C">
            <w:pPr>
              <w:pStyle w:val="TableText"/>
            </w:pPr>
            <w:r w:rsidRPr="00604C0B">
              <w:t>Goal of Study/Approach to Controlling for Biases in Study Conduct</w:t>
            </w:r>
          </w:p>
        </w:tc>
        <w:tc>
          <w:tcPr>
            <w:tcW w:w="3150" w:type="dxa"/>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970" w:type="dxa"/>
          </w:tcPr>
          <w:p w:rsidR="006938EF" w:rsidRPr="00604C0B" w:rsidRDefault="006938EF" w:rsidP="00DF1D1C">
            <w:pPr>
              <w:pStyle w:val="TableText"/>
            </w:pPr>
            <w:r w:rsidRPr="00604C0B">
              <w:t>Inclusion/Exclusion Criteria</w:t>
            </w:r>
          </w:p>
        </w:tc>
        <w:tc>
          <w:tcPr>
            <w:tcW w:w="2718" w:type="dxa"/>
          </w:tcPr>
          <w:p w:rsidR="006938EF" w:rsidRPr="00604C0B" w:rsidRDefault="006938EF" w:rsidP="00DF1D1C">
            <w:pPr>
              <w:pStyle w:val="TableText"/>
            </w:pPr>
            <w:r w:rsidRPr="00604C0B">
              <w:t xml:space="preserve">Unit of Analysis and Number </w:t>
            </w:r>
            <w:r>
              <w:t>I</w:t>
            </w:r>
            <w:r w:rsidRPr="00604C0B">
              <w:t>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c>
          <w:tcPr>
            <w:tcW w:w="1421" w:type="dxa"/>
          </w:tcPr>
          <w:p w:rsidR="006938EF" w:rsidRPr="00604C0B" w:rsidRDefault="006938EF" w:rsidP="00DF1D1C">
            <w:pPr>
              <w:pStyle w:val="TableText"/>
            </w:pPr>
            <w:r>
              <w:t>Schul</w:t>
            </w:r>
            <w:r w:rsidRPr="00604C0B">
              <w:t>z et al., 1995</w:t>
            </w:r>
            <w:r w:rsidRPr="00A1095B">
              <w:rPr>
                <w:rFonts w:ascii="Times New Roman" w:hAnsi="Times New Roman"/>
                <w:noProof/>
                <w:vertAlign w:val="superscript"/>
              </w:rPr>
              <w:t>1</w:t>
            </w:r>
          </w:p>
        </w:tc>
        <w:tc>
          <w:tcPr>
            <w:tcW w:w="2917" w:type="dxa"/>
          </w:tcPr>
          <w:p w:rsidR="006938EF" w:rsidRPr="00604C0B" w:rsidRDefault="006938EF" w:rsidP="00DF1D1C">
            <w:pPr>
              <w:pStyle w:val="TableText"/>
            </w:pPr>
            <w:r w:rsidRPr="00604C0B">
              <w:t xml:space="preserve">Goal: To determine if selected biases are associated with estimates of treatment effect. </w:t>
            </w:r>
          </w:p>
          <w:p w:rsidR="006938EF" w:rsidRPr="00604C0B" w:rsidRDefault="006938EF" w:rsidP="00DF1D1C">
            <w:pPr>
              <w:pStyle w:val="TableText"/>
            </w:pPr>
          </w:p>
          <w:p w:rsidR="006938EF" w:rsidRPr="00604C0B" w:rsidRDefault="006938EF" w:rsidP="00DF1D1C">
            <w:pPr>
              <w:pStyle w:val="TableText"/>
            </w:pPr>
            <w:r w:rsidRPr="00604C0B">
              <w:t xml:space="preserve">Control for bias: </w:t>
            </w:r>
          </w:p>
          <w:p w:rsidR="006938EF" w:rsidRPr="00604C0B" w:rsidRDefault="006938EF" w:rsidP="00DF1D1C">
            <w:pPr>
              <w:pStyle w:val="TableText"/>
            </w:pPr>
            <w:r w:rsidRPr="00604C0B">
              <w:t>Allocation concealment,</w:t>
            </w:r>
          </w:p>
          <w:p w:rsidR="006938EF" w:rsidRPr="00604C0B" w:rsidRDefault="006938EF" w:rsidP="00DF1D1C">
            <w:pPr>
              <w:pStyle w:val="TableText"/>
            </w:pPr>
            <w:r w:rsidRPr="00604C0B">
              <w:t>Generation of allocation schedule (randomization),</w:t>
            </w:r>
          </w:p>
          <w:p w:rsidR="006938EF" w:rsidRPr="00604C0B" w:rsidRDefault="006938EF" w:rsidP="00DF1D1C">
            <w:pPr>
              <w:pStyle w:val="TableText"/>
            </w:pPr>
            <w:r w:rsidRPr="00604C0B">
              <w:t>Exclusions after randomization,</w:t>
            </w:r>
          </w:p>
          <w:p w:rsidR="006938EF" w:rsidRPr="00604C0B" w:rsidRDefault="006938EF" w:rsidP="00DF1D1C">
            <w:pPr>
              <w:pStyle w:val="TableText"/>
            </w:pPr>
            <w:r w:rsidRPr="00604C0B">
              <w:t xml:space="preserve">Double-blinding </w:t>
            </w:r>
          </w:p>
        </w:tc>
        <w:tc>
          <w:tcPr>
            <w:tcW w:w="3150" w:type="dxa"/>
          </w:tcPr>
          <w:p w:rsidR="006938EF" w:rsidRPr="00604C0B" w:rsidRDefault="006938EF" w:rsidP="00DF1D1C">
            <w:pPr>
              <w:pStyle w:val="TableText"/>
            </w:pPr>
            <w:r w:rsidRPr="00604C0B">
              <w:t xml:space="preserve">Conditions: care during pregnancy, preterm labor and delivery, induction of labor, labor and delivery, prophylactic antibiotics for cesarean delivery, </w:t>
            </w:r>
            <w:proofErr w:type="spellStart"/>
            <w:r w:rsidRPr="00604C0B">
              <w:t>puerperium</w:t>
            </w:r>
            <w:proofErr w:type="spellEnd"/>
            <w:r w:rsidRPr="00604C0B">
              <w:t>, early neonatal period</w:t>
            </w:r>
          </w:p>
          <w:p w:rsidR="006938EF" w:rsidRPr="00604C0B" w:rsidRDefault="006938EF" w:rsidP="00DF1D1C">
            <w:pPr>
              <w:pStyle w:val="TableText"/>
            </w:pPr>
          </w:p>
          <w:p w:rsidR="006938EF" w:rsidRPr="00604C0B" w:rsidRDefault="006938EF" w:rsidP="00DF1D1C">
            <w:pPr>
              <w:pStyle w:val="TableText"/>
            </w:pPr>
            <w:r w:rsidRPr="00604C0B">
              <w:t>Outcomes: Binary, specific outcomes: NR</w:t>
            </w:r>
          </w:p>
        </w:tc>
        <w:tc>
          <w:tcPr>
            <w:tcW w:w="2970" w:type="dxa"/>
          </w:tcPr>
          <w:p w:rsidR="006938EF" w:rsidRPr="00604C0B" w:rsidRDefault="006938EF" w:rsidP="00DF1D1C">
            <w:pPr>
              <w:pStyle w:val="TableText"/>
            </w:pPr>
            <w:r w:rsidRPr="00604C0B">
              <w:t>Include: RCTs of pregnancy and childbirth; MAs of 5+ RCTs with at least 25 outcome events among control group and at least one trial with adequate concealment and one without; duplicative trials dropped by including most homogeneous MA.</w:t>
            </w:r>
          </w:p>
          <w:p w:rsidR="006938EF" w:rsidRPr="00604C0B" w:rsidRDefault="006938EF" w:rsidP="00DF1D1C">
            <w:pPr>
              <w:pStyle w:val="TableText"/>
            </w:pPr>
            <w:r w:rsidRPr="00604C0B">
              <w:t>Exclude: Unpublished and non-English language studies</w:t>
            </w:r>
          </w:p>
        </w:tc>
        <w:tc>
          <w:tcPr>
            <w:tcW w:w="2718" w:type="dxa"/>
          </w:tcPr>
          <w:p w:rsidR="006938EF" w:rsidRPr="00604C0B" w:rsidRDefault="006938EF" w:rsidP="00DF1D1C">
            <w:pPr>
              <w:pStyle w:val="TableText"/>
            </w:pPr>
            <w:r w:rsidRPr="00604C0B">
              <w:t>MA level</w:t>
            </w:r>
          </w:p>
          <w:p w:rsidR="006938EF" w:rsidRPr="00604C0B" w:rsidRDefault="006938EF" w:rsidP="00DF1D1C">
            <w:pPr>
              <w:pStyle w:val="TableText"/>
            </w:pPr>
          </w:p>
          <w:p w:rsidR="006938EF" w:rsidRPr="00604C0B" w:rsidRDefault="006938EF" w:rsidP="00DF1D1C">
            <w:pPr>
              <w:pStyle w:val="TableText"/>
            </w:pPr>
            <w:r w:rsidRPr="00604C0B">
              <w:t>33 MA (250 trials)</w:t>
            </w:r>
          </w:p>
          <w:p w:rsidR="006938EF" w:rsidRPr="00604C0B" w:rsidRDefault="006938EF" w:rsidP="00DF1D1C">
            <w:pPr>
              <w:pStyle w:val="TableText"/>
            </w:pPr>
          </w:p>
          <w:p w:rsidR="006938EF" w:rsidRPr="00604C0B" w:rsidRDefault="006938EF" w:rsidP="00DF1D1C">
            <w:pPr>
              <w:pStyle w:val="TableText"/>
            </w:pPr>
            <w:r w:rsidRPr="00604C0B">
              <w:t xml:space="preserve">Search: Cochrane database of SRs published by the Pregnancy and Childbirth group (1955-1992); Based on Oxford database of perinatal trials; dates of trials </w:t>
            </w:r>
            <w:proofErr w:type="spellStart"/>
            <w:r w:rsidRPr="00604C0B">
              <w:t>dk</w:t>
            </w:r>
            <w:proofErr w:type="spellEnd"/>
          </w:p>
        </w:tc>
      </w:tr>
      <w:tr w:rsidR="006938EF" w:rsidRPr="00604C0B" w:rsidTr="00DF1D1C">
        <w:tc>
          <w:tcPr>
            <w:tcW w:w="1421" w:type="dxa"/>
          </w:tcPr>
          <w:p w:rsidR="006938EF" w:rsidRPr="00604C0B" w:rsidRDefault="006938EF" w:rsidP="00DF1D1C">
            <w:pPr>
              <w:pStyle w:val="TableText"/>
            </w:pPr>
            <w:proofErr w:type="spellStart"/>
            <w:r w:rsidRPr="00604C0B">
              <w:t>Juni</w:t>
            </w:r>
            <w:proofErr w:type="spellEnd"/>
            <w:r w:rsidRPr="00604C0B">
              <w:t xml:space="preserve"> et al.,1999</w:t>
            </w:r>
            <w:r w:rsidRPr="00A1095B">
              <w:rPr>
                <w:rFonts w:ascii="Times New Roman" w:hAnsi="Times New Roman"/>
                <w:noProof/>
                <w:vertAlign w:val="superscript"/>
              </w:rPr>
              <w:t>2</w:t>
            </w:r>
          </w:p>
        </w:tc>
        <w:tc>
          <w:tcPr>
            <w:tcW w:w="2917" w:type="dxa"/>
          </w:tcPr>
          <w:p w:rsidR="006938EF" w:rsidRPr="00604C0B" w:rsidRDefault="006938EF" w:rsidP="00DF1D1C">
            <w:pPr>
              <w:pStyle w:val="TableText"/>
            </w:pPr>
            <w:r w:rsidRPr="00604C0B">
              <w:t xml:space="preserve">Goal: To determine if the type of quality assessment scale affects the conclusions of MA. </w:t>
            </w:r>
          </w:p>
          <w:p w:rsidR="006938EF" w:rsidRPr="00604C0B" w:rsidRDefault="006938EF" w:rsidP="00DF1D1C">
            <w:pPr>
              <w:pStyle w:val="TableText"/>
            </w:pPr>
          </w:p>
          <w:p w:rsidR="006938EF" w:rsidRPr="00604C0B" w:rsidRDefault="006938EF" w:rsidP="00DF1D1C">
            <w:pPr>
              <w:pStyle w:val="TableText"/>
            </w:pPr>
            <w:r w:rsidRPr="00604C0B">
              <w:t>Control for bias:</w:t>
            </w:r>
          </w:p>
          <w:p w:rsidR="006938EF" w:rsidRPr="00604C0B" w:rsidRDefault="006938EF" w:rsidP="00DF1D1C">
            <w:pPr>
              <w:pStyle w:val="TableText"/>
            </w:pPr>
            <w:r w:rsidRPr="00604C0B">
              <w:t>Concealment of randomization</w:t>
            </w:r>
          </w:p>
          <w:p w:rsidR="006938EF" w:rsidRPr="00604C0B" w:rsidRDefault="006938EF" w:rsidP="00DF1D1C">
            <w:pPr>
              <w:pStyle w:val="TableText"/>
            </w:pPr>
            <w:r w:rsidRPr="00604C0B">
              <w:t>Blinding of outcome assessor</w:t>
            </w:r>
          </w:p>
          <w:p w:rsidR="006938EF" w:rsidRPr="00604C0B" w:rsidRDefault="006938EF" w:rsidP="00DF1D1C">
            <w:pPr>
              <w:pStyle w:val="TableText"/>
            </w:pPr>
            <w:r w:rsidRPr="00604C0B">
              <w:t>Handling of drop-outs and withdrawals (ITT performed)</w:t>
            </w:r>
          </w:p>
        </w:tc>
        <w:tc>
          <w:tcPr>
            <w:tcW w:w="3150" w:type="dxa"/>
          </w:tcPr>
          <w:p w:rsidR="006938EF" w:rsidRPr="00604C0B" w:rsidRDefault="006938EF" w:rsidP="00DF1D1C">
            <w:pPr>
              <w:pStyle w:val="TableText"/>
            </w:pPr>
            <w:r w:rsidRPr="00604C0B">
              <w:t>Condition: Prevention of postoperative thrombosis comparing low molecular-weight heparin to regular heparin in general surgery trials</w:t>
            </w:r>
          </w:p>
          <w:p w:rsidR="006938EF" w:rsidRPr="00604C0B" w:rsidRDefault="006938EF" w:rsidP="00DF1D1C">
            <w:pPr>
              <w:pStyle w:val="TableText"/>
            </w:pPr>
          </w:p>
          <w:p w:rsidR="006938EF" w:rsidRPr="00604C0B" w:rsidRDefault="006938EF" w:rsidP="00DF1D1C">
            <w:pPr>
              <w:pStyle w:val="TableText"/>
            </w:pPr>
            <w:r w:rsidRPr="00604C0B">
              <w:t xml:space="preserve">Outcomes: </w:t>
            </w:r>
            <w:proofErr w:type="spellStart"/>
            <w:r w:rsidRPr="00604C0B">
              <w:t>thromboembolitic</w:t>
            </w:r>
            <w:proofErr w:type="spellEnd"/>
            <w:r w:rsidRPr="00604C0B">
              <w:t xml:space="preserve"> events (bleeding and deep vein thrombosis)</w:t>
            </w:r>
          </w:p>
        </w:tc>
        <w:tc>
          <w:tcPr>
            <w:tcW w:w="2970" w:type="dxa"/>
          </w:tcPr>
          <w:p w:rsidR="006938EF" w:rsidRPr="00604C0B" w:rsidRDefault="006938EF" w:rsidP="00DF1D1C">
            <w:pPr>
              <w:pStyle w:val="TableText"/>
            </w:pPr>
            <w:r w:rsidRPr="00604C0B">
              <w:t>Inclusion/exclusion: NR in this article; heterogeneity in surgical procedures not described</w:t>
            </w:r>
          </w:p>
        </w:tc>
        <w:tc>
          <w:tcPr>
            <w:tcW w:w="2718" w:type="dxa"/>
          </w:tcPr>
          <w:p w:rsidR="006938EF" w:rsidRPr="00604C0B" w:rsidRDefault="006938EF" w:rsidP="00DF1D1C">
            <w:pPr>
              <w:pStyle w:val="TableText"/>
            </w:pPr>
            <w:r w:rsidRPr="00604C0B">
              <w:t>RCT level</w:t>
            </w:r>
          </w:p>
          <w:p w:rsidR="006938EF" w:rsidRPr="00604C0B" w:rsidRDefault="006938EF" w:rsidP="00DF1D1C">
            <w:pPr>
              <w:pStyle w:val="TableText"/>
            </w:pPr>
          </w:p>
          <w:p w:rsidR="006938EF" w:rsidRPr="00604C0B" w:rsidRDefault="006938EF" w:rsidP="00DF1D1C">
            <w:pPr>
              <w:pStyle w:val="TableText"/>
            </w:pPr>
            <w:r w:rsidRPr="00604C0B">
              <w:t>Data from 17 RCTs included in 1 MA</w:t>
            </w:r>
          </w:p>
          <w:p w:rsidR="006938EF" w:rsidRPr="00604C0B" w:rsidRDefault="006938EF" w:rsidP="00DF1D1C">
            <w:pPr>
              <w:pStyle w:val="TableText"/>
            </w:pPr>
          </w:p>
          <w:p w:rsidR="006938EF" w:rsidRPr="00604C0B" w:rsidRDefault="006938EF" w:rsidP="00DF1D1C">
            <w:pPr>
              <w:pStyle w:val="TableText"/>
            </w:pPr>
            <w:r w:rsidRPr="00604C0B">
              <w:t xml:space="preserve">Search: MA by </w:t>
            </w:r>
            <w:proofErr w:type="spellStart"/>
            <w:r w:rsidRPr="00604C0B">
              <w:t>Nurmohamed</w:t>
            </w:r>
            <w:proofErr w:type="spellEnd"/>
            <w:r w:rsidRPr="00604C0B">
              <w:t xml:space="preserve"> et al.</w:t>
            </w:r>
            <w:r>
              <w:t>, 1992</w:t>
            </w:r>
            <w:r w:rsidRPr="00A1095B">
              <w:rPr>
                <w:rFonts w:ascii="Times New Roman" w:hAnsi="Times New Roman"/>
                <w:noProof/>
                <w:vertAlign w:val="superscript"/>
              </w:rPr>
              <w:t>3</w:t>
            </w:r>
          </w:p>
          <w:p w:rsidR="006938EF" w:rsidRPr="00604C0B" w:rsidRDefault="006938EF" w:rsidP="00DF1D1C">
            <w:pPr>
              <w:pStyle w:val="TableText"/>
            </w:pPr>
          </w:p>
        </w:tc>
      </w:tr>
    </w:tbl>
    <w:p w:rsidR="006938EF" w:rsidRPr="00604C0B" w:rsidRDefault="006938EF" w:rsidP="00DF1D1C"/>
    <w:p w:rsidR="006938EF" w:rsidRPr="003B684C" w:rsidRDefault="006938EF" w:rsidP="00A02A13">
      <w:pPr>
        <w:pStyle w:val="NormalWeb"/>
        <w:spacing w:before="0" w:beforeAutospacing="0" w:after="0" w:afterAutospacing="0"/>
      </w:pPr>
      <w:r w:rsidRPr="003B684C">
        <w:rPr>
          <w:rFonts w:ascii="Times" w:hAnsi="Times"/>
          <w:szCs w:val="20"/>
        </w:rP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Look w:val="04A0" w:firstRow="1" w:lastRow="0" w:firstColumn="1" w:lastColumn="0" w:noHBand="0" w:noVBand="1"/>
      </w:tblPr>
      <w:tblGrid>
        <w:gridCol w:w="1421"/>
        <w:gridCol w:w="2917"/>
        <w:gridCol w:w="3150"/>
        <w:gridCol w:w="2970"/>
        <w:gridCol w:w="2718"/>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21" w:type="dxa"/>
            <w:vAlign w:val="bottom"/>
          </w:tcPr>
          <w:p w:rsidR="006938EF" w:rsidRPr="00604C0B" w:rsidRDefault="006938EF" w:rsidP="00DF1D1C">
            <w:pPr>
              <w:pStyle w:val="TableText"/>
            </w:pPr>
            <w:r w:rsidRPr="00604C0B">
              <w:t>Study Identification</w:t>
            </w:r>
          </w:p>
        </w:tc>
        <w:tc>
          <w:tcPr>
            <w:tcW w:w="2917" w:type="dxa"/>
            <w:vAlign w:val="bottom"/>
          </w:tcPr>
          <w:p w:rsidR="006938EF" w:rsidRPr="00604C0B" w:rsidRDefault="006938EF" w:rsidP="00DF1D1C">
            <w:pPr>
              <w:pStyle w:val="TableText"/>
            </w:pPr>
            <w:r w:rsidRPr="00604C0B">
              <w:t>Goal of Study/Approach to Controlling for Biases in Study Conduct</w:t>
            </w:r>
          </w:p>
        </w:tc>
        <w:tc>
          <w:tcPr>
            <w:tcW w:w="3150"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970" w:type="dxa"/>
            <w:vAlign w:val="bottom"/>
          </w:tcPr>
          <w:p w:rsidR="006938EF" w:rsidRPr="00604C0B" w:rsidRDefault="006938EF" w:rsidP="00DF1D1C">
            <w:pPr>
              <w:pStyle w:val="TableText"/>
            </w:pPr>
            <w:r w:rsidRPr="00604C0B">
              <w:t>Inclusion/Exclusion Criteria</w:t>
            </w:r>
          </w:p>
        </w:tc>
        <w:tc>
          <w:tcPr>
            <w:tcW w:w="2718" w:type="dxa"/>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c>
          <w:tcPr>
            <w:tcW w:w="1421" w:type="dxa"/>
          </w:tcPr>
          <w:p w:rsidR="006938EF" w:rsidRPr="00604C0B" w:rsidRDefault="006938EF" w:rsidP="00DF1D1C">
            <w:pPr>
              <w:pStyle w:val="TableText"/>
            </w:pPr>
            <w:r w:rsidRPr="00604C0B">
              <w:t>Linde et al., 1999</w:t>
            </w:r>
            <w:r w:rsidRPr="00A1095B">
              <w:rPr>
                <w:rFonts w:ascii="Times New Roman" w:hAnsi="Times New Roman"/>
                <w:noProof/>
                <w:vertAlign w:val="superscript"/>
              </w:rPr>
              <w:t>4</w:t>
            </w:r>
          </w:p>
        </w:tc>
        <w:tc>
          <w:tcPr>
            <w:tcW w:w="2917" w:type="dxa"/>
          </w:tcPr>
          <w:p w:rsidR="006938EF" w:rsidRPr="00604C0B" w:rsidRDefault="006938EF" w:rsidP="00DF1D1C">
            <w:pPr>
              <w:pStyle w:val="TableText"/>
            </w:pPr>
            <w:r w:rsidRPr="00604C0B">
              <w:t>Goal: To compare three different approaches to investigating the impact of quality aspects on outcomes in a published MA of placebo-controlled trials: (1) the influence of single-quality components on the outcome, (2) using cut-off points in quality scores as inclusion criterion, and (3) entering trials into MAs consecutively according to quality scores (cumulative MA).</w:t>
            </w:r>
          </w:p>
          <w:p w:rsidR="006938EF" w:rsidRPr="00604C0B" w:rsidRDefault="006938EF" w:rsidP="00DF1D1C">
            <w:pPr>
              <w:pStyle w:val="TableText"/>
            </w:pPr>
          </w:p>
          <w:p w:rsidR="006938EF" w:rsidRPr="00604C0B" w:rsidRDefault="006938EF" w:rsidP="00DF1D1C">
            <w:pPr>
              <w:pStyle w:val="TableText"/>
              <w:rPr>
                <w:rFonts w:asciiTheme="minorBidi" w:hAnsiTheme="minorBidi"/>
              </w:rPr>
            </w:pPr>
            <w:r w:rsidRPr="00604C0B">
              <w:rPr>
                <w:rFonts w:asciiTheme="minorBidi" w:hAnsiTheme="minorBidi"/>
              </w:rPr>
              <w:t>Control for bias:</w:t>
            </w:r>
          </w:p>
          <w:p w:rsidR="006938EF" w:rsidRPr="00604C0B" w:rsidRDefault="006938EF" w:rsidP="00DF1D1C">
            <w:pPr>
              <w:pStyle w:val="TableText"/>
              <w:rPr>
                <w:rFonts w:asciiTheme="minorBidi" w:hAnsiTheme="minorBidi"/>
              </w:rPr>
            </w:pPr>
            <w:r w:rsidRPr="00604C0B">
              <w:rPr>
                <w:rFonts w:asciiTheme="minorBidi" w:hAnsiTheme="minorBidi"/>
              </w:rPr>
              <w:t>Randomization (explicitly stated)</w:t>
            </w:r>
          </w:p>
          <w:p w:rsidR="006938EF" w:rsidRPr="00604C0B" w:rsidRDefault="006938EF" w:rsidP="00DF1D1C">
            <w:pPr>
              <w:pStyle w:val="TableText"/>
              <w:rPr>
                <w:rFonts w:asciiTheme="minorBidi" w:hAnsiTheme="minorBidi"/>
              </w:rPr>
            </w:pPr>
            <w:r w:rsidRPr="00604C0B">
              <w:rPr>
                <w:rFonts w:asciiTheme="minorBidi" w:hAnsiTheme="minorBidi"/>
              </w:rPr>
              <w:t xml:space="preserve">Double blinding (patients and evaluators, </w:t>
            </w:r>
            <w:proofErr w:type="spellStart"/>
            <w:r w:rsidRPr="00604C0B">
              <w:rPr>
                <w:rFonts w:asciiTheme="minorBidi" w:hAnsiTheme="minorBidi"/>
              </w:rPr>
              <w:t>txs</w:t>
            </w:r>
            <w:proofErr w:type="spellEnd"/>
            <w:r w:rsidRPr="00604C0B">
              <w:rPr>
                <w:rFonts w:asciiTheme="minorBidi" w:hAnsiTheme="minorBidi"/>
              </w:rPr>
              <w:t xml:space="preserve"> indistinguishable)</w:t>
            </w:r>
          </w:p>
          <w:p w:rsidR="006938EF" w:rsidRPr="00604C0B" w:rsidRDefault="006938EF" w:rsidP="00DF1D1C">
            <w:pPr>
              <w:pStyle w:val="TableText"/>
              <w:rPr>
                <w:rFonts w:asciiTheme="minorBidi" w:hAnsiTheme="minorBidi"/>
              </w:rPr>
            </w:pPr>
            <w:r w:rsidRPr="00604C0B">
              <w:rPr>
                <w:rFonts w:asciiTheme="minorBidi" w:hAnsiTheme="minorBidi"/>
              </w:rPr>
              <w:t>Full description of handling of drop-outs and withdrawals</w:t>
            </w:r>
          </w:p>
        </w:tc>
        <w:tc>
          <w:tcPr>
            <w:tcW w:w="3150" w:type="dxa"/>
          </w:tcPr>
          <w:p w:rsidR="006938EF" w:rsidRPr="00604C0B" w:rsidRDefault="006938EF" w:rsidP="00DF1D1C">
            <w:pPr>
              <w:pStyle w:val="TableText"/>
            </w:pPr>
            <w:r w:rsidRPr="00604C0B">
              <w:t xml:space="preserve">Condition: homeopathic intervention for </w:t>
            </w:r>
            <w:proofErr w:type="spellStart"/>
            <w:r w:rsidRPr="00604C0B">
              <w:t>tx</w:t>
            </w:r>
            <w:proofErr w:type="spellEnd"/>
            <w:r w:rsidRPr="00604C0B">
              <w:t xml:space="preserve"> or prevention</w:t>
            </w:r>
          </w:p>
          <w:p w:rsidR="006938EF" w:rsidRPr="00604C0B" w:rsidRDefault="006938EF" w:rsidP="00DF1D1C">
            <w:pPr>
              <w:pStyle w:val="TableText"/>
            </w:pPr>
          </w:p>
          <w:p w:rsidR="006938EF" w:rsidRPr="00604C0B" w:rsidRDefault="006938EF" w:rsidP="00DF1D1C">
            <w:pPr>
              <w:pStyle w:val="TableText"/>
            </w:pPr>
            <w:r w:rsidRPr="00604C0B">
              <w:t>Outcomes: NR</w:t>
            </w:r>
          </w:p>
        </w:tc>
        <w:tc>
          <w:tcPr>
            <w:tcW w:w="2970" w:type="dxa"/>
          </w:tcPr>
          <w:p w:rsidR="006938EF" w:rsidRPr="00604C0B" w:rsidRDefault="006938EF" w:rsidP="00DF1D1C">
            <w:pPr>
              <w:pStyle w:val="TableText"/>
            </w:pPr>
            <w:r w:rsidRPr="00604C0B">
              <w:t>From 186 trials evaluated, 119 selected for original MA (Linde et al., 1997)</w:t>
            </w:r>
            <w:r w:rsidRPr="00A1095B">
              <w:rPr>
                <w:rFonts w:ascii="Times New Roman" w:hAnsi="Times New Roman"/>
                <w:noProof/>
                <w:vertAlign w:val="superscript"/>
              </w:rPr>
              <w:t>5</w:t>
            </w:r>
            <w:r w:rsidRPr="00604C0B">
              <w:t xml:space="preserve">. Of these, 89 selected for sensitivity analysis of quality </w:t>
            </w:r>
          </w:p>
          <w:p w:rsidR="006938EF" w:rsidRPr="00604C0B" w:rsidRDefault="006938EF" w:rsidP="00DF1D1C">
            <w:pPr>
              <w:pStyle w:val="TableText"/>
            </w:pPr>
          </w:p>
          <w:p w:rsidR="006938EF" w:rsidRPr="00604C0B" w:rsidRDefault="006938EF" w:rsidP="00DF1D1C">
            <w:pPr>
              <w:pStyle w:val="TableText"/>
            </w:pPr>
            <w:r w:rsidRPr="00604C0B">
              <w:t xml:space="preserve">Include: controlled trials on </w:t>
            </w:r>
            <w:proofErr w:type="spellStart"/>
            <w:r w:rsidRPr="00604C0B">
              <w:t>tx</w:t>
            </w:r>
            <w:proofErr w:type="spellEnd"/>
            <w:r w:rsidRPr="00604C0B">
              <w:t xml:space="preserve"> or prevention; parallel control group receiving placebo; explicit statement of random assignment to </w:t>
            </w:r>
            <w:proofErr w:type="spellStart"/>
            <w:r w:rsidRPr="00604C0B">
              <w:t>tx</w:t>
            </w:r>
            <w:proofErr w:type="spellEnd"/>
            <w:r w:rsidRPr="00604C0B">
              <w:t xml:space="preserve"> and placebo groups, or that the trial involved double-blind conditions for participants, therapists, and outcome evaluators, making unbiased </w:t>
            </w:r>
            <w:proofErr w:type="spellStart"/>
            <w:r w:rsidRPr="00604C0B">
              <w:t>tx</w:t>
            </w:r>
            <w:proofErr w:type="spellEnd"/>
            <w:r w:rsidRPr="00604C0B">
              <w:t xml:space="preserve"> allocation likely; presented in a written report, published or unpublished; abstract, full report, or book section; sufficient information after data extraction to have outcome rates calculated for both groups. </w:t>
            </w:r>
          </w:p>
          <w:p w:rsidR="006938EF" w:rsidRPr="00604C0B" w:rsidRDefault="006938EF" w:rsidP="00DF1D1C">
            <w:pPr>
              <w:pStyle w:val="TableText"/>
            </w:pPr>
            <w:r w:rsidRPr="00604C0B">
              <w:t>Exclude: homoeopathic “</w:t>
            </w:r>
            <w:proofErr w:type="spellStart"/>
            <w:r w:rsidRPr="00604C0B">
              <w:t>provings</w:t>
            </w:r>
            <w:proofErr w:type="spellEnd"/>
            <w:r w:rsidRPr="00604C0B">
              <w:t xml:space="preserve">” in which remedies are given to healthy volunteers to assess effects; studies of healthy participants not aimed at </w:t>
            </w:r>
            <w:proofErr w:type="spellStart"/>
            <w:r w:rsidRPr="00604C0B">
              <w:t>tx</w:t>
            </w:r>
            <w:proofErr w:type="spellEnd"/>
            <w:r w:rsidRPr="00604C0B">
              <w:t xml:space="preserve"> or prevention; single-case reports; a reasonable outcome measure for data synthesis could not be determined.</w:t>
            </w:r>
          </w:p>
        </w:tc>
        <w:tc>
          <w:tcPr>
            <w:tcW w:w="2718" w:type="dxa"/>
          </w:tcPr>
          <w:p w:rsidR="006938EF" w:rsidRPr="00604C0B" w:rsidRDefault="006938EF" w:rsidP="00DF1D1C">
            <w:pPr>
              <w:pStyle w:val="TableText"/>
            </w:pPr>
            <w:r w:rsidRPr="00604C0B">
              <w:t>Trial level</w:t>
            </w:r>
          </w:p>
          <w:p w:rsidR="006938EF" w:rsidRPr="00604C0B" w:rsidRDefault="006938EF" w:rsidP="00DF1D1C">
            <w:pPr>
              <w:pStyle w:val="TableText"/>
            </w:pPr>
          </w:p>
          <w:p w:rsidR="006938EF" w:rsidRPr="00604C0B" w:rsidRDefault="006938EF" w:rsidP="00DF1D1C">
            <w:pPr>
              <w:pStyle w:val="TableText"/>
            </w:pPr>
            <w:r w:rsidRPr="00604C0B">
              <w:t xml:space="preserve">Data from 89 trials included within a single MA on homeopathic interventions </w:t>
            </w:r>
            <w:r w:rsidR="00164718">
              <w:t>compared with</w:t>
            </w:r>
            <w:r w:rsidRPr="00604C0B">
              <w:t xml:space="preserve"> placebo</w:t>
            </w:r>
          </w:p>
          <w:p w:rsidR="006938EF" w:rsidRPr="00604C0B" w:rsidRDefault="006938EF" w:rsidP="00DF1D1C">
            <w:pPr>
              <w:pStyle w:val="TableText"/>
            </w:pPr>
          </w:p>
          <w:p w:rsidR="006938EF" w:rsidRPr="00604C0B" w:rsidRDefault="006938EF" w:rsidP="00DF1D1C">
            <w:pPr>
              <w:pStyle w:val="TableText"/>
            </w:pPr>
            <w:r w:rsidRPr="00604C0B">
              <w:t xml:space="preserve">Search: Medline, </w:t>
            </w:r>
            <w:proofErr w:type="spellStart"/>
            <w:r w:rsidRPr="00604C0B">
              <w:t>Embase</w:t>
            </w:r>
            <w:proofErr w:type="spellEnd"/>
            <w:r w:rsidRPr="00604C0B">
              <w:t xml:space="preserve"> and CAM registries for trials evaluating homeopathy, contacts with researchers, bibliographies of identified articles.</w:t>
            </w:r>
          </w:p>
        </w:tc>
      </w:tr>
    </w:tbl>
    <w:p w:rsidR="006938EF" w:rsidRPr="00604C0B" w:rsidRDefault="006938EF" w:rsidP="00DF1D1C"/>
    <w:p w:rsidR="006938EF" w:rsidRPr="00604C0B" w:rsidRDefault="006938EF" w:rsidP="00DF1D1C">
      <w:r w:rsidRPr="00604C0B">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14"/>
        <w:gridCol w:w="2890"/>
        <w:gridCol w:w="3106"/>
        <w:gridCol w:w="2933"/>
        <w:gridCol w:w="267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vAlign w:val="bottom"/>
          </w:tcPr>
          <w:p w:rsidR="006938EF" w:rsidRPr="00604C0B" w:rsidRDefault="006938EF" w:rsidP="00DF1D1C">
            <w:pPr>
              <w:pStyle w:val="TableText"/>
            </w:pPr>
            <w:r w:rsidRPr="00604C0B">
              <w:t>Study Identification</w:t>
            </w:r>
          </w:p>
        </w:tc>
        <w:tc>
          <w:tcPr>
            <w:tcW w:w="2890" w:type="dxa"/>
            <w:vAlign w:val="bottom"/>
          </w:tcPr>
          <w:p w:rsidR="006938EF" w:rsidRPr="00604C0B" w:rsidRDefault="006938EF" w:rsidP="00DF1D1C">
            <w:pPr>
              <w:pStyle w:val="TableText"/>
            </w:pPr>
            <w:r w:rsidRPr="00604C0B">
              <w:t>Goal of Study/Approach to Controlling for Biases in Study Conduct</w:t>
            </w:r>
          </w:p>
        </w:tc>
        <w:tc>
          <w:tcPr>
            <w:tcW w:w="3106"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933" w:type="dxa"/>
            <w:vAlign w:val="bottom"/>
          </w:tcPr>
          <w:p w:rsidR="006938EF" w:rsidRPr="00604C0B" w:rsidRDefault="006938EF" w:rsidP="00DF1D1C">
            <w:pPr>
              <w:pStyle w:val="TableText"/>
            </w:pPr>
            <w:r w:rsidRPr="00604C0B">
              <w:t>Inclusion/Exclusion Criteria</w:t>
            </w:r>
          </w:p>
        </w:tc>
        <w:tc>
          <w:tcPr>
            <w:tcW w:w="2675" w:type="dxa"/>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c>
          <w:tcPr>
            <w:tcW w:w="1414" w:type="dxa"/>
          </w:tcPr>
          <w:p w:rsidR="006938EF" w:rsidRPr="00DB6B51" w:rsidRDefault="006938EF" w:rsidP="00DF1D1C">
            <w:pPr>
              <w:pStyle w:val="TableText"/>
              <w:rPr>
                <w:lang w:val="fr-BE"/>
              </w:rPr>
            </w:pPr>
            <w:proofErr w:type="spellStart"/>
            <w:r w:rsidRPr="00DB6B51">
              <w:rPr>
                <w:lang w:val="fr-BE"/>
              </w:rPr>
              <w:t>Moher</w:t>
            </w:r>
            <w:proofErr w:type="spellEnd"/>
            <w:r w:rsidRPr="00DB6B51">
              <w:rPr>
                <w:lang w:val="fr-BE"/>
              </w:rPr>
              <w:t xml:space="preserve"> et </w:t>
            </w:r>
            <w:proofErr w:type="gramStart"/>
            <w:r w:rsidRPr="00DB6B51">
              <w:rPr>
                <w:lang w:val="fr-BE"/>
              </w:rPr>
              <w:t>al.,</w:t>
            </w:r>
            <w:proofErr w:type="gramEnd"/>
            <w:r w:rsidRPr="00DB6B51">
              <w:rPr>
                <w:lang w:val="fr-BE"/>
              </w:rPr>
              <w:t xml:space="preserve"> 1999,</w:t>
            </w:r>
            <w:r w:rsidRPr="00DB6B51">
              <w:rPr>
                <w:rFonts w:ascii="Times New Roman" w:hAnsi="Times New Roman"/>
                <w:noProof/>
                <w:vertAlign w:val="superscript"/>
                <w:lang w:val="fr-BE"/>
              </w:rPr>
              <w:t>6</w:t>
            </w:r>
            <w:r w:rsidRPr="00DB6B51">
              <w:rPr>
                <w:lang w:val="fr-BE"/>
              </w:rPr>
              <w:t xml:space="preserve"> </w:t>
            </w:r>
            <w:r w:rsidRPr="00DB6B51">
              <w:rPr>
                <w:lang w:val="fr-BE"/>
              </w:rPr>
              <w:br/>
            </w:r>
            <w:proofErr w:type="spellStart"/>
            <w:r w:rsidRPr="00DB6B51">
              <w:rPr>
                <w:lang w:val="fr-BE"/>
              </w:rPr>
              <w:t>Moher</w:t>
            </w:r>
            <w:proofErr w:type="spellEnd"/>
            <w:r w:rsidRPr="00DB6B51">
              <w:rPr>
                <w:lang w:val="fr-BE"/>
              </w:rPr>
              <w:t xml:space="preserve"> et al., 1998</w:t>
            </w:r>
            <w:r w:rsidRPr="00DB6B51">
              <w:rPr>
                <w:rFonts w:ascii="Times New Roman" w:hAnsi="Times New Roman"/>
                <w:noProof/>
                <w:vertAlign w:val="superscript"/>
                <w:lang w:val="fr-BE"/>
              </w:rPr>
              <w:t>7</w:t>
            </w:r>
          </w:p>
        </w:tc>
        <w:tc>
          <w:tcPr>
            <w:tcW w:w="2890" w:type="dxa"/>
          </w:tcPr>
          <w:p w:rsidR="006938EF" w:rsidRPr="00604C0B" w:rsidRDefault="006938EF" w:rsidP="00DF1D1C">
            <w:pPr>
              <w:pStyle w:val="TableText"/>
            </w:pPr>
            <w:r w:rsidRPr="00604C0B">
              <w:t xml:space="preserve">Goal: To determine the effect that the quality of RCTs included in a MA has on estimates of intervention effectiveness </w:t>
            </w:r>
          </w:p>
          <w:p w:rsidR="006938EF" w:rsidRPr="00604C0B" w:rsidRDefault="006938EF" w:rsidP="00DF1D1C">
            <w:pPr>
              <w:rPr>
                <w:rFonts w:eastAsia="Calibri" w:cs="Arial"/>
                <w:szCs w:val="18"/>
              </w:rPr>
            </w:pPr>
          </w:p>
          <w:p w:rsidR="006938EF" w:rsidRPr="00604C0B" w:rsidRDefault="006938EF" w:rsidP="00DF1D1C">
            <w:pPr>
              <w:pStyle w:val="TableText"/>
            </w:pPr>
            <w:r w:rsidRPr="00604C0B">
              <w:t>Control for bias:</w:t>
            </w:r>
          </w:p>
          <w:p w:rsidR="006938EF" w:rsidRPr="00604C0B" w:rsidRDefault="006938EF" w:rsidP="00DF1D1C">
            <w:pPr>
              <w:pStyle w:val="TableTextBullet"/>
            </w:pPr>
            <w:r w:rsidRPr="00604C0B">
              <w:t>Randomization sequence</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Double blinding</w:t>
            </w:r>
          </w:p>
          <w:p w:rsidR="006938EF" w:rsidRPr="00604C0B" w:rsidRDefault="006938EF" w:rsidP="00DF1D1C">
            <w:pPr>
              <w:pStyle w:val="TableTextBullet"/>
            </w:pPr>
            <w:r w:rsidRPr="00604C0B">
              <w:t>Adequate follow-up</w:t>
            </w:r>
          </w:p>
        </w:tc>
        <w:tc>
          <w:tcPr>
            <w:tcW w:w="3106" w:type="dxa"/>
          </w:tcPr>
          <w:p w:rsidR="006938EF" w:rsidRPr="00604C0B" w:rsidRDefault="006938EF" w:rsidP="00DF1D1C">
            <w:pPr>
              <w:pStyle w:val="TableText"/>
            </w:pPr>
            <w:r w:rsidRPr="00604C0B">
              <w:t>Conditions: 3 MAs each from the areas of digestive diseases, circulatory diseases, and mental health; 3 MA randomly chosen on stroke, 2 on pregnancy and childbirth.</w:t>
            </w:r>
          </w:p>
          <w:p w:rsidR="006938EF" w:rsidRPr="00604C0B" w:rsidRDefault="006938EF" w:rsidP="00DF1D1C">
            <w:pPr>
              <w:pStyle w:val="TableText"/>
            </w:pPr>
          </w:p>
          <w:p w:rsidR="006938EF" w:rsidRPr="00604C0B" w:rsidRDefault="006938EF" w:rsidP="00DF1D1C">
            <w:pPr>
              <w:pStyle w:val="TableText"/>
            </w:pPr>
            <w:r w:rsidRPr="00604C0B">
              <w:t>Outcomes: varied across studies</w:t>
            </w:r>
          </w:p>
          <w:p w:rsidR="006938EF" w:rsidRPr="00604C0B" w:rsidRDefault="006938EF" w:rsidP="00DF1D1C">
            <w:pPr>
              <w:pStyle w:val="TableText"/>
            </w:pPr>
          </w:p>
          <w:p w:rsidR="006938EF" w:rsidRPr="00604C0B" w:rsidRDefault="006938EF" w:rsidP="00DF1D1C">
            <w:pPr>
              <w:pStyle w:val="TableText"/>
            </w:pPr>
          </w:p>
        </w:tc>
        <w:tc>
          <w:tcPr>
            <w:tcW w:w="2933" w:type="dxa"/>
          </w:tcPr>
          <w:p w:rsidR="006938EF" w:rsidRPr="00604C0B" w:rsidRDefault="006938EF" w:rsidP="00DF1D1C">
            <w:pPr>
              <w:pStyle w:val="TableText"/>
            </w:pPr>
            <w:r w:rsidRPr="00604C0B">
              <w:t xml:space="preserve">Random selection of 12 MAs (1 excluded post hoc) from larger database of 491 MAs of RCTs. </w:t>
            </w:r>
          </w:p>
          <w:p w:rsidR="006938EF" w:rsidRPr="00604C0B" w:rsidRDefault="006938EF" w:rsidP="00DF1D1C">
            <w:pPr>
              <w:pStyle w:val="TableText"/>
            </w:pPr>
          </w:p>
          <w:p w:rsidR="006938EF" w:rsidRPr="00604C0B" w:rsidRDefault="006938EF" w:rsidP="00DF1D1C">
            <w:pPr>
              <w:pStyle w:val="TableText"/>
            </w:pPr>
            <w:r w:rsidRPr="00604C0B">
              <w:t>Inclusion: published in English; no formal incorporation of quality scores in quantitative analysis; binary outcomes reported using an overall quantitative summary result.</w:t>
            </w:r>
          </w:p>
          <w:p w:rsidR="006938EF" w:rsidRPr="00604C0B" w:rsidRDefault="006938EF" w:rsidP="00DF1D1C">
            <w:pPr>
              <w:pStyle w:val="TableText"/>
            </w:pPr>
            <w:r w:rsidRPr="00604C0B">
              <w:t>Exclusion: MAs that did not provide references for included trials.</w:t>
            </w:r>
          </w:p>
        </w:tc>
        <w:tc>
          <w:tcPr>
            <w:tcW w:w="2675" w:type="dxa"/>
          </w:tcPr>
          <w:p w:rsidR="006938EF" w:rsidRPr="00DB6B51" w:rsidRDefault="006938EF" w:rsidP="00DF1D1C">
            <w:pPr>
              <w:pStyle w:val="TableText"/>
              <w:rPr>
                <w:lang w:val="it-IT"/>
              </w:rPr>
            </w:pPr>
            <w:r w:rsidRPr="00DB6B51">
              <w:rPr>
                <w:lang w:val="it-IT"/>
              </w:rPr>
              <w:t>MA level</w:t>
            </w:r>
          </w:p>
          <w:p w:rsidR="006938EF" w:rsidRPr="00DB6B51" w:rsidRDefault="006938EF" w:rsidP="00DF1D1C">
            <w:pPr>
              <w:pStyle w:val="TableText"/>
              <w:rPr>
                <w:lang w:val="it-IT"/>
              </w:rPr>
            </w:pPr>
          </w:p>
          <w:p w:rsidR="006938EF" w:rsidRPr="00DB6B51" w:rsidRDefault="006938EF" w:rsidP="00DF1D1C">
            <w:pPr>
              <w:pStyle w:val="TableText"/>
              <w:rPr>
                <w:lang w:val="it-IT"/>
              </w:rPr>
            </w:pPr>
            <w:r w:rsidRPr="00DB6B51">
              <w:rPr>
                <w:lang w:val="it-IT"/>
              </w:rPr>
              <w:t xml:space="preserve">11 MA: data from 127 trials  </w:t>
            </w:r>
          </w:p>
          <w:p w:rsidR="006938EF" w:rsidRPr="00DB6B51" w:rsidRDefault="006938EF" w:rsidP="00DF1D1C">
            <w:pPr>
              <w:pStyle w:val="TableText"/>
              <w:rPr>
                <w:lang w:val="it-IT"/>
              </w:rPr>
            </w:pPr>
          </w:p>
          <w:p w:rsidR="006938EF" w:rsidRPr="00604C0B" w:rsidRDefault="006938EF" w:rsidP="00DF1D1C">
            <w:pPr>
              <w:pStyle w:val="TableText"/>
            </w:pPr>
            <w:r w:rsidRPr="00604C0B">
              <w:t>Search: Cochrane Database of Systematic Reviews</w:t>
            </w:r>
          </w:p>
        </w:tc>
      </w:tr>
      <w:tr w:rsidR="006938EF" w:rsidRPr="00604C0B" w:rsidTr="00DF1D1C">
        <w:tc>
          <w:tcPr>
            <w:tcW w:w="1414" w:type="dxa"/>
          </w:tcPr>
          <w:p w:rsidR="006938EF" w:rsidRPr="00604C0B" w:rsidRDefault="006938EF" w:rsidP="00DF1D1C">
            <w:pPr>
              <w:pStyle w:val="TableText"/>
            </w:pPr>
            <w:proofErr w:type="spellStart"/>
            <w:r w:rsidRPr="00604C0B">
              <w:t>Kjaergard</w:t>
            </w:r>
            <w:proofErr w:type="spellEnd"/>
            <w:r w:rsidRPr="00604C0B">
              <w:t xml:space="preserve">, </w:t>
            </w:r>
            <w:proofErr w:type="spellStart"/>
            <w:r w:rsidRPr="00604C0B">
              <w:t>Villumsen</w:t>
            </w:r>
            <w:proofErr w:type="spellEnd"/>
            <w:r w:rsidRPr="00604C0B">
              <w:t xml:space="preserve"> and </w:t>
            </w:r>
            <w:proofErr w:type="spellStart"/>
            <w:r w:rsidRPr="00604C0B">
              <w:t>Gluud</w:t>
            </w:r>
            <w:proofErr w:type="spellEnd"/>
            <w:r w:rsidRPr="00604C0B">
              <w:t>, 2001</w:t>
            </w:r>
            <w:r w:rsidRPr="00A1095B">
              <w:rPr>
                <w:rFonts w:ascii="Times New Roman" w:hAnsi="Times New Roman"/>
                <w:noProof/>
                <w:vertAlign w:val="superscript"/>
              </w:rPr>
              <w:t>8</w:t>
            </w:r>
          </w:p>
        </w:tc>
        <w:tc>
          <w:tcPr>
            <w:tcW w:w="2890" w:type="dxa"/>
          </w:tcPr>
          <w:p w:rsidR="006938EF" w:rsidRPr="00604C0B" w:rsidRDefault="006938EF" w:rsidP="00DF1D1C">
            <w:pPr>
              <w:pStyle w:val="TableText"/>
            </w:pPr>
            <w:r w:rsidRPr="00604C0B">
              <w:t xml:space="preserve">Goal: To explore whether </w:t>
            </w:r>
            <w:proofErr w:type="spellStart"/>
            <w:r w:rsidRPr="00604C0B">
              <w:t>methodologic</w:t>
            </w:r>
            <w:proofErr w:type="spellEnd"/>
            <w:r w:rsidRPr="00604C0B">
              <w:t xml:space="preserve"> quality affects estimated intervention effects in RCTs and contributes to differences between large and small RCTs in MA.</w:t>
            </w:r>
          </w:p>
          <w:p w:rsidR="006938EF" w:rsidRPr="00604C0B" w:rsidRDefault="006938EF" w:rsidP="00DF1D1C">
            <w:pPr>
              <w:rPr>
                <w:rFonts w:eastAsia="Calibri" w:cs="Arial"/>
                <w:szCs w:val="18"/>
              </w:rPr>
            </w:pPr>
          </w:p>
          <w:p w:rsidR="006938EF" w:rsidRPr="00604C0B" w:rsidRDefault="006938EF" w:rsidP="00DF1D1C">
            <w:pPr>
              <w:rPr>
                <w:rFonts w:eastAsia="Calibri" w:cs="Arial"/>
                <w:szCs w:val="18"/>
              </w:rPr>
            </w:pPr>
            <w:r w:rsidRPr="00604C0B">
              <w:rPr>
                <w:rFonts w:eastAsia="Calibri" w:cs="Arial"/>
                <w:szCs w:val="18"/>
              </w:rPr>
              <w:t>Control for bias:</w:t>
            </w:r>
          </w:p>
          <w:p w:rsidR="006938EF" w:rsidRPr="00604C0B" w:rsidRDefault="006938EF" w:rsidP="00DF1D1C">
            <w:pPr>
              <w:pStyle w:val="TableTextBullet"/>
            </w:pPr>
            <w:r w:rsidRPr="00604C0B">
              <w:t>Allocation sequence</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Double blinding</w:t>
            </w:r>
          </w:p>
          <w:p w:rsidR="006938EF" w:rsidRPr="00604C0B" w:rsidRDefault="006938EF" w:rsidP="00DF1D1C">
            <w:pPr>
              <w:pStyle w:val="TableTextBullet"/>
            </w:pPr>
            <w:r w:rsidRPr="00604C0B">
              <w:t>Adequate follow-up</w:t>
            </w:r>
          </w:p>
        </w:tc>
        <w:tc>
          <w:tcPr>
            <w:tcW w:w="3106" w:type="dxa"/>
          </w:tcPr>
          <w:p w:rsidR="006938EF" w:rsidRPr="00604C0B" w:rsidRDefault="006938EF" w:rsidP="00DF1D1C">
            <w:pPr>
              <w:pStyle w:val="TableText"/>
            </w:pPr>
            <w:r w:rsidRPr="00604C0B">
              <w:t xml:space="preserve">Conditions: NR </w:t>
            </w:r>
          </w:p>
          <w:p w:rsidR="006938EF" w:rsidRPr="00604C0B" w:rsidRDefault="006938EF" w:rsidP="00DF1D1C">
            <w:pPr>
              <w:pStyle w:val="TableText"/>
            </w:pPr>
          </w:p>
          <w:p w:rsidR="006938EF" w:rsidRPr="00604C0B" w:rsidRDefault="006938EF" w:rsidP="00DF1D1C">
            <w:pPr>
              <w:pStyle w:val="TableText"/>
            </w:pPr>
            <w:r w:rsidRPr="00604C0B">
              <w:t xml:space="preserve">Outcomes: mortality, neonatal mortality, cesarean section, deep vein thrombosis, dropouts, </w:t>
            </w:r>
            <w:proofErr w:type="spellStart"/>
            <w:r w:rsidRPr="00604C0B">
              <w:t>endocervical</w:t>
            </w:r>
            <w:proofErr w:type="spellEnd"/>
            <w:r w:rsidRPr="00604C0B">
              <w:t xml:space="preserve"> cells, resumed smoking,</w:t>
            </w:r>
          </w:p>
        </w:tc>
        <w:tc>
          <w:tcPr>
            <w:tcW w:w="2933" w:type="dxa"/>
          </w:tcPr>
          <w:p w:rsidR="006938EF" w:rsidRPr="00604C0B" w:rsidRDefault="006938EF" w:rsidP="00DF1D1C">
            <w:pPr>
              <w:pStyle w:val="TableText"/>
            </w:pPr>
            <w:r w:rsidRPr="00604C0B">
              <w:t>Inclusion (SRs): MAs that included at least one large trial (≥ 1000 subjects)</w:t>
            </w:r>
          </w:p>
          <w:p w:rsidR="006938EF" w:rsidRPr="00604C0B" w:rsidRDefault="006938EF" w:rsidP="00DF1D1C">
            <w:pPr>
              <w:pStyle w:val="TableText"/>
            </w:pPr>
            <w:r w:rsidRPr="00604C0B">
              <w:t>Exclusion (SRs): MA with RCTs that were also included in larger eligible MA, lacking references to the primary trials, or low-quality</w:t>
            </w:r>
          </w:p>
          <w:p w:rsidR="006938EF" w:rsidRPr="00604C0B" w:rsidRDefault="006938EF" w:rsidP="00DF1D1C">
            <w:pPr>
              <w:pStyle w:val="TableText"/>
            </w:pPr>
            <w:r w:rsidRPr="00604C0B">
              <w:t>Exclusion (RCTs): unpublished, quasi-randomized, published as abstracts, language (not English or German)</w:t>
            </w:r>
          </w:p>
        </w:tc>
        <w:tc>
          <w:tcPr>
            <w:tcW w:w="2675" w:type="dxa"/>
          </w:tcPr>
          <w:p w:rsidR="006938EF" w:rsidRPr="00604C0B" w:rsidRDefault="006938EF" w:rsidP="00DF1D1C">
            <w:pPr>
              <w:pStyle w:val="TableText"/>
            </w:pPr>
            <w:r w:rsidRPr="00604C0B">
              <w:t>MA level</w:t>
            </w:r>
          </w:p>
          <w:p w:rsidR="006938EF" w:rsidRPr="00604C0B" w:rsidRDefault="006938EF" w:rsidP="00DF1D1C">
            <w:pPr>
              <w:pStyle w:val="TableText"/>
            </w:pPr>
          </w:p>
          <w:p w:rsidR="006938EF" w:rsidRPr="00604C0B" w:rsidRDefault="006938EF" w:rsidP="00DF1D1C">
            <w:pPr>
              <w:pStyle w:val="TableText"/>
            </w:pPr>
            <w:r w:rsidRPr="00604C0B">
              <w:t>14 MA:  data from 190 RCTs (23 large, 167 small)</w:t>
            </w:r>
          </w:p>
          <w:p w:rsidR="006938EF" w:rsidRPr="00604C0B" w:rsidRDefault="006938EF" w:rsidP="00DF1D1C">
            <w:pPr>
              <w:pStyle w:val="TableText"/>
            </w:pPr>
          </w:p>
          <w:p w:rsidR="006938EF" w:rsidRPr="00604C0B" w:rsidRDefault="006938EF" w:rsidP="00DF1D1C">
            <w:pPr>
              <w:pStyle w:val="TableText"/>
            </w:pPr>
            <w:r w:rsidRPr="00604C0B">
              <w:t>Search: Medline and Cochrane library</w:t>
            </w:r>
          </w:p>
        </w:tc>
      </w:tr>
      <w:tr w:rsidR="006938EF" w:rsidRPr="00604C0B" w:rsidTr="00DF1D1C">
        <w:tc>
          <w:tcPr>
            <w:tcW w:w="1414" w:type="dxa"/>
          </w:tcPr>
          <w:p w:rsidR="006938EF" w:rsidRPr="00604C0B" w:rsidRDefault="006938EF" w:rsidP="00DF1D1C">
            <w:pPr>
              <w:pStyle w:val="TableText"/>
            </w:pPr>
            <w:r w:rsidRPr="00604C0B">
              <w:t>Balk et al., 2002</w:t>
            </w:r>
            <w:r w:rsidRPr="00A1095B">
              <w:rPr>
                <w:rFonts w:ascii="Times New Roman" w:hAnsi="Times New Roman"/>
                <w:noProof/>
                <w:vertAlign w:val="superscript"/>
              </w:rPr>
              <w:t>9</w:t>
            </w:r>
          </w:p>
        </w:tc>
        <w:tc>
          <w:tcPr>
            <w:tcW w:w="2890" w:type="dxa"/>
          </w:tcPr>
          <w:p w:rsidR="006938EF" w:rsidRPr="00604C0B" w:rsidRDefault="006938EF" w:rsidP="00DF1D1C">
            <w:pPr>
              <w:pStyle w:val="TableText"/>
            </w:pPr>
            <w:r w:rsidRPr="00604C0B">
              <w:t xml:space="preserve">Goal: To determine if quality measures are associated with </w:t>
            </w:r>
            <w:proofErr w:type="spellStart"/>
            <w:r w:rsidRPr="00604C0B">
              <w:t>tx</w:t>
            </w:r>
            <w:proofErr w:type="spellEnd"/>
            <w:r w:rsidRPr="00604C0B">
              <w:t xml:space="preserve"> effect sizes in RCTs</w:t>
            </w:r>
          </w:p>
          <w:p w:rsidR="006938EF" w:rsidRPr="00604C0B" w:rsidRDefault="006938EF" w:rsidP="00DF1D1C">
            <w:pPr>
              <w:rPr>
                <w:rFonts w:eastAsia="Calibri" w:cs="Arial"/>
                <w:szCs w:val="18"/>
              </w:rPr>
            </w:pPr>
          </w:p>
          <w:p w:rsidR="006938EF" w:rsidRPr="00604C0B" w:rsidRDefault="006938EF" w:rsidP="00DF1D1C">
            <w:pPr>
              <w:pStyle w:val="TableText"/>
            </w:pPr>
            <w:r w:rsidRPr="00604C0B">
              <w:t>24 controls for biases, including:</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randomization,</w:t>
            </w:r>
          </w:p>
          <w:p w:rsidR="006938EF" w:rsidRPr="00604C0B" w:rsidRDefault="006938EF" w:rsidP="00DF1D1C">
            <w:pPr>
              <w:pStyle w:val="TableTextBullet"/>
            </w:pPr>
            <w:r w:rsidRPr="00604C0B">
              <w:t>attrition &amp; loss to follow-up,</w:t>
            </w:r>
          </w:p>
          <w:p w:rsidR="006938EF" w:rsidRPr="00604C0B" w:rsidRDefault="006938EF" w:rsidP="00DF1D1C">
            <w:pPr>
              <w:pStyle w:val="TableTextBullet"/>
            </w:pPr>
            <w:r w:rsidRPr="00604C0B">
              <w:t>blinding (double &amp; component)</w:t>
            </w:r>
          </w:p>
          <w:p w:rsidR="006938EF" w:rsidRPr="00604C0B" w:rsidRDefault="006938EF" w:rsidP="00DF1D1C">
            <w:pPr>
              <w:pStyle w:val="TableTextBullet"/>
            </w:pPr>
            <w:r w:rsidRPr="00604C0B">
              <w:t>valid statistical methods</w:t>
            </w:r>
          </w:p>
          <w:p w:rsidR="006938EF" w:rsidRPr="00604C0B" w:rsidRDefault="006938EF" w:rsidP="00DF1D1C">
            <w:pPr>
              <w:pStyle w:val="TableTextBullet"/>
            </w:pPr>
            <w:r w:rsidRPr="00604C0B">
              <w:t xml:space="preserve">confounding </w:t>
            </w:r>
          </w:p>
        </w:tc>
        <w:tc>
          <w:tcPr>
            <w:tcW w:w="3106" w:type="dxa"/>
          </w:tcPr>
          <w:p w:rsidR="006938EF" w:rsidRPr="00604C0B" w:rsidRDefault="006938EF" w:rsidP="00DF1D1C">
            <w:pPr>
              <w:pStyle w:val="TableText"/>
            </w:pPr>
            <w:r w:rsidRPr="00604C0B">
              <w:t>Conditions: Cardiovascular diseases, infectious diseases, pediatrics, surgery</w:t>
            </w:r>
          </w:p>
          <w:p w:rsidR="006938EF" w:rsidRPr="00604C0B" w:rsidRDefault="006938EF" w:rsidP="00DF1D1C">
            <w:pPr>
              <w:pStyle w:val="TableText"/>
            </w:pPr>
          </w:p>
          <w:p w:rsidR="006938EF" w:rsidRPr="00604C0B" w:rsidRDefault="006938EF" w:rsidP="00DF1D1C">
            <w:pPr>
              <w:pStyle w:val="TableText"/>
            </w:pPr>
            <w:r w:rsidRPr="00604C0B">
              <w:t>Outcomes: mortality in cardiovascular disease studies; varied in other clinical areas. If multiple outcomes, included those examined by the largest number of studies or those most clearly defined.</w:t>
            </w:r>
          </w:p>
          <w:p w:rsidR="006938EF" w:rsidRPr="00604C0B" w:rsidRDefault="006938EF" w:rsidP="00DF1D1C">
            <w:pPr>
              <w:pStyle w:val="TableText"/>
            </w:pPr>
          </w:p>
        </w:tc>
        <w:tc>
          <w:tcPr>
            <w:tcW w:w="2933" w:type="dxa"/>
          </w:tcPr>
          <w:p w:rsidR="006938EF" w:rsidRPr="00604C0B" w:rsidRDefault="006938EF" w:rsidP="00DF1D1C">
            <w:pPr>
              <w:pStyle w:val="TableText"/>
            </w:pPr>
            <w:r w:rsidRPr="00604C0B">
              <w:t xml:space="preserve">Inclusion: MA with at least 6 RCTs, dichotomous outcomes; sig between-study heterogeneity within MA. </w:t>
            </w:r>
          </w:p>
          <w:p w:rsidR="006938EF" w:rsidRPr="00604C0B" w:rsidRDefault="006938EF" w:rsidP="00DF1D1C">
            <w:pPr>
              <w:pStyle w:val="TableText"/>
            </w:pPr>
            <w:r w:rsidRPr="00604C0B">
              <w:t>Exclusion: abstracts, letters, unavailable articles, detailed outcome data not available.</w:t>
            </w:r>
          </w:p>
        </w:tc>
        <w:tc>
          <w:tcPr>
            <w:tcW w:w="2675" w:type="dxa"/>
          </w:tcPr>
          <w:p w:rsidR="006938EF" w:rsidRPr="00604C0B" w:rsidRDefault="006938EF" w:rsidP="00DF1D1C">
            <w:pPr>
              <w:pStyle w:val="TableText"/>
            </w:pPr>
            <w:r w:rsidRPr="00604C0B">
              <w:t>MA level</w:t>
            </w:r>
          </w:p>
          <w:p w:rsidR="006938EF" w:rsidRPr="00604C0B" w:rsidRDefault="006938EF" w:rsidP="00DF1D1C">
            <w:pPr>
              <w:pStyle w:val="TableText"/>
            </w:pPr>
          </w:p>
          <w:p w:rsidR="006938EF" w:rsidRPr="00604C0B" w:rsidRDefault="006938EF" w:rsidP="00DF1D1C">
            <w:pPr>
              <w:pStyle w:val="TableText"/>
            </w:pPr>
            <w:r>
              <w:t>26 MAs, data from 276</w:t>
            </w:r>
            <w:r w:rsidRPr="00604C0B">
              <w:t xml:space="preserve"> t</w:t>
            </w:r>
            <w:r>
              <w:t>rials (included "85%" of the 325</w:t>
            </w:r>
            <w:r w:rsidRPr="00604C0B">
              <w:t xml:space="preserve"> trials from the MAs)  </w:t>
            </w:r>
          </w:p>
          <w:p w:rsidR="006938EF" w:rsidRPr="00604C0B" w:rsidRDefault="006938EF" w:rsidP="00DF1D1C">
            <w:pPr>
              <w:pStyle w:val="TableText"/>
            </w:pPr>
            <w:r w:rsidRPr="00604C0B">
              <w:t xml:space="preserve">Cardiovascular: 8 MA (93 trials) </w:t>
            </w:r>
          </w:p>
          <w:p w:rsidR="006938EF" w:rsidRPr="00604C0B" w:rsidRDefault="006938EF" w:rsidP="00DF1D1C">
            <w:pPr>
              <w:pStyle w:val="TableText"/>
            </w:pPr>
            <w:r w:rsidRPr="00604C0B">
              <w:t>Infectious disease: 6 MA (56 trials)</w:t>
            </w:r>
          </w:p>
          <w:p w:rsidR="006938EF" w:rsidRPr="00604C0B" w:rsidRDefault="006938EF" w:rsidP="00DF1D1C">
            <w:pPr>
              <w:pStyle w:val="TableText"/>
            </w:pPr>
            <w:r w:rsidRPr="00604C0B">
              <w:t xml:space="preserve">Pediatrics: 5 MA (60 trials) </w:t>
            </w:r>
          </w:p>
          <w:p w:rsidR="006938EF" w:rsidRPr="00604C0B" w:rsidRDefault="006938EF" w:rsidP="00DF1D1C">
            <w:pPr>
              <w:pStyle w:val="TableText"/>
            </w:pPr>
            <w:r w:rsidRPr="00604C0B">
              <w:t>Surgery: 7 MA (67 trials)</w:t>
            </w:r>
          </w:p>
          <w:p w:rsidR="006938EF" w:rsidRPr="00604C0B" w:rsidRDefault="006938EF" w:rsidP="00DF1D1C">
            <w:pPr>
              <w:pStyle w:val="TableText"/>
            </w:pPr>
          </w:p>
          <w:p w:rsidR="006938EF" w:rsidRPr="00604C0B" w:rsidRDefault="006938EF" w:rsidP="00DF1D1C">
            <w:pPr>
              <w:pStyle w:val="TableText"/>
            </w:pPr>
            <w:r w:rsidRPr="00604C0B">
              <w:t>Search: Medline and Cochrane databases</w:t>
            </w:r>
          </w:p>
        </w:tc>
      </w:tr>
    </w:tbl>
    <w:p w:rsidR="006938EF" w:rsidRPr="00604C0B" w:rsidRDefault="006938EF" w:rsidP="00DF1D1C"/>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Look w:val="04A0" w:firstRow="1" w:lastRow="0" w:firstColumn="1" w:lastColumn="0" w:noHBand="0" w:noVBand="1"/>
      </w:tblPr>
      <w:tblGrid>
        <w:gridCol w:w="79"/>
        <w:gridCol w:w="1340"/>
        <w:gridCol w:w="72"/>
        <w:gridCol w:w="2827"/>
        <w:gridCol w:w="44"/>
        <w:gridCol w:w="3084"/>
        <w:gridCol w:w="2956"/>
        <w:gridCol w:w="2696"/>
        <w:gridCol w:w="78"/>
      </w:tblGrid>
      <w:tr w:rsidR="006938EF" w:rsidRPr="00604C0B" w:rsidTr="00DF1D1C">
        <w:trPr>
          <w:gridAfter w:val="1"/>
          <w:cnfStyle w:val="100000000000" w:firstRow="1" w:lastRow="0" w:firstColumn="0" w:lastColumn="0" w:oddVBand="0" w:evenVBand="0" w:oddHBand="0" w:evenHBand="0" w:firstRowFirstColumn="0" w:firstRowLastColumn="0" w:lastRowFirstColumn="0" w:lastRowLastColumn="0"/>
          <w:wAfter w:w="79" w:type="dxa"/>
          <w:tblHeader/>
        </w:trPr>
        <w:tc>
          <w:tcPr>
            <w:tcW w:w="1420" w:type="dxa"/>
            <w:gridSpan w:val="2"/>
            <w:vAlign w:val="bottom"/>
          </w:tcPr>
          <w:p w:rsidR="006938EF" w:rsidRPr="00604C0B" w:rsidRDefault="006938EF" w:rsidP="00DF1D1C">
            <w:pPr>
              <w:pStyle w:val="TableText"/>
            </w:pPr>
            <w:r w:rsidRPr="00604C0B">
              <w:t>Study Identification</w:t>
            </w:r>
          </w:p>
        </w:tc>
        <w:tc>
          <w:tcPr>
            <w:tcW w:w="2917" w:type="dxa"/>
            <w:gridSpan w:val="2"/>
            <w:vAlign w:val="bottom"/>
          </w:tcPr>
          <w:p w:rsidR="006938EF" w:rsidRPr="00604C0B" w:rsidRDefault="006938EF" w:rsidP="00DF1D1C">
            <w:pPr>
              <w:pStyle w:val="TableText"/>
            </w:pPr>
            <w:r w:rsidRPr="00604C0B">
              <w:t>Goal of Study/Approach to Controlling for Biases in Study Conduct</w:t>
            </w:r>
          </w:p>
        </w:tc>
        <w:tc>
          <w:tcPr>
            <w:tcW w:w="3151" w:type="dxa"/>
            <w:gridSpan w:val="2"/>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970" w:type="dxa"/>
            <w:vAlign w:val="bottom"/>
          </w:tcPr>
          <w:p w:rsidR="006938EF" w:rsidRPr="00604C0B" w:rsidRDefault="006938EF" w:rsidP="00DF1D1C">
            <w:pPr>
              <w:pStyle w:val="TableText"/>
            </w:pPr>
            <w:r w:rsidRPr="00604C0B">
              <w:t>Inclusion/Exclusion Criteria</w:t>
            </w:r>
          </w:p>
        </w:tc>
        <w:tc>
          <w:tcPr>
            <w:tcW w:w="2718" w:type="dxa"/>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blPrEx>
          <w:tblCellMar>
            <w:left w:w="29" w:type="dxa"/>
            <w:right w:w="29" w:type="dxa"/>
          </w:tblCellMar>
        </w:tblPrEx>
        <w:trPr>
          <w:gridBefore w:val="1"/>
          <w:wBefore w:w="79" w:type="dxa"/>
        </w:trPr>
        <w:tc>
          <w:tcPr>
            <w:tcW w:w="1413" w:type="dxa"/>
            <w:gridSpan w:val="2"/>
          </w:tcPr>
          <w:p w:rsidR="006938EF" w:rsidRPr="00604C0B" w:rsidRDefault="006938EF" w:rsidP="00DF1D1C">
            <w:pPr>
              <w:pStyle w:val="TableText"/>
            </w:pPr>
            <w:r w:rsidRPr="00604C0B">
              <w:t>Clifford et al., 2002</w:t>
            </w:r>
            <w:r w:rsidRPr="00A1095B">
              <w:rPr>
                <w:rFonts w:ascii="Times New Roman" w:hAnsi="Times New Roman"/>
                <w:noProof/>
                <w:vertAlign w:val="superscript"/>
              </w:rPr>
              <w:t>10</w:t>
            </w:r>
          </w:p>
        </w:tc>
        <w:tc>
          <w:tcPr>
            <w:tcW w:w="2890" w:type="dxa"/>
            <w:gridSpan w:val="2"/>
          </w:tcPr>
          <w:p w:rsidR="006938EF" w:rsidRPr="00604C0B" w:rsidRDefault="006938EF" w:rsidP="00DF1D1C">
            <w:pPr>
              <w:pStyle w:val="TableText"/>
            </w:pPr>
            <w:r w:rsidRPr="00604C0B">
              <w:t>Goal: To examine the relationships between funding source, trial outcome and reporting quality--particularly allocation concealment.</w:t>
            </w:r>
          </w:p>
          <w:p w:rsidR="006938EF" w:rsidRPr="00604C0B" w:rsidRDefault="006938EF" w:rsidP="00DF1D1C">
            <w:pPr>
              <w:pStyle w:val="TableText"/>
            </w:pPr>
          </w:p>
          <w:p w:rsidR="006938EF" w:rsidRPr="00604C0B" w:rsidRDefault="006938EF" w:rsidP="00DF1D1C">
            <w:pPr>
              <w:pStyle w:val="TableText"/>
            </w:pPr>
            <w:r w:rsidRPr="00604C0B">
              <w:t>Controls for biases:</w:t>
            </w:r>
          </w:p>
          <w:p w:rsidR="006938EF" w:rsidRPr="00604C0B" w:rsidRDefault="006938EF" w:rsidP="00DF1D1C">
            <w:pPr>
              <w:pStyle w:val="TableTextBullet"/>
            </w:pPr>
            <w:r w:rsidRPr="00604C0B">
              <w:t>allocation concealment</w:t>
            </w:r>
          </w:p>
        </w:tc>
        <w:tc>
          <w:tcPr>
            <w:tcW w:w="3106" w:type="dxa"/>
          </w:tcPr>
          <w:p w:rsidR="006938EF" w:rsidRPr="00604C0B" w:rsidRDefault="006938EF" w:rsidP="00DF1D1C">
            <w:pPr>
              <w:pStyle w:val="TableText"/>
            </w:pPr>
            <w:r w:rsidRPr="00604C0B">
              <w:t>Conditions: pharmaceutical intervention</w:t>
            </w:r>
          </w:p>
          <w:p w:rsidR="006938EF" w:rsidRPr="00604C0B" w:rsidRDefault="006938EF" w:rsidP="00DF1D1C">
            <w:pPr>
              <w:pStyle w:val="TableText"/>
            </w:pPr>
          </w:p>
          <w:p w:rsidR="006938EF" w:rsidRPr="00604C0B" w:rsidRDefault="006938EF" w:rsidP="00DF1D1C">
            <w:pPr>
              <w:pStyle w:val="TableText"/>
            </w:pPr>
            <w:r w:rsidRPr="00604C0B">
              <w:t>Outcomes: primary outcome as defined by authors or if not defined, most clinically relevant</w:t>
            </w:r>
          </w:p>
        </w:tc>
        <w:tc>
          <w:tcPr>
            <w:tcW w:w="2933" w:type="dxa"/>
          </w:tcPr>
          <w:p w:rsidR="006938EF" w:rsidRPr="00604C0B" w:rsidRDefault="006938EF" w:rsidP="00DF1D1C">
            <w:pPr>
              <w:pStyle w:val="TableText"/>
            </w:pPr>
            <w:r w:rsidRPr="00604C0B">
              <w:t>Inclusion: RCT published as full report; pharmaceutical intervention.</w:t>
            </w:r>
          </w:p>
        </w:tc>
        <w:tc>
          <w:tcPr>
            <w:tcW w:w="2675" w:type="dxa"/>
            <w:gridSpan w:val="2"/>
          </w:tcPr>
          <w:p w:rsidR="006938EF" w:rsidRPr="00604C0B" w:rsidRDefault="006938EF" w:rsidP="00DF1D1C">
            <w:pPr>
              <w:pStyle w:val="TableText"/>
            </w:pPr>
            <w:r w:rsidRPr="00604C0B">
              <w:t>RCT level</w:t>
            </w:r>
          </w:p>
          <w:p w:rsidR="006938EF" w:rsidRPr="00604C0B" w:rsidRDefault="006938EF" w:rsidP="00DF1D1C">
            <w:pPr>
              <w:pStyle w:val="TableText"/>
            </w:pPr>
          </w:p>
          <w:p w:rsidR="006938EF" w:rsidRPr="00604C0B" w:rsidRDefault="006938EF" w:rsidP="00DF1D1C">
            <w:pPr>
              <w:pStyle w:val="TableText"/>
            </w:pPr>
            <w:r w:rsidRPr="00604C0B">
              <w:t xml:space="preserve">100 RCTs (convenience sample) </w:t>
            </w:r>
          </w:p>
          <w:p w:rsidR="006938EF" w:rsidRPr="00604C0B" w:rsidRDefault="006938EF" w:rsidP="00DF1D1C">
            <w:pPr>
              <w:pStyle w:val="TableText"/>
            </w:pPr>
          </w:p>
          <w:p w:rsidR="006938EF" w:rsidRPr="00604C0B" w:rsidRDefault="006938EF" w:rsidP="00DF1D1C">
            <w:pPr>
              <w:pStyle w:val="TableText"/>
            </w:pPr>
            <w:r w:rsidRPr="00604C0B">
              <w:t>Search: Hand search of 1/99-10/00 issues of 5 high-impact medical journals (Annals; BMJ; JAMA, Lancet; NEJM) until 20 articles found in a journal.</w:t>
            </w:r>
          </w:p>
        </w:tc>
      </w:tr>
      <w:tr w:rsidR="006938EF" w:rsidRPr="00604C0B" w:rsidTr="00DF1D1C">
        <w:tblPrEx>
          <w:tblCellMar>
            <w:left w:w="29" w:type="dxa"/>
            <w:right w:w="29" w:type="dxa"/>
          </w:tblCellMar>
        </w:tblPrEx>
        <w:trPr>
          <w:gridBefore w:val="1"/>
          <w:wBefore w:w="79" w:type="dxa"/>
        </w:trPr>
        <w:tc>
          <w:tcPr>
            <w:tcW w:w="1413" w:type="dxa"/>
            <w:gridSpan w:val="2"/>
          </w:tcPr>
          <w:p w:rsidR="006938EF" w:rsidRPr="00604C0B" w:rsidRDefault="006938EF" w:rsidP="00DF1D1C">
            <w:pPr>
              <w:pStyle w:val="TableText"/>
            </w:pPr>
            <w:r w:rsidRPr="00604C0B">
              <w:t>Sterne et al., 2002</w:t>
            </w:r>
            <w:r w:rsidRPr="00A1095B">
              <w:rPr>
                <w:rFonts w:ascii="Times New Roman" w:hAnsi="Times New Roman"/>
                <w:noProof/>
                <w:vertAlign w:val="superscript"/>
              </w:rPr>
              <w:t>11</w:t>
            </w:r>
          </w:p>
        </w:tc>
        <w:tc>
          <w:tcPr>
            <w:tcW w:w="2890" w:type="dxa"/>
            <w:gridSpan w:val="2"/>
          </w:tcPr>
          <w:p w:rsidR="006938EF" w:rsidRPr="00604C0B" w:rsidRDefault="006938EF" w:rsidP="00DF1D1C">
            <w:pPr>
              <w:pStyle w:val="TableText"/>
            </w:pPr>
            <w:r w:rsidRPr="00604C0B">
              <w:t xml:space="preserve">Goal: To compare methods for assessing the influence of trial characteristics on estimated </w:t>
            </w:r>
            <w:proofErr w:type="spellStart"/>
            <w:r w:rsidRPr="00604C0B">
              <w:t>tx</w:t>
            </w:r>
            <w:proofErr w:type="spellEnd"/>
            <w:r w:rsidRPr="00604C0B">
              <w:t xml:space="preserve"> effects in data sets containing collections of MAs: (1) fixed effects logistic regression, (2) a meta-analytic approach that combines separate logistic regressions, and </w:t>
            </w:r>
          </w:p>
          <w:p w:rsidR="006938EF" w:rsidRPr="00604C0B" w:rsidRDefault="006938EF" w:rsidP="00DF1D1C">
            <w:pPr>
              <w:pStyle w:val="TableText"/>
            </w:pPr>
            <w:r w:rsidRPr="00604C0B">
              <w:t>(3) meta-regression approach</w:t>
            </w:r>
          </w:p>
          <w:p w:rsidR="006938EF" w:rsidRPr="00604C0B" w:rsidRDefault="006938EF" w:rsidP="00DF1D1C">
            <w:pPr>
              <w:pStyle w:val="TableText"/>
            </w:pPr>
          </w:p>
          <w:p w:rsidR="006938EF" w:rsidRPr="00604C0B" w:rsidRDefault="006938EF" w:rsidP="00DF1D1C">
            <w:pPr>
              <w:pStyle w:val="TableText"/>
            </w:pPr>
            <w:r w:rsidRPr="00604C0B">
              <w:t xml:space="preserve">Controls for biases: </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Double-blinding</w:t>
            </w:r>
          </w:p>
        </w:tc>
        <w:tc>
          <w:tcPr>
            <w:tcW w:w="3106" w:type="dxa"/>
          </w:tcPr>
          <w:p w:rsidR="006938EF" w:rsidRPr="00604C0B" w:rsidRDefault="006938EF" w:rsidP="00DF1D1C">
            <w:pPr>
              <w:pStyle w:val="TableText"/>
            </w:pPr>
            <w:r w:rsidRPr="00604C0B">
              <w:t>Conditions and Outcomes</w:t>
            </w:r>
            <w:r>
              <w:t>: See Schul</w:t>
            </w:r>
            <w:r w:rsidRPr="00604C0B">
              <w:t>z et al., 1995</w:t>
            </w:r>
            <w:r w:rsidRPr="003D12BE">
              <w:rPr>
                <w:rFonts w:ascii="Times New Roman" w:hAnsi="Times New Roman"/>
                <w:noProof/>
                <w:vertAlign w:val="superscript"/>
              </w:rPr>
              <w:t>1</w:t>
            </w:r>
            <w:r w:rsidRPr="00604C0B">
              <w:t xml:space="preserve"> description</w:t>
            </w:r>
          </w:p>
        </w:tc>
        <w:tc>
          <w:tcPr>
            <w:tcW w:w="2933" w:type="dxa"/>
          </w:tcPr>
          <w:p w:rsidR="006938EF" w:rsidRPr="00604C0B" w:rsidRDefault="006938EF" w:rsidP="00DF1D1C">
            <w:pPr>
              <w:pStyle w:val="TableText"/>
            </w:pPr>
            <w:r>
              <w:t>Re-analysis of Schul</w:t>
            </w:r>
            <w:r w:rsidRPr="00604C0B">
              <w:t>z et al. (1995)</w:t>
            </w:r>
            <w:r w:rsidRPr="003D12BE">
              <w:rPr>
                <w:rFonts w:ascii="Times New Roman" w:hAnsi="Times New Roman"/>
                <w:noProof/>
                <w:vertAlign w:val="superscript"/>
              </w:rPr>
              <w:t>1</w:t>
            </w:r>
            <w:r w:rsidRPr="00604C0B">
              <w:t xml:space="preserve"> database</w:t>
            </w:r>
          </w:p>
        </w:tc>
        <w:tc>
          <w:tcPr>
            <w:tcW w:w="2675" w:type="dxa"/>
            <w:gridSpan w:val="2"/>
          </w:tcPr>
          <w:p w:rsidR="006938EF" w:rsidRPr="00DB6B51" w:rsidRDefault="006938EF" w:rsidP="00DF1D1C">
            <w:pPr>
              <w:pStyle w:val="TableText"/>
              <w:rPr>
                <w:lang w:val="it-IT"/>
              </w:rPr>
            </w:pPr>
            <w:r w:rsidRPr="00DB6B51">
              <w:rPr>
                <w:lang w:val="it-IT"/>
              </w:rPr>
              <w:t>MA level</w:t>
            </w:r>
          </w:p>
          <w:p w:rsidR="006938EF" w:rsidRPr="00DB6B51" w:rsidRDefault="006938EF" w:rsidP="00DF1D1C">
            <w:pPr>
              <w:pStyle w:val="TableText"/>
              <w:rPr>
                <w:lang w:val="it-IT"/>
              </w:rPr>
            </w:pPr>
          </w:p>
          <w:p w:rsidR="006938EF" w:rsidRPr="00DB6B51" w:rsidRDefault="006938EF" w:rsidP="00DF1D1C">
            <w:pPr>
              <w:pStyle w:val="TableText"/>
              <w:rPr>
                <w:lang w:val="it-IT"/>
              </w:rPr>
            </w:pPr>
            <w:r w:rsidRPr="00DB6B51">
              <w:rPr>
                <w:lang w:val="it-IT"/>
              </w:rPr>
              <w:t>33 MA, data from 250 trials</w:t>
            </w:r>
          </w:p>
          <w:p w:rsidR="006938EF" w:rsidRPr="00DB6B51" w:rsidRDefault="006938EF" w:rsidP="00DF1D1C">
            <w:pPr>
              <w:pStyle w:val="TableText"/>
              <w:rPr>
                <w:lang w:val="it-IT"/>
              </w:rPr>
            </w:pPr>
          </w:p>
          <w:p w:rsidR="006938EF" w:rsidRPr="00604C0B" w:rsidRDefault="006938EF" w:rsidP="00DF1D1C">
            <w:pPr>
              <w:pStyle w:val="TableText"/>
            </w:pPr>
            <w:r>
              <w:t>Search: As per Schul</w:t>
            </w:r>
            <w:r w:rsidRPr="00604C0B">
              <w:t>z et al. (1995).</w:t>
            </w:r>
            <w:r w:rsidRPr="003D12BE">
              <w:rPr>
                <w:rFonts w:ascii="Times New Roman" w:hAnsi="Times New Roman"/>
                <w:noProof/>
                <w:vertAlign w:val="superscript"/>
              </w:rPr>
              <w:t>1</w:t>
            </w:r>
            <w:r w:rsidRPr="00604C0B">
              <w:t xml:space="preserve"> </w:t>
            </w:r>
          </w:p>
          <w:p w:rsidR="006938EF" w:rsidRPr="00604C0B" w:rsidRDefault="006938EF" w:rsidP="00DF1D1C">
            <w:pPr>
              <w:pStyle w:val="TableText"/>
            </w:pPr>
          </w:p>
        </w:tc>
      </w:tr>
      <w:tr w:rsidR="006938EF" w:rsidRPr="00604C0B" w:rsidTr="00DF1D1C">
        <w:tblPrEx>
          <w:tblCellMar>
            <w:left w:w="29" w:type="dxa"/>
            <w:right w:w="29" w:type="dxa"/>
          </w:tblCellMar>
        </w:tblPrEx>
        <w:trPr>
          <w:gridBefore w:val="1"/>
          <w:wBefore w:w="79" w:type="dxa"/>
        </w:trPr>
        <w:tc>
          <w:tcPr>
            <w:tcW w:w="1413" w:type="dxa"/>
            <w:gridSpan w:val="2"/>
          </w:tcPr>
          <w:p w:rsidR="006938EF" w:rsidRPr="00604C0B" w:rsidRDefault="006938EF" w:rsidP="00DF1D1C">
            <w:pPr>
              <w:pStyle w:val="TableText"/>
            </w:pPr>
            <w:proofErr w:type="spellStart"/>
            <w:r w:rsidRPr="00604C0B">
              <w:t>Als</w:t>
            </w:r>
            <w:proofErr w:type="spellEnd"/>
            <w:r w:rsidRPr="00604C0B">
              <w:t>-Nielsen et al., 2003</w:t>
            </w:r>
            <w:r w:rsidRPr="00A1095B">
              <w:rPr>
                <w:rFonts w:ascii="Times New Roman" w:hAnsi="Times New Roman"/>
                <w:noProof/>
                <w:vertAlign w:val="superscript"/>
              </w:rPr>
              <w:t>12</w:t>
            </w:r>
          </w:p>
        </w:tc>
        <w:tc>
          <w:tcPr>
            <w:tcW w:w="2890" w:type="dxa"/>
            <w:gridSpan w:val="2"/>
          </w:tcPr>
          <w:p w:rsidR="006938EF" w:rsidRPr="00604C0B" w:rsidRDefault="006938EF" w:rsidP="00DF1D1C">
            <w:pPr>
              <w:pStyle w:val="TableText"/>
            </w:pPr>
            <w:r w:rsidRPr="00604C0B">
              <w:t xml:space="preserve">Goal: To examine whether an association between funding and conclusions in randomized drug trials. Also, to explore the impact of methodological quality, type of control intervention, trial size, year of publication, or publication in high-impact journals on this association. </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6938EF">
            <w:pPr>
              <w:pStyle w:val="ListParagraph"/>
              <w:numPr>
                <w:ilvl w:val="0"/>
                <w:numId w:val="20"/>
              </w:numPr>
              <w:rPr>
                <w:rFonts w:ascii="Arial" w:eastAsia="Calibri" w:hAnsi="Arial" w:cs="Arial"/>
                <w:szCs w:val="18"/>
              </w:rPr>
            </w:pPr>
            <w:r w:rsidRPr="00604C0B">
              <w:rPr>
                <w:rFonts w:ascii="Arial" w:eastAsia="Calibri" w:hAnsi="Arial" w:cs="Arial"/>
                <w:szCs w:val="18"/>
              </w:rPr>
              <w:t xml:space="preserve">Double blinding </w:t>
            </w:r>
          </w:p>
        </w:tc>
        <w:tc>
          <w:tcPr>
            <w:tcW w:w="3106" w:type="dxa"/>
          </w:tcPr>
          <w:p w:rsidR="006938EF" w:rsidRPr="00604C0B" w:rsidRDefault="006938EF" w:rsidP="00DF1D1C">
            <w:pPr>
              <w:pStyle w:val="TableText"/>
            </w:pPr>
            <w:r w:rsidRPr="00604C0B">
              <w:t xml:space="preserve">Conditions: intensive care, smoking cessation, respiratory disease, </w:t>
            </w:r>
            <w:proofErr w:type="spellStart"/>
            <w:r w:rsidRPr="00604C0B">
              <w:t>ob</w:t>
            </w:r>
            <w:proofErr w:type="spellEnd"/>
            <w:r w:rsidRPr="00604C0B">
              <w:t>/</w:t>
            </w:r>
            <w:proofErr w:type="spellStart"/>
            <w:r w:rsidRPr="00604C0B">
              <w:t>gyn</w:t>
            </w:r>
            <w:proofErr w:type="spellEnd"/>
            <w:r w:rsidRPr="00604C0B">
              <w:t>, gastroenterology, neurology, psychiatry, infectious disease,  rheumatology, nephrology, dermatology</w:t>
            </w:r>
          </w:p>
        </w:tc>
        <w:tc>
          <w:tcPr>
            <w:tcW w:w="2933" w:type="dxa"/>
          </w:tcPr>
          <w:p w:rsidR="006938EF" w:rsidRPr="00604C0B" w:rsidRDefault="006938EF" w:rsidP="00DF1D1C">
            <w:pPr>
              <w:pStyle w:val="TableText"/>
            </w:pPr>
            <w:r w:rsidRPr="00604C0B">
              <w:t>Include: all RCTs in eligible meta-analyses from a random sample of Cochrane reviews obtained in May 2001</w:t>
            </w:r>
          </w:p>
        </w:tc>
        <w:tc>
          <w:tcPr>
            <w:tcW w:w="2675" w:type="dxa"/>
            <w:gridSpan w:val="2"/>
          </w:tcPr>
          <w:p w:rsidR="006938EF" w:rsidRPr="00604C0B" w:rsidRDefault="006938EF" w:rsidP="00DF1D1C">
            <w:pPr>
              <w:pStyle w:val="TableText"/>
            </w:pPr>
            <w:r w:rsidRPr="00604C0B">
              <w:t>RCT level</w:t>
            </w:r>
          </w:p>
          <w:p w:rsidR="006938EF" w:rsidRPr="00604C0B" w:rsidRDefault="006938EF" w:rsidP="00DF1D1C">
            <w:pPr>
              <w:pStyle w:val="TableText"/>
            </w:pPr>
          </w:p>
          <w:p w:rsidR="006938EF" w:rsidRPr="00604C0B" w:rsidRDefault="006938EF" w:rsidP="00DF1D1C">
            <w:pPr>
              <w:pStyle w:val="TableText"/>
            </w:pPr>
            <w:r w:rsidRPr="00604C0B">
              <w:t>370 RCTs in 25 MA</w:t>
            </w:r>
          </w:p>
          <w:p w:rsidR="006938EF" w:rsidRPr="00604C0B" w:rsidRDefault="006938EF" w:rsidP="00DF1D1C">
            <w:pPr>
              <w:pStyle w:val="TableText"/>
            </w:pPr>
          </w:p>
          <w:p w:rsidR="006938EF" w:rsidRPr="00604C0B" w:rsidRDefault="006938EF" w:rsidP="00DF1D1C">
            <w:pPr>
              <w:pStyle w:val="TableText"/>
            </w:pPr>
            <w:r w:rsidRPr="00604C0B">
              <w:t>Source: Cochrane reviews obtained in May 2001</w:t>
            </w:r>
          </w:p>
          <w:p w:rsidR="006938EF" w:rsidRPr="00604C0B" w:rsidRDefault="006938EF" w:rsidP="00DF1D1C">
            <w:pPr>
              <w:pStyle w:val="TableText"/>
            </w:pPr>
          </w:p>
          <w:p w:rsidR="006938EF" w:rsidRPr="00604C0B" w:rsidRDefault="006938EF" w:rsidP="00DF1D1C">
            <w:pPr>
              <w:pStyle w:val="TableText"/>
            </w:pPr>
          </w:p>
        </w:tc>
      </w:tr>
    </w:tbl>
    <w:p w:rsidR="006938EF" w:rsidRPr="00604C0B" w:rsidRDefault="006938EF" w:rsidP="00DF1D1C"/>
    <w:p w:rsidR="006938EF" w:rsidRPr="00604C0B" w:rsidRDefault="006938EF" w:rsidP="00DF1D1C">
      <w:r w:rsidRPr="00604C0B">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Look w:val="04A0" w:firstRow="1" w:lastRow="0" w:firstColumn="1" w:lastColumn="0" w:noHBand="0" w:noVBand="1"/>
      </w:tblPr>
      <w:tblGrid>
        <w:gridCol w:w="79"/>
        <w:gridCol w:w="1341"/>
        <w:gridCol w:w="71"/>
        <w:gridCol w:w="2829"/>
        <w:gridCol w:w="44"/>
        <w:gridCol w:w="3081"/>
        <w:gridCol w:w="2956"/>
        <w:gridCol w:w="2697"/>
        <w:gridCol w:w="78"/>
      </w:tblGrid>
      <w:tr w:rsidR="006938EF" w:rsidRPr="00604C0B" w:rsidTr="00DF1D1C">
        <w:trPr>
          <w:gridAfter w:val="1"/>
          <w:cnfStyle w:val="100000000000" w:firstRow="1" w:lastRow="0" w:firstColumn="0" w:lastColumn="0" w:oddVBand="0" w:evenVBand="0" w:oddHBand="0" w:evenHBand="0" w:firstRowFirstColumn="0" w:firstRowLastColumn="0" w:lastRowFirstColumn="0" w:lastRowLastColumn="0"/>
          <w:wAfter w:w="79" w:type="dxa"/>
          <w:tblHeader/>
        </w:trPr>
        <w:tc>
          <w:tcPr>
            <w:tcW w:w="1421" w:type="dxa"/>
            <w:gridSpan w:val="2"/>
            <w:vAlign w:val="bottom"/>
          </w:tcPr>
          <w:p w:rsidR="006938EF" w:rsidRPr="00604C0B" w:rsidRDefault="006938EF" w:rsidP="00DF1D1C">
            <w:pPr>
              <w:pStyle w:val="TableText"/>
            </w:pPr>
            <w:r w:rsidRPr="00604C0B">
              <w:t>Study Identification</w:t>
            </w:r>
          </w:p>
        </w:tc>
        <w:tc>
          <w:tcPr>
            <w:tcW w:w="2917" w:type="dxa"/>
            <w:gridSpan w:val="2"/>
            <w:vAlign w:val="bottom"/>
          </w:tcPr>
          <w:p w:rsidR="006938EF" w:rsidRPr="00604C0B" w:rsidRDefault="006938EF" w:rsidP="00DF1D1C">
            <w:pPr>
              <w:pStyle w:val="TableText"/>
            </w:pPr>
            <w:r w:rsidRPr="00604C0B">
              <w:t>Goal of Study/Approach to Controlling for Biases in Study Conduct</w:t>
            </w:r>
          </w:p>
        </w:tc>
        <w:tc>
          <w:tcPr>
            <w:tcW w:w="3150" w:type="dxa"/>
            <w:gridSpan w:val="2"/>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970" w:type="dxa"/>
            <w:vAlign w:val="bottom"/>
          </w:tcPr>
          <w:p w:rsidR="006938EF" w:rsidRPr="00604C0B" w:rsidRDefault="006938EF" w:rsidP="00DF1D1C">
            <w:pPr>
              <w:pStyle w:val="TableText"/>
            </w:pPr>
            <w:r w:rsidRPr="00604C0B">
              <w:t>Inclusion/Exclusion Criteria</w:t>
            </w:r>
          </w:p>
        </w:tc>
        <w:tc>
          <w:tcPr>
            <w:tcW w:w="2718" w:type="dxa"/>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blPrEx>
          <w:tblCellMar>
            <w:left w:w="29" w:type="dxa"/>
            <w:right w:w="29" w:type="dxa"/>
          </w:tblCellMar>
        </w:tblPrEx>
        <w:trPr>
          <w:gridBefore w:val="1"/>
          <w:wBefore w:w="79" w:type="dxa"/>
        </w:trPr>
        <w:tc>
          <w:tcPr>
            <w:tcW w:w="1413" w:type="dxa"/>
            <w:gridSpan w:val="2"/>
          </w:tcPr>
          <w:p w:rsidR="006938EF" w:rsidRPr="00604C0B" w:rsidRDefault="006938EF" w:rsidP="00DF1D1C">
            <w:pPr>
              <w:pStyle w:val="TableText"/>
            </w:pPr>
            <w:r w:rsidRPr="00604C0B">
              <w:t>Egger et al.,2003</w:t>
            </w:r>
            <w:r w:rsidRPr="006327AA">
              <w:rPr>
                <w:rFonts w:ascii="Times New Roman" w:hAnsi="Times New Roman"/>
                <w:noProof/>
                <w:vertAlign w:val="superscript"/>
              </w:rPr>
              <w:t>13</w:t>
            </w:r>
          </w:p>
        </w:tc>
        <w:tc>
          <w:tcPr>
            <w:tcW w:w="2890" w:type="dxa"/>
            <w:gridSpan w:val="2"/>
          </w:tcPr>
          <w:p w:rsidR="006938EF" w:rsidRPr="00604C0B" w:rsidRDefault="006938EF" w:rsidP="00DF1D1C">
            <w:pPr>
              <w:pStyle w:val="TableText"/>
            </w:pPr>
            <w:r w:rsidRPr="00604C0B">
              <w:t>Goal: To compare within MAs the characteristics of trials that are difficult to locate (unpublished, published in languages other than English, published in journals not indexed in MEDLINE database), and of lower quality and to assess the impact of excluding trials from pooled effect estimates, based on these characteristics.</w:t>
            </w:r>
          </w:p>
          <w:p w:rsidR="006938EF" w:rsidRPr="00604C0B" w:rsidRDefault="006938EF" w:rsidP="00DF1D1C">
            <w:pPr>
              <w:pStyle w:val="TableText"/>
            </w:pPr>
          </w:p>
          <w:p w:rsidR="006938EF" w:rsidRPr="00604C0B" w:rsidRDefault="006938EF" w:rsidP="00DF1D1C">
            <w:pPr>
              <w:pStyle w:val="TableText"/>
            </w:pPr>
            <w:r w:rsidRPr="00604C0B">
              <w:t>Controls for biases:</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Double blinding</w:t>
            </w:r>
          </w:p>
        </w:tc>
        <w:tc>
          <w:tcPr>
            <w:tcW w:w="3106" w:type="dxa"/>
          </w:tcPr>
          <w:p w:rsidR="006938EF" w:rsidRPr="00604C0B" w:rsidRDefault="006938EF" w:rsidP="00DF1D1C">
            <w:pPr>
              <w:pStyle w:val="TableText"/>
            </w:pPr>
            <w:r w:rsidRPr="00604C0B">
              <w:t>Conditions: therapeutic or preventive interventions.</w:t>
            </w:r>
          </w:p>
          <w:p w:rsidR="006938EF" w:rsidRPr="00604C0B" w:rsidRDefault="006938EF" w:rsidP="00DF1D1C">
            <w:pPr>
              <w:pStyle w:val="TableText"/>
            </w:pPr>
          </w:p>
          <w:p w:rsidR="006938EF" w:rsidRPr="00604C0B" w:rsidRDefault="006938EF" w:rsidP="00DF1D1C">
            <w:pPr>
              <w:pStyle w:val="TableText"/>
            </w:pPr>
            <w:r w:rsidRPr="00604C0B">
              <w:t xml:space="preserve">Outcomes: binary, specifics: NR  </w:t>
            </w:r>
          </w:p>
        </w:tc>
        <w:tc>
          <w:tcPr>
            <w:tcW w:w="2933" w:type="dxa"/>
          </w:tcPr>
          <w:p w:rsidR="006938EF" w:rsidRPr="00604C0B" w:rsidRDefault="006938EF" w:rsidP="00DF1D1C">
            <w:pPr>
              <w:pStyle w:val="TableText"/>
            </w:pPr>
            <w:r w:rsidRPr="00604C0B">
              <w:t xml:space="preserve">Exclude: MAs that did not have quality information or showed no differences in quality between included RCTs; unpublished, and non-English RCTs. </w:t>
            </w:r>
          </w:p>
        </w:tc>
        <w:tc>
          <w:tcPr>
            <w:tcW w:w="2675" w:type="dxa"/>
            <w:gridSpan w:val="2"/>
          </w:tcPr>
          <w:p w:rsidR="006938EF" w:rsidRPr="00604C0B" w:rsidRDefault="006938EF" w:rsidP="00DF1D1C">
            <w:pPr>
              <w:pStyle w:val="TableText"/>
            </w:pPr>
            <w:r w:rsidRPr="00604C0B">
              <w:t>MA level</w:t>
            </w:r>
          </w:p>
          <w:p w:rsidR="006938EF" w:rsidRPr="00604C0B" w:rsidRDefault="006938EF" w:rsidP="00DF1D1C">
            <w:pPr>
              <w:pStyle w:val="TableText"/>
            </w:pPr>
          </w:p>
          <w:p w:rsidR="006938EF" w:rsidRPr="00604C0B" w:rsidRDefault="006938EF" w:rsidP="00DF1D1C">
            <w:pPr>
              <w:pStyle w:val="TableText"/>
            </w:pPr>
            <w:r w:rsidRPr="00604C0B">
              <w:t>Allocation concealment: 39 MA, (304 trials) Blinding: 22 MA (399 trials)</w:t>
            </w:r>
          </w:p>
          <w:p w:rsidR="006938EF" w:rsidRPr="00604C0B" w:rsidRDefault="006938EF" w:rsidP="00DF1D1C">
            <w:pPr>
              <w:pStyle w:val="TableText"/>
            </w:pPr>
          </w:p>
          <w:p w:rsidR="006938EF" w:rsidRPr="00604C0B" w:rsidRDefault="006938EF" w:rsidP="00DF1D1C">
            <w:pPr>
              <w:pStyle w:val="TableText"/>
            </w:pPr>
            <w:r w:rsidRPr="00604C0B">
              <w:t xml:space="preserve">Search: </w:t>
            </w:r>
            <w:r w:rsidRPr="00604C0B">
              <w:rPr>
                <w:rFonts w:asciiTheme="minorBidi" w:eastAsiaTheme="minorHAnsi" w:hAnsiTheme="minorBidi"/>
              </w:rPr>
              <w:t xml:space="preserve">Issue 1 of Cochrane Database of SRs (1998), SRs included in Database of Abstracts of Reviews of Effectiveness (1994-1998), </w:t>
            </w:r>
            <w:proofErr w:type="spellStart"/>
            <w:r w:rsidRPr="00604C0B">
              <w:rPr>
                <w:rFonts w:asciiTheme="minorBidi" w:eastAsiaTheme="minorHAnsi" w:hAnsiTheme="minorBidi"/>
              </w:rPr>
              <w:t>handsearch</w:t>
            </w:r>
            <w:proofErr w:type="spellEnd"/>
            <w:r w:rsidRPr="00604C0B">
              <w:rPr>
                <w:rFonts w:asciiTheme="minorBidi" w:eastAsiaTheme="minorHAnsi" w:hAnsiTheme="minorBidi"/>
              </w:rPr>
              <w:t xml:space="preserve">: </w:t>
            </w:r>
            <w:r w:rsidRPr="00604C0B">
              <w:rPr>
                <w:rFonts w:asciiTheme="minorBidi" w:eastAsiaTheme="minorHAnsi" w:hAnsiTheme="minorBidi"/>
                <w:i/>
                <w:iCs/>
              </w:rPr>
              <w:t xml:space="preserve">Health Technology Assessment </w:t>
            </w:r>
            <w:r w:rsidRPr="00604C0B">
              <w:rPr>
                <w:rFonts w:asciiTheme="minorBidi" w:eastAsiaTheme="minorHAnsi" w:hAnsiTheme="minorBidi"/>
              </w:rPr>
              <w:t>and 8 medical journals that regularly publish SRs (1994-1998).</w:t>
            </w:r>
          </w:p>
        </w:tc>
      </w:tr>
      <w:tr w:rsidR="006938EF" w:rsidRPr="00604C0B" w:rsidTr="00DF1D1C">
        <w:tblPrEx>
          <w:tblCellMar>
            <w:left w:w="29" w:type="dxa"/>
            <w:right w:w="29" w:type="dxa"/>
          </w:tblCellMar>
        </w:tblPrEx>
        <w:trPr>
          <w:gridBefore w:val="1"/>
          <w:wBefore w:w="79" w:type="dxa"/>
        </w:trPr>
        <w:tc>
          <w:tcPr>
            <w:tcW w:w="1413" w:type="dxa"/>
            <w:gridSpan w:val="2"/>
          </w:tcPr>
          <w:p w:rsidR="006938EF" w:rsidRPr="003D12BE" w:rsidRDefault="006938EF" w:rsidP="00DF1D1C">
            <w:pPr>
              <w:pStyle w:val="TableText"/>
            </w:pPr>
            <w:r w:rsidRPr="00604C0B">
              <w:t>Chan et al., 2004</w:t>
            </w:r>
            <w:r w:rsidRPr="006327AA">
              <w:rPr>
                <w:rFonts w:ascii="Times New Roman" w:hAnsi="Times New Roman"/>
                <w:noProof/>
                <w:vertAlign w:val="superscript"/>
              </w:rPr>
              <w:t>14</w:t>
            </w:r>
          </w:p>
        </w:tc>
        <w:tc>
          <w:tcPr>
            <w:tcW w:w="2890" w:type="dxa"/>
            <w:gridSpan w:val="2"/>
          </w:tcPr>
          <w:p w:rsidR="006938EF" w:rsidRPr="00604C0B" w:rsidRDefault="006938EF" w:rsidP="00DF1D1C">
            <w:pPr>
              <w:pStyle w:val="TableText"/>
            </w:pPr>
            <w:r w:rsidRPr="00604C0B">
              <w:t>Goal: To study empirically the extent and nature of outcome reporting bias in a cohort of RCTs. The odds of having statistically sig results if the results were fully or partially reported compared with results that were qualitatively reported or unreported.</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DF1D1C">
            <w:pPr>
              <w:pStyle w:val="TableTextBullet"/>
            </w:pPr>
            <w:r w:rsidRPr="00604C0B">
              <w:t>Selective outcome reporting</w:t>
            </w:r>
          </w:p>
        </w:tc>
        <w:tc>
          <w:tcPr>
            <w:tcW w:w="3106" w:type="dxa"/>
          </w:tcPr>
          <w:p w:rsidR="006938EF" w:rsidRPr="00604C0B" w:rsidRDefault="006938EF" w:rsidP="00DF1D1C">
            <w:pPr>
              <w:pStyle w:val="TableText"/>
            </w:pPr>
            <w:r w:rsidRPr="00604C0B">
              <w:t>Condition: NR</w:t>
            </w:r>
          </w:p>
          <w:p w:rsidR="006938EF" w:rsidRPr="00604C0B" w:rsidRDefault="006938EF" w:rsidP="00DF1D1C">
            <w:pPr>
              <w:pStyle w:val="TableText"/>
            </w:pPr>
            <w:r w:rsidRPr="00604C0B">
              <w:t>Outcomes:  N=2175 for efficacy and N=605 for harms</w:t>
            </w:r>
          </w:p>
          <w:p w:rsidR="006938EF" w:rsidRPr="00604C0B" w:rsidRDefault="006938EF" w:rsidP="00DF1D1C">
            <w:pPr>
              <w:pStyle w:val="TableText"/>
            </w:pPr>
          </w:p>
        </w:tc>
        <w:tc>
          <w:tcPr>
            <w:tcW w:w="2933" w:type="dxa"/>
          </w:tcPr>
          <w:p w:rsidR="006938EF" w:rsidRPr="00604C0B" w:rsidRDefault="006938EF" w:rsidP="00DF1D1C">
            <w:pPr>
              <w:pStyle w:val="TableText"/>
            </w:pPr>
            <w:r w:rsidRPr="00604C0B">
              <w:t xml:space="preserve">Include: Completed RCTs  with at least 1 published result; outcomes compared between protocol and publication and statistical sig for missing outcome sought from </w:t>
            </w:r>
            <w:proofErr w:type="spellStart"/>
            <w:r w:rsidRPr="00604C0B">
              <w:t>trialists</w:t>
            </w:r>
            <w:proofErr w:type="spellEnd"/>
            <w:r w:rsidRPr="00604C0B">
              <w:t xml:space="preserve"> by survey</w:t>
            </w:r>
          </w:p>
          <w:p w:rsidR="006938EF" w:rsidRPr="00604C0B" w:rsidRDefault="006938EF" w:rsidP="00DF1D1C">
            <w:pPr>
              <w:pStyle w:val="TableText"/>
            </w:pPr>
            <w:r w:rsidRPr="00604C0B">
              <w:t>Exclude: if entire rows or columns for trial were empty in a 2x2 table of statistical sig (N of outcomes with p&lt;0.5</w:t>
            </w:r>
            <w:r>
              <w:t xml:space="preserve"> vs. </w:t>
            </w:r>
            <w:r w:rsidRPr="00604C0B">
              <w:t>p&gt;=0.05) with reporting (fully or partially/qualitatively or unreported)</w:t>
            </w:r>
          </w:p>
        </w:tc>
        <w:tc>
          <w:tcPr>
            <w:tcW w:w="2675" w:type="dxa"/>
            <w:gridSpan w:val="2"/>
          </w:tcPr>
          <w:p w:rsidR="006938EF" w:rsidRPr="00604C0B" w:rsidRDefault="006938EF" w:rsidP="00DF1D1C">
            <w:pPr>
              <w:pStyle w:val="TableText"/>
            </w:pPr>
            <w:r w:rsidRPr="00604C0B">
              <w:t>RCT level</w:t>
            </w:r>
          </w:p>
          <w:p w:rsidR="006938EF" w:rsidRPr="00604C0B" w:rsidRDefault="006938EF" w:rsidP="00DF1D1C">
            <w:pPr>
              <w:pStyle w:val="TableText"/>
            </w:pPr>
            <w:r w:rsidRPr="00604C0B">
              <w:t>(based on comparisons of individual trials and protocols)</w:t>
            </w:r>
          </w:p>
          <w:p w:rsidR="006938EF" w:rsidRPr="00604C0B" w:rsidRDefault="006938EF" w:rsidP="00DF1D1C">
            <w:pPr>
              <w:pStyle w:val="TableText"/>
            </w:pPr>
          </w:p>
          <w:p w:rsidR="006938EF" w:rsidRPr="00604C0B" w:rsidRDefault="006938EF" w:rsidP="00DF1D1C">
            <w:pPr>
              <w:pStyle w:val="TableText"/>
            </w:pPr>
            <w:r w:rsidRPr="00604C0B">
              <w:t>35 trials for efficacy</w:t>
            </w:r>
          </w:p>
          <w:p w:rsidR="006938EF" w:rsidRPr="00604C0B" w:rsidRDefault="006938EF" w:rsidP="00DF1D1C">
            <w:pPr>
              <w:pStyle w:val="TableText"/>
            </w:pPr>
            <w:r w:rsidRPr="00604C0B">
              <w:t>15 trials for harms</w:t>
            </w:r>
          </w:p>
          <w:p w:rsidR="006938EF" w:rsidRPr="00604C0B" w:rsidRDefault="006938EF" w:rsidP="00DF1D1C">
            <w:pPr>
              <w:pStyle w:val="TableText"/>
            </w:pPr>
          </w:p>
          <w:p w:rsidR="006938EF" w:rsidRPr="00604C0B" w:rsidRDefault="006938EF" w:rsidP="00DF1D1C">
            <w:pPr>
              <w:pStyle w:val="TableText"/>
            </w:pPr>
            <w:r w:rsidRPr="00604C0B">
              <w:t>Sources:</w:t>
            </w:r>
          </w:p>
          <w:p w:rsidR="006938EF" w:rsidRPr="00604C0B" w:rsidRDefault="006938EF" w:rsidP="00DF1D1C">
            <w:pPr>
              <w:pStyle w:val="TableText"/>
            </w:pPr>
            <w:r w:rsidRPr="00604C0B">
              <w:t>PubMed, EMBASE and Cochrane Controlled Trials Register using investigator names and keywords (final search January 2003) protocols for RCTs that were approved for funding (1990-1998) by the Canadian Institutes of Health or the Medical Research Council of Canada</w:t>
            </w:r>
          </w:p>
        </w:tc>
      </w:tr>
    </w:tbl>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c>
          <w:tcPr>
            <w:tcW w:w="1414" w:type="dxa"/>
            <w:gridSpan w:val="2"/>
          </w:tcPr>
          <w:p w:rsidR="006938EF" w:rsidRPr="00604C0B" w:rsidRDefault="006938EF" w:rsidP="00DF1D1C">
            <w:pPr>
              <w:pStyle w:val="TableText"/>
            </w:pPr>
            <w:r w:rsidRPr="00604C0B">
              <w:t>Chan et al., 2004</w:t>
            </w:r>
            <w:r w:rsidRPr="006327AA">
              <w:rPr>
                <w:rFonts w:ascii="Times New Roman" w:hAnsi="Times New Roman"/>
                <w:noProof/>
                <w:vertAlign w:val="superscript"/>
              </w:rPr>
              <w:t>15</w:t>
            </w:r>
          </w:p>
        </w:tc>
        <w:tc>
          <w:tcPr>
            <w:tcW w:w="2846" w:type="dxa"/>
          </w:tcPr>
          <w:p w:rsidR="006938EF" w:rsidRPr="00604C0B" w:rsidRDefault="006938EF" w:rsidP="00DF1D1C">
            <w:pPr>
              <w:pStyle w:val="TableText"/>
            </w:pPr>
            <w:r w:rsidRPr="00604C0B">
              <w:t xml:space="preserve">Goal: To study empirically the extent and nature of outcome reporting bias in a cohort of RCTs </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DF1D1C">
            <w:pPr>
              <w:pStyle w:val="TableTextBullet"/>
            </w:pPr>
            <w:r w:rsidRPr="00604C0B">
              <w:t>Selective outcome reporting</w:t>
            </w:r>
          </w:p>
        </w:tc>
        <w:tc>
          <w:tcPr>
            <w:tcW w:w="3067" w:type="dxa"/>
          </w:tcPr>
          <w:p w:rsidR="006938EF" w:rsidRPr="00604C0B" w:rsidRDefault="006938EF" w:rsidP="00DF1D1C">
            <w:pPr>
              <w:pStyle w:val="TableText"/>
            </w:pPr>
            <w:r w:rsidRPr="00604C0B">
              <w:t>Condition: NR</w:t>
            </w:r>
          </w:p>
          <w:p w:rsidR="006938EF" w:rsidRPr="00604C0B" w:rsidRDefault="006938EF" w:rsidP="00DF1D1C">
            <w:pPr>
              <w:pStyle w:val="TableText"/>
            </w:pPr>
            <w:r w:rsidRPr="00604C0B">
              <w:t xml:space="preserve">Outcome: </w:t>
            </w:r>
            <w:r>
              <w:t>N=</w:t>
            </w:r>
            <w:r w:rsidRPr="00604C0B">
              <w:t xml:space="preserve">1039 efficacy and </w:t>
            </w:r>
            <w:r>
              <w:t>N=</w:t>
            </w:r>
            <w:r w:rsidRPr="00604C0B">
              <w:t xml:space="preserve">145 </w:t>
            </w:r>
            <w:r>
              <w:t>for harms</w:t>
            </w:r>
            <w:r w:rsidRPr="00604C0B">
              <w:t>.</w:t>
            </w:r>
          </w:p>
        </w:tc>
        <w:tc>
          <w:tcPr>
            <w:tcW w:w="2899" w:type="dxa"/>
          </w:tcPr>
          <w:p w:rsidR="006938EF" w:rsidRPr="00604C0B" w:rsidRDefault="006938EF" w:rsidP="00DF1D1C">
            <w:pPr>
              <w:pStyle w:val="TableText"/>
            </w:pPr>
            <w:r w:rsidRPr="00604C0B">
              <w:t xml:space="preserve">Include: Completed RCTs  with available protocol and at least 1 published result </w:t>
            </w:r>
          </w:p>
          <w:p w:rsidR="006938EF" w:rsidRPr="00604C0B" w:rsidRDefault="006938EF" w:rsidP="00DF1D1C">
            <w:pPr>
              <w:pStyle w:val="TableText"/>
            </w:pPr>
            <w:r w:rsidRPr="00604C0B">
              <w:t>Exclude: if entire rows or columns for trial were empty in a 2x2 table of statistical sig (N of outcomes with p&lt;0.5</w:t>
            </w:r>
            <w:r>
              <w:t xml:space="preserve"> vs. </w:t>
            </w:r>
            <w:r w:rsidRPr="00604C0B">
              <w:t>p&gt;=0.05) with reporting (fully or partially/qualitatively or unreported)</w:t>
            </w:r>
          </w:p>
        </w:tc>
        <w:tc>
          <w:tcPr>
            <w:tcW w:w="2792" w:type="dxa"/>
            <w:gridSpan w:val="2"/>
          </w:tcPr>
          <w:p w:rsidR="006938EF" w:rsidRPr="00604C0B" w:rsidRDefault="006938EF" w:rsidP="00DF1D1C">
            <w:pPr>
              <w:pStyle w:val="TableText"/>
            </w:pPr>
            <w:r w:rsidRPr="00604C0B">
              <w:t>RCT level (comparisons of published studies and protocols)</w:t>
            </w:r>
          </w:p>
          <w:p w:rsidR="006938EF" w:rsidRPr="00604C0B" w:rsidRDefault="006938EF" w:rsidP="00DF1D1C">
            <w:pPr>
              <w:pStyle w:val="TableText"/>
            </w:pPr>
          </w:p>
          <w:p w:rsidR="006938EF" w:rsidRPr="00604C0B" w:rsidRDefault="006938EF" w:rsidP="00DF1D1C">
            <w:pPr>
              <w:pStyle w:val="TableText"/>
            </w:pPr>
            <w:r w:rsidRPr="00604C0B">
              <w:t xml:space="preserve">30 trials for efficacy, </w:t>
            </w:r>
          </w:p>
          <w:p w:rsidR="006938EF" w:rsidRPr="00604C0B" w:rsidRDefault="006938EF" w:rsidP="00DF1D1C">
            <w:pPr>
              <w:pStyle w:val="TableText"/>
            </w:pPr>
            <w:r w:rsidRPr="00604C0B">
              <w:t>4 trials for harms</w:t>
            </w:r>
          </w:p>
          <w:p w:rsidR="006938EF" w:rsidRPr="00604C0B" w:rsidRDefault="006938EF" w:rsidP="00DF1D1C">
            <w:pPr>
              <w:pStyle w:val="TableText"/>
            </w:pPr>
          </w:p>
          <w:p w:rsidR="006938EF" w:rsidRPr="00604C0B" w:rsidRDefault="006938EF" w:rsidP="00DF1D1C">
            <w:pPr>
              <w:pStyle w:val="TableText"/>
            </w:pPr>
            <w:r w:rsidRPr="00604C0B">
              <w:t xml:space="preserve">Sources: PubMed, EMBASE and Cochrane Trials Register using investigator names and keywords (final search in January 2003) for protocols </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Kyzas</w:t>
            </w:r>
            <w:proofErr w:type="spellEnd"/>
            <w:r w:rsidRPr="00604C0B">
              <w:t xml:space="preserve"> et al., 2005</w:t>
            </w:r>
            <w:r w:rsidRPr="006327AA">
              <w:rPr>
                <w:rFonts w:ascii="Times New Roman" w:hAnsi="Times New Roman"/>
                <w:noProof/>
                <w:vertAlign w:val="superscript"/>
              </w:rPr>
              <w:t>16</w:t>
            </w:r>
          </w:p>
        </w:tc>
        <w:tc>
          <w:tcPr>
            <w:tcW w:w="2854" w:type="dxa"/>
            <w:gridSpan w:val="2"/>
          </w:tcPr>
          <w:p w:rsidR="006938EF" w:rsidRPr="00604C0B" w:rsidRDefault="006938EF" w:rsidP="00DF1D1C">
            <w:pPr>
              <w:pStyle w:val="TableText"/>
            </w:pPr>
            <w:r w:rsidRPr="00604C0B">
              <w:t>Goal: To assemble empirical evidence on the importance of selective reporting biases for prognostic evidence in malignant diseases</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Outcome reporting</w:t>
            </w:r>
          </w:p>
          <w:p w:rsidR="006938EF" w:rsidRPr="00604C0B" w:rsidRDefault="006938EF" w:rsidP="00DF1D1C">
            <w:pPr>
              <w:pStyle w:val="TableTextBullet"/>
            </w:pPr>
            <w:r w:rsidRPr="00604C0B">
              <w:t>Blinding</w:t>
            </w:r>
          </w:p>
        </w:tc>
        <w:tc>
          <w:tcPr>
            <w:tcW w:w="3067" w:type="dxa"/>
          </w:tcPr>
          <w:p w:rsidR="006938EF" w:rsidRPr="00604C0B" w:rsidRDefault="006938EF" w:rsidP="00DF1D1C">
            <w:pPr>
              <w:pStyle w:val="TableText"/>
            </w:pPr>
            <w:r w:rsidRPr="00604C0B">
              <w:t xml:space="preserve">Condition: Association between the tumor suppressor protein TP53 and head and neck squamous cell cancer (HNSCC), </w:t>
            </w:r>
          </w:p>
          <w:p w:rsidR="006938EF" w:rsidRPr="00604C0B" w:rsidRDefault="006938EF" w:rsidP="00DF1D1C">
            <w:pPr>
              <w:pStyle w:val="TableText"/>
            </w:pPr>
          </w:p>
          <w:p w:rsidR="006938EF" w:rsidRPr="00604C0B" w:rsidRDefault="006938EF" w:rsidP="00DF1D1C">
            <w:pPr>
              <w:pStyle w:val="TableText"/>
            </w:pPr>
            <w:r w:rsidRPr="00604C0B">
              <w:t xml:space="preserve">Outcome: </w:t>
            </w:r>
            <w:proofErr w:type="spellStart"/>
            <w:r w:rsidRPr="00604C0B">
              <w:t>all cause</w:t>
            </w:r>
            <w:proofErr w:type="spellEnd"/>
            <w:r w:rsidRPr="00604C0B">
              <w:t xml:space="preserve"> mortality and lymph node status</w:t>
            </w:r>
          </w:p>
        </w:tc>
        <w:tc>
          <w:tcPr>
            <w:tcW w:w="2899" w:type="dxa"/>
          </w:tcPr>
          <w:p w:rsidR="006938EF" w:rsidRPr="00604C0B" w:rsidRDefault="006938EF" w:rsidP="00DF1D1C">
            <w:pPr>
              <w:pStyle w:val="TableText"/>
            </w:pPr>
            <w:r w:rsidRPr="00604C0B">
              <w:t>Inclusion: All English language MAs that examined potential prognostic factors for any malignancy and their association with mortality.</w:t>
            </w:r>
          </w:p>
        </w:tc>
        <w:tc>
          <w:tcPr>
            <w:tcW w:w="2637" w:type="dxa"/>
          </w:tcPr>
          <w:p w:rsidR="006938EF" w:rsidRPr="00604C0B" w:rsidRDefault="006938EF" w:rsidP="00DF1D1C">
            <w:pPr>
              <w:pStyle w:val="TableText"/>
            </w:pPr>
            <w:r w:rsidRPr="00604C0B">
              <w:t>Trial level</w:t>
            </w:r>
          </w:p>
          <w:p w:rsidR="006938EF" w:rsidRPr="00604C0B" w:rsidRDefault="006938EF" w:rsidP="00DF1D1C">
            <w:pPr>
              <w:pStyle w:val="TableText"/>
            </w:pPr>
            <w:r w:rsidRPr="00604C0B">
              <w:t>42 trials</w:t>
            </w:r>
          </w:p>
          <w:p w:rsidR="006938EF" w:rsidRPr="00604C0B" w:rsidRDefault="006938EF" w:rsidP="00DF1D1C">
            <w:pPr>
              <w:pStyle w:val="TableText"/>
            </w:pPr>
          </w:p>
          <w:p w:rsidR="006938EF" w:rsidRPr="00604C0B" w:rsidRDefault="006938EF" w:rsidP="00DF1D1C">
            <w:pPr>
              <w:pStyle w:val="TableText"/>
            </w:pPr>
            <w:r w:rsidRPr="00604C0B">
              <w:t>Sources:</w:t>
            </w:r>
          </w:p>
          <w:p w:rsidR="006938EF" w:rsidRPr="00604C0B" w:rsidRDefault="006938EF" w:rsidP="00DF1D1C">
            <w:pPr>
              <w:pStyle w:val="TableText"/>
            </w:pPr>
            <w:r w:rsidRPr="00604C0B">
              <w:t>PubMed and EMBASE</w:t>
            </w:r>
          </w:p>
        </w:tc>
      </w:tr>
      <w:tr w:rsidR="006938EF" w:rsidRPr="00604C0B" w:rsidTr="00DF1D1C">
        <w:trPr>
          <w:gridAfter w:val="1"/>
          <w:wAfter w:w="155" w:type="dxa"/>
        </w:trPr>
        <w:tc>
          <w:tcPr>
            <w:tcW w:w="1406" w:type="dxa"/>
          </w:tcPr>
          <w:p w:rsidR="006938EF" w:rsidRPr="00604C0B" w:rsidRDefault="006938EF" w:rsidP="00DF1D1C">
            <w:pPr>
              <w:rPr>
                <w:rFonts w:eastAsia="Calibri" w:cs="Arial"/>
                <w:szCs w:val="18"/>
              </w:rPr>
            </w:pPr>
            <w:r w:rsidRPr="00604C0B">
              <w:rPr>
                <w:rFonts w:eastAsia="Calibri" w:cs="Arial"/>
                <w:szCs w:val="18"/>
              </w:rPr>
              <w:t>Tierney et al., 2004</w:t>
            </w:r>
            <w:r w:rsidRPr="006327AA">
              <w:rPr>
                <w:rFonts w:ascii="Times New Roman" w:eastAsia="Calibri" w:hAnsi="Times New Roman"/>
                <w:noProof/>
                <w:szCs w:val="18"/>
                <w:vertAlign w:val="superscript"/>
              </w:rPr>
              <w:t>17</w:t>
            </w:r>
          </w:p>
        </w:tc>
        <w:tc>
          <w:tcPr>
            <w:tcW w:w="2854" w:type="dxa"/>
            <w:gridSpan w:val="2"/>
          </w:tcPr>
          <w:p w:rsidR="006938EF" w:rsidRPr="00604C0B" w:rsidRDefault="006938EF" w:rsidP="00DF1D1C">
            <w:pPr>
              <w:pStyle w:val="TableText"/>
            </w:pPr>
            <w:r w:rsidRPr="00604C0B">
              <w:t>Goal: To investigate how excluding patients from RCTs can affect the results of trials and MAs</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DF1D1C">
            <w:pPr>
              <w:pStyle w:val="TableTextBullet"/>
            </w:pPr>
            <w:r w:rsidRPr="00604C0B">
              <w:t>Attrition (ITT</w:t>
            </w:r>
            <w:r>
              <w:t xml:space="preserve"> vs. </w:t>
            </w:r>
            <w:r w:rsidRPr="00604C0B">
              <w:t>not)</w:t>
            </w:r>
          </w:p>
        </w:tc>
        <w:tc>
          <w:tcPr>
            <w:tcW w:w="3067" w:type="dxa"/>
          </w:tcPr>
          <w:p w:rsidR="006938EF" w:rsidRPr="00604C0B" w:rsidRDefault="006938EF" w:rsidP="00DF1D1C">
            <w:pPr>
              <w:pStyle w:val="TableText"/>
            </w:pPr>
            <w:r w:rsidRPr="00604C0B">
              <w:t>Condition: Cancer (bladder, brain, lung, esophagus, ovary, lung, and soft tissue sarcoma)</w:t>
            </w:r>
          </w:p>
          <w:p w:rsidR="006938EF" w:rsidRPr="00604C0B" w:rsidRDefault="006938EF" w:rsidP="00DF1D1C">
            <w:pPr>
              <w:pStyle w:val="TableText"/>
            </w:pPr>
          </w:p>
          <w:p w:rsidR="006938EF" w:rsidRPr="00604C0B" w:rsidRDefault="006938EF" w:rsidP="00DF1D1C">
            <w:pPr>
              <w:pStyle w:val="TableText"/>
            </w:pPr>
            <w:r w:rsidRPr="00604C0B">
              <w:t>Outcome: survival</w:t>
            </w:r>
          </w:p>
          <w:p w:rsidR="006938EF" w:rsidRPr="00604C0B" w:rsidRDefault="006938EF" w:rsidP="00DF1D1C">
            <w:pPr>
              <w:pStyle w:val="TableText"/>
            </w:pPr>
          </w:p>
        </w:tc>
        <w:tc>
          <w:tcPr>
            <w:tcW w:w="2899" w:type="dxa"/>
          </w:tcPr>
          <w:p w:rsidR="006938EF" w:rsidRPr="00604C0B" w:rsidRDefault="006938EF" w:rsidP="00DF1D1C">
            <w:pPr>
              <w:pStyle w:val="TableText"/>
            </w:pPr>
            <w:r w:rsidRPr="00604C0B">
              <w:t xml:space="preserve">Inclusion/Exclusion: No other details reported </w:t>
            </w:r>
          </w:p>
        </w:tc>
        <w:tc>
          <w:tcPr>
            <w:tcW w:w="2637" w:type="dxa"/>
          </w:tcPr>
          <w:p w:rsidR="006938EF" w:rsidRPr="00604C0B" w:rsidRDefault="006938EF" w:rsidP="00DF1D1C">
            <w:pPr>
              <w:pStyle w:val="TableText"/>
            </w:pPr>
            <w:r w:rsidRPr="00604C0B">
              <w:t>MA and trial level</w:t>
            </w:r>
          </w:p>
          <w:p w:rsidR="006938EF" w:rsidRPr="00604C0B" w:rsidRDefault="006938EF" w:rsidP="00DF1D1C">
            <w:pPr>
              <w:pStyle w:val="TableText"/>
            </w:pPr>
          </w:p>
          <w:p w:rsidR="006938EF" w:rsidRPr="00604C0B" w:rsidRDefault="006938EF" w:rsidP="00DF1D1C">
            <w:pPr>
              <w:pStyle w:val="TableText"/>
            </w:pPr>
            <w:r w:rsidRPr="00604C0B">
              <w:t xml:space="preserve">14 MA </w:t>
            </w:r>
          </w:p>
          <w:p w:rsidR="006938EF" w:rsidRPr="00604C0B" w:rsidRDefault="006938EF" w:rsidP="00DF1D1C">
            <w:pPr>
              <w:pStyle w:val="TableText"/>
            </w:pPr>
            <w:r w:rsidRPr="00604C0B">
              <w:t>92 RCTs with at least one patient exclusion (21905 patients)</w:t>
            </w:r>
          </w:p>
          <w:p w:rsidR="006938EF" w:rsidRPr="00604C0B" w:rsidRDefault="006938EF" w:rsidP="00DF1D1C">
            <w:pPr>
              <w:pStyle w:val="TableText"/>
            </w:pPr>
            <w:r w:rsidRPr="00604C0B">
              <w:t xml:space="preserve"> </w:t>
            </w:r>
          </w:p>
          <w:p w:rsidR="006938EF" w:rsidRPr="00604C0B" w:rsidRDefault="006938EF" w:rsidP="00DF1D1C">
            <w:pPr>
              <w:pStyle w:val="TableText"/>
            </w:pPr>
            <w:r w:rsidRPr="00604C0B">
              <w:t xml:space="preserve">Sources: SRs and MAs of patient-level data from RCTs that addressed cancer therapies </w:t>
            </w:r>
          </w:p>
        </w:tc>
      </w:tr>
    </w:tbl>
    <w:p w:rsidR="006938EF" w:rsidRPr="00604C0B" w:rsidRDefault="006938EF" w:rsidP="00DF1D1C">
      <w:r w:rsidRPr="00604C0B">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Derry et al., 2006</w:t>
            </w:r>
            <w:r w:rsidRPr="006327AA">
              <w:rPr>
                <w:rFonts w:ascii="Times New Roman" w:hAnsi="Times New Roman"/>
                <w:noProof/>
                <w:vertAlign w:val="superscript"/>
              </w:rPr>
              <w:t>18</w:t>
            </w:r>
          </w:p>
        </w:tc>
        <w:tc>
          <w:tcPr>
            <w:tcW w:w="2854" w:type="dxa"/>
            <w:gridSpan w:val="2"/>
          </w:tcPr>
          <w:p w:rsidR="006938EF" w:rsidRPr="00604C0B" w:rsidRDefault="006938EF" w:rsidP="00DF1D1C">
            <w:pPr>
              <w:pStyle w:val="TableText"/>
            </w:pPr>
            <w:r w:rsidRPr="00604C0B">
              <w:t>Goal: To review the efficacy of SRs to accurately assess the evidence for acupuncture.</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6938EF">
            <w:pPr>
              <w:numPr>
                <w:ilvl w:val="0"/>
                <w:numId w:val="18"/>
              </w:numPr>
              <w:rPr>
                <w:rFonts w:eastAsia="Calibri" w:cs="Arial"/>
                <w:szCs w:val="18"/>
              </w:rPr>
            </w:pPr>
            <w:r w:rsidRPr="00604C0B">
              <w:rPr>
                <w:rFonts w:eastAsia="Calibri" w:cs="Arial"/>
                <w:szCs w:val="18"/>
              </w:rPr>
              <w:t>Randomization</w:t>
            </w:r>
          </w:p>
          <w:p w:rsidR="006938EF" w:rsidRPr="00604C0B" w:rsidRDefault="006938EF" w:rsidP="006938EF">
            <w:pPr>
              <w:numPr>
                <w:ilvl w:val="0"/>
                <w:numId w:val="18"/>
              </w:numPr>
              <w:rPr>
                <w:rFonts w:eastAsia="Calibri" w:cs="Arial"/>
                <w:szCs w:val="18"/>
              </w:rPr>
            </w:pPr>
            <w:r w:rsidRPr="00604C0B">
              <w:rPr>
                <w:rFonts w:eastAsia="Calibri" w:cs="Arial"/>
                <w:szCs w:val="18"/>
              </w:rPr>
              <w:t>Blinding</w:t>
            </w:r>
          </w:p>
        </w:tc>
        <w:tc>
          <w:tcPr>
            <w:tcW w:w="3067" w:type="dxa"/>
          </w:tcPr>
          <w:p w:rsidR="006938EF" w:rsidRPr="00604C0B" w:rsidRDefault="006938EF" w:rsidP="00DF1D1C">
            <w:pPr>
              <w:pStyle w:val="TableText"/>
            </w:pPr>
            <w:r w:rsidRPr="00604C0B">
              <w:t>Condition: those treated with acupuncture including various painful conditions (18 SRs), stroke (2 SRs), nausea and vomiting (2SRs), depression (2 SRs) and other including insomnia, smoking cessation, weight loss, and asthma (11 SRs)</w:t>
            </w:r>
          </w:p>
          <w:p w:rsidR="006938EF" w:rsidRPr="00604C0B" w:rsidRDefault="006938EF" w:rsidP="00DF1D1C">
            <w:pPr>
              <w:pStyle w:val="TableText"/>
            </w:pPr>
          </w:p>
          <w:p w:rsidR="006938EF" w:rsidRPr="00604C0B" w:rsidRDefault="006938EF" w:rsidP="00DF1D1C">
            <w:pPr>
              <w:pStyle w:val="TableText"/>
            </w:pPr>
            <w:r w:rsidRPr="00604C0B">
              <w:t>Outcomes: those relevant to topic area (e.g. patient pain scoring, number of headache-free days, long-term outcomes for chronic conditions)</w:t>
            </w:r>
          </w:p>
        </w:tc>
        <w:tc>
          <w:tcPr>
            <w:tcW w:w="2899" w:type="dxa"/>
          </w:tcPr>
          <w:p w:rsidR="006938EF" w:rsidRPr="00604C0B" w:rsidRDefault="006938EF" w:rsidP="00DF1D1C">
            <w:pPr>
              <w:pStyle w:val="TableText"/>
            </w:pPr>
            <w:r w:rsidRPr="00604C0B">
              <w:t>Inclusion: English, examining the efficacy of traditional Chinese or mechanical acupuncture, electro-acupuncture, laser acupuncture or acupressure, electrical nerve stimulation.</w:t>
            </w:r>
          </w:p>
          <w:p w:rsidR="006938EF" w:rsidRPr="00604C0B" w:rsidRDefault="006938EF" w:rsidP="00DF1D1C">
            <w:pPr>
              <w:pStyle w:val="TableText"/>
            </w:pPr>
            <w:r w:rsidRPr="00604C0B">
              <w:t>Exclusion: Transcutaneous or dry needling, reviews of adverse event from acupuncture.</w:t>
            </w:r>
          </w:p>
          <w:p w:rsidR="006938EF" w:rsidRPr="00604C0B" w:rsidRDefault="006938EF" w:rsidP="00DF1D1C">
            <w:pPr>
              <w:pStyle w:val="TableText"/>
            </w:pPr>
            <w:r w:rsidRPr="00604C0B">
              <w:t xml:space="preserve">Where one SR clearly updated a previous review, </w:t>
            </w:r>
            <w:r>
              <w:t>only the most recent was</w:t>
            </w:r>
            <w:r w:rsidRPr="00604C0B">
              <w:t xml:space="preserve"> used. If more than one SR covered same trials for the same outcome and indication, the most recent was included. </w:t>
            </w:r>
          </w:p>
        </w:tc>
        <w:tc>
          <w:tcPr>
            <w:tcW w:w="2637" w:type="dxa"/>
          </w:tcPr>
          <w:p w:rsidR="006938EF" w:rsidRPr="00604C0B" w:rsidRDefault="006938EF" w:rsidP="00DF1D1C">
            <w:pPr>
              <w:pStyle w:val="TableText"/>
            </w:pPr>
            <w:r w:rsidRPr="00604C0B">
              <w:t>SR level</w:t>
            </w:r>
          </w:p>
          <w:p w:rsidR="006938EF" w:rsidRPr="00604C0B" w:rsidRDefault="006938EF" w:rsidP="00DF1D1C">
            <w:pPr>
              <w:pStyle w:val="TableText"/>
            </w:pPr>
            <w:r w:rsidRPr="00604C0B">
              <w:t xml:space="preserve">35 SRs </w:t>
            </w:r>
          </w:p>
          <w:p w:rsidR="006938EF" w:rsidRPr="00604C0B" w:rsidRDefault="006938EF" w:rsidP="00DF1D1C">
            <w:pPr>
              <w:pStyle w:val="TableText"/>
            </w:pPr>
          </w:p>
          <w:p w:rsidR="006938EF" w:rsidRPr="00604C0B" w:rsidRDefault="006938EF" w:rsidP="00DF1D1C">
            <w:pPr>
              <w:pStyle w:val="TableText"/>
            </w:pPr>
            <w:r w:rsidRPr="00604C0B">
              <w:t>Sources: PubMed, AMED, Cochrane library of SRs of acupuncture for any conditions in humans, published 1/1996-8/2005 using terms 'acupuncture' and 'systematic review OR meta-analysis'.</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 xml:space="preserve">Furukawa et al., 2007 </w:t>
            </w:r>
            <w:r w:rsidRPr="00A1095B">
              <w:rPr>
                <w:rFonts w:ascii="Times New Roman" w:hAnsi="Times New Roman"/>
                <w:noProof/>
                <w:vertAlign w:val="superscript"/>
              </w:rPr>
              <w:t>19</w:t>
            </w:r>
          </w:p>
        </w:tc>
        <w:tc>
          <w:tcPr>
            <w:tcW w:w="2854" w:type="dxa"/>
            <w:gridSpan w:val="2"/>
          </w:tcPr>
          <w:p w:rsidR="006938EF" w:rsidRPr="00604C0B" w:rsidRDefault="006938EF" w:rsidP="00DF1D1C">
            <w:pPr>
              <w:pStyle w:val="TableText"/>
            </w:pPr>
            <w:r w:rsidRPr="00604C0B">
              <w:t xml:space="preserve">Goal: To evaluate the extent Cochrane MAs include only a proportion of identified RCTs when estimating </w:t>
            </w:r>
            <w:proofErr w:type="spellStart"/>
            <w:r w:rsidRPr="00604C0B">
              <w:t>tx</w:t>
            </w:r>
            <w:proofErr w:type="spellEnd"/>
            <w:r w:rsidRPr="00604C0B">
              <w:t xml:space="preserve"> effect and whether the proportion of RCTs included in a MA is associated with its pooled effect size</w:t>
            </w:r>
          </w:p>
        </w:tc>
        <w:tc>
          <w:tcPr>
            <w:tcW w:w="3067" w:type="dxa"/>
          </w:tcPr>
          <w:p w:rsidR="006938EF" w:rsidRPr="00604C0B" w:rsidRDefault="006938EF" w:rsidP="00DF1D1C">
            <w:pPr>
              <w:pStyle w:val="TableText"/>
            </w:pPr>
            <w:r w:rsidRPr="00604C0B">
              <w:t>Conditions: NS</w:t>
            </w:r>
          </w:p>
          <w:p w:rsidR="006938EF" w:rsidRPr="00604C0B" w:rsidRDefault="006938EF" w:rsidP="00DF1D1C">
            <w:pPr>
              <w:pStyle w:val="TableText"/>
            </w:pPr>
          </w:p>
          <w:p w:rsidR="006938EF" w:rsidRPr="00604C0B" w:rsidRDefault="006938EF" w:rsidP="00DF1D1C">
            <w:pPr>
              <w:pStyle w:val="TableText"/>
            </w:pPr>
            <w:r w:rsidRPr="00604C0B">
              <w:t>Outcomes: Primary but NS</w:t>
            </w:r>
          </w:p>
        </w:tc>
        <w:tc>
          <w:tcPr>
            <w:tcW w:w="2899" w:type="dxa"/>
          </w:tcPr>
          <w:p w:rsidR="006938EF" w:rsidRPr="00604C0B" w:rsidRDefault="006938EF" w:rsidP="00DF1D1C">
            <w:pPr>
              <w:pStyle w:val="TableText"/>
            </w:pPr>
            <w:r w:rsidRPr="00604C0B">
              <w:t>Inclusion: SRs with 10 or more RCTs from a set of 500 SRs selected by random-number generator from Issue 4 of the Cochrane Library 2005.</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156 trials</w:t>
            </w:r>
          </w:p>
          <w:p w:rsidR="006938EF" w:rsidRPr="00604C0B" w:rsidRDefault="006938EF" w:rsidP="00DF1D1C">
            <w:pPr>
              <w:pStyle w:val="TableText"/>
            </w:pPr>
          </w:p>
          <w:p w:rsidR="006938EF" w:rsidRPr="00604C0B" w:rsidRDefault="006938EF" w:rsidP="00DF1D1C">
            <w:pPr>
              <w:pStyle w:val="TableText"/>
            </w:pPr>
            <w:r w:rsidRPr="00604C0B">
              <w:t>Source: Cochrane Library, Issue 4 (2005)</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Pildal</w:t>
            </w:r>
            <w:proofErr w:type="spellEnd"/>
            <w:r w:rsidRPr="00604C0B">
              <w:t xml:space="preserve"> et al., 2007</w:t>
            </w:r>
            <w:r w:rsidRPr="006327AA">
              <w:rPr>
                <w:rFonts w:ascii="Times New Roman" w:hAnsi="Times New Roman"/>
                <w:noProof/>
                <w:vertAlign w:val="superscript"/>
              </w:rPr>
              <w:t>20</w:t>
            </w:r>
          </w:p>
        </w:tc>
        <w:tc>
          <w:tcPr>
            <w:tcW w:w="2854" w:type="dxa"/>
            <w:gridSpan w:val="2"/>
          </w:tcPr>
          <w:p w:rsidR="006938EF" w:rsidRPr="00604C0B" w:rsidRDefault="006938EF" w:rsidP="00DF1D1C">
            <w:pPr>
              <w:pStyle w:val="TableText"/>
            </w:pPr>
            <w:r w:rsidRPr="00604C0B">
              <w:t>Goal: To estimate the fraction of conclusions based on statistically significant results in MAs that would no longer be supported if only trials with reported adequate allocation concealment were included, and to assess the impact of absence</w:t>
            </w:r>
            <w:r>
              <w:t xml:space="preserve"> vs. </w:t>
            </w:r>
            <w:r w:rsidRPr="00604C0B">
              <w:t>presence of reported adequate allocation concealment on the effect estimates of trials.</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E36025">
            <w:pPr>
              <w:pStyle w:val="TableTextBullet"/>
            </w:pPr>
            <w:r w:rsidRPr="00604C0B">
              <w:t>Allocation concealment</w:t>
            </w:r>
          </w:p>
          <w:p w:rsidR="006938EF" w:rsidRPr="00604C0B" w:rsidRDefault="006938EF" w:rsidP="00E36025">
            <w:pPr>
              <w:pStyle w:val="TableTextBullet"/>
            </w:pPr>
            <w:r w:rsidRPr="00604C0B">
              <w:t>Double blinding</w:t>
            </w:r>
          </w:p>
        </w:tc>
        <w:tc>
          <w:tcPr>
            <w:tcW w:w="3067" w:type="dxa"/>
          </w:tcPr>
          <w:p w:rsidR="006938EF" w:rsidRPr="00604C0B" w:rsidRDefault="006938EF" w:rsidP="00DF1D1C">
            <w:pPr>
              <w:pStyle w:val="TableText"/>
            </w:pPr>
            <w:r w:rsidRPr="00604C0B">
              <w:t>Conditions: NS</w:t>
            </w:r>
          </w:p>
          <w:p w:rsidR="006938EF" w:rsidRPr="00604C0B" w:rsidRDefault="006938EF" w:rsidP="00DF1D1C">
            <w:pPr>
              <w:pStyle w:val="TableText"/>
            </w:pPr>
          </w:p>
          <w:p w:rsidR="006938EF" w:rsidRPr="00604C0B" w:rsidRDefault="006938EF" w:rsidP="00DF1D1C">
            <w:pPr>
              <w:pStyle w:val="TableText"/>
            </w:pPr>
            <w:r w:rsidRPr="00604C0B">
              <w:t>Outcomes: NS</w:t>
            </w:r>
          </w:p>
        </w:tc>
        <w:tc>
          <w:tcPr>
            <w:tcW w:w="2899" w:type="dxa"/>
          </w:tcPr>
          <w:p w:rsidR="006938EF" w:rsidRPr="00604C0B" w:rsidRDefault="006938EF" w:rsidP="00DF1D1C">
            <w:pPr>
              <w:pStyle w:val="TableText"/>
            </w:pPr>
            <w:r w:rsidRPr="00604C0B">
              <w:t xml:space="preserve">Inclusion: SRs where authors concluded that one of assessed interventions was superior to the other and if this preference was supported by first statistically sig result of a MA reported in the abstract. </w:t>
            </w:r>
          </w:p>
          <w:p w:rsidR="006938EF" w:rsidRPr="00604C0B" w:rsidRDefault="006938EF" w:rsidP="00DF1D1C">
            <w:pPr>
              <w:pStyle w:val="TableText"/>
            </w:pPr>
            <w:r w:rsidRPr="00604C0B">
              <w:t xml:space="preserve">Exclusion: The first statistically sig result of a MA reported in the abstract was not for a binary outcome; substantial uncertainty concerning what authors of the SR perceived as experimental and conventional </w:t>
            </w:r>
            <w:proofErr w:type="spellStart"/>
            <w:r w:rsidRPr="00604C0B">
              <w:t>tx</w:t>
            </w:r>
            <w:proofErr w:type="spellEnd"/>
            <w:r w:rsidRPr="00604C0B">
              <w:t xml:space="preserve">, more than 40 trials in the first statistically sig MA reported in the abstract, genuine MA not performed; abstract of the SR stated that it was partly based on non-randomized trials; a mix of adequate and inadequate concealment </w:t>
            </w:r>
          </w:p>
        </w:tc>
        <w:tc>
          <w:tcPr>
            <w:tcW w:w="2637" w:type="dxa"/>
          </w:tcPr>
          <w:p w:rsidR="006938EF" w:rsidRPr="00604C0B" w:rsidRDefault="006938EF" w:rsidP="00DF1D1C">
            <w:pPr>
              <w:pStyle w:val="TableText"/>
            </w:pPr>
            <w:r w:rsidRPr="00604C0B">
              <w:t>MA level</w:t>
            </w:r>
          </w:p>
          <w:p w:rsidR="006938EF" w:rsidRPr="00604C0B" w:rsidRDefault="006938EF" w:rsidP="00DF1D1C">
            <w:pPr>
              <w:pStyle w:val="TableText"/>
            </w:pPr>
          </w:p>
          <w:p w:rsidR="006938EF" w:rsidRPr="00604C0B" w:rsidRDefault="006938EF" w:rsidP="00DF1D1C">
            <w:pPr>
              <w:pStyle w:val="TableText"/>
            </w:pPr>
            <w:r w:rsidRPr="00604C0B">
              <w:t>MA level</w:t>
            </w:r>
          </w:p>
          <w:p w:rsidR="006938EF" w:rsidRPr="00604C0B" w:rsidRDefault="006938EF" w:rsidP="00DF1D1C">
            <w:pPr>
              <w:pStyle w:val="TableText"/>
            </w:pPr>
            <w:r w:rsidRPr="00604C0B">
              <w:t xml:space="preserve">34 MA for allocation concealment (283 trials), 20 MA for blinding (182 trials) </w:t>
            </w:r>
          </w:p>
          <w:p w:rsidR="006938EF" w:rsidRPr="00604C0B" w:rsidRDefault="006938EF" w:rsidP="00DF1D1C">
            <w:pPr>
              <w:pStyle w:val="TableText"/>
            </w:pPr>
          </w:p>
          <w:p w:rsidR="006938EF" w:rsidRPr="00604C0B" w:rsidRDefault="006938EF" w:rsidP="00DF1D1C">
            <w:pPr>
              <w:pStyle w:val="TableText"/>
            </w:pPr>
            <w:r w:rsidRPr="00604C0B">
              <w:t>Sources: Cochrane Library, PubMed</w:t>
            </w:r>
          </w:p>
          <w:p w:rsidR="006938EF" w:rsidRPr="00604C0B" w:rsidRDefault="006938EF" w:rsidP="00DF1D1C">
            <w:pPr>
              <w:pStyle w:val="TableText"/>
            </w:pPr>
          </w:p>
          <w:p w:rsidR="006938EF" w:rsidRPr="00604C0B" w:rsidRDefault="006938EF" w:rsidP="00DF1D1C">
            <w:pPr>
              <w:pStyle w:val="TableText"/>
            </w:pPr>
          </w:p>
          <w:p w:rsidR="006938EF" w:rsidRPr="00604C0B" w:rsidRDefault="006938EF" w:rsidP="00DF1D1C">
            <w:pPr>
              <w:pStyle w:val="TableText"/>
            </w:pP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rPr>
                <w:rFonts w:asciiTheme="minorBidi" w:hAnsiTheme="minorBidi" w:cstheme="minorBidi"/>
              </w:rPr>
              <w:t>Siersma</w:t>
            </w:r>
            <w:proofErr w:type="spellEnd"/>
            <w:r w:rsidRPr="00604C0B">
              <w:rPr>
                <w:rFonts w:asciiTheme="minorBidi" w:hAnsiTheme="minorBidi" w:cstheme="minorBidi"/>
              </w:rPr>
              <w:t xml:space="preserve"> et al., 2007</w:t>
            </w:r>
            <w:r w:rsidRPr="00A1095B">
              <w:rPr>
                <w:rFonts w:ascii="Times New Roman" w:hAnsi="Times New Roman"/>
                <w:noProof/>
                <w:vertAlign w:val="superscript"/>
              </w:rPr>
              <w:t>21</w:t>
            </w:r>
          </w:p>
        </w:tc>
        <w:tc>
          <w:tcPr>
            <w:tcW w:w="2854" w:type="dxa"/>
            <w:gridSpan w:val="2"/>
          </w:tcPr>
          <w:p w:rsidR="006938EF" w:rsidRPr="00604C0B" w:rsidRDefault="006938EF" w:rsidP="00DF1D1C">
            <w:pPr>
              <w:pStyle w:val="TableText"/>
            </w:pPr>
            <w:r w:rsidRPr="00604C0B">
              <w:t>Goal: To investigate the properties of multivariable meta-epidemiological analyses based on logistic regression and weighted regression models.</w:t>
            </w:r>
          </w:p>
          <w:p w:rsidR="006938EF" w:rsidRPr="00604C0B" w:rsidRDefault="006938EF" w:rsidP="00DF1D1C">
            <w:pPr>
              <w:pStyle w:val="TableText"/>
            </w:pPr>
          </w:p>
          <w:p w:rsidR="006938EF" w:rsidRPr="00604C0B" w:rsidRDefault="006938EF" w:rsidP="00DF1D1C">
            <w:pPr>
              <w:pStyle w:val="TableText"/>
            </w:pPr>
            <w:r w:rsidRPr="00604C0B">
              <w:t xml:space="preserve">Biases examined: </w:t>
            </w:r>
          </w:p>
          <w:p w:rsidR="006938EF" w:rsidRPr="00604C0B" w:rsidRDefault="006938EF" w:rsidP="006938EF">
            <w:pPr>
              <w:pStyle w:val="ListParagraph"/>
              <w:numPr>
                <w:ilvl w:val="0"/>
                <w:numId w:val="13"/>
              </w:numPr>
              <w:rPr>
                <w:rFonts w:ascii="Arial" w:eastAsia="Calibri" w:hAnsi="Arial" w:cs="Arial"/>
                <w:szCs w:val="18"/>
              </w:rPr>
            </w:pPr>
            <w:r w:rsidRPr="00604C0B">
              <w:rPr>
                <w:rFonts w:ascii="Arial" w:eastAsia="Calibri" w:hAnsi="Arial" w:cs="Arial"/>
                <w:szCs w:val="18"/>
              </w:rPr>
              <w:t>Sequence generation,</w:t>
            </w:r>
          </w:p>
          <w:p w:rsidR="006938EF" w:rsidRPr="00604C0B" w:rsidRDefault="006938EF" w:rsidP="006938EF">
            <w:pPr>
              <w:pStyle w:val="ListParagraph"/>
              <w:numPr>
                <w:ilvl w:val="0"/>
                <w:numId w:val="13"/>
              </w:numPr>
              <w:rPr>
                <w:rFonts w:ascii="Arial" w:eastAsia="Calibri" w:hAnsi="Arial" w:cs="Arial"/>
                <w:szCs w:val="18"/>
              </w:rPr>
            </w:pPr>
            <w:r w:rsidRPr="00604C0B">
              <w:rPr>
                <w:rFonts w:ascii="Arial" w:eastAsia="Calibri" w:hAnsi="Arial" w:cs="Arial"/>
                <w:szCs w:val="18"/>
              </w:rPr>
              <w:t>allocation concealment,</w:t>
            </w:r>
          </w:p>
          <w:p w:rsidR="006938EF" w:rsidRPr="00604C0B" w:rsidRDefault="006938EF" w:rsidP="006938EF">
            <w:pPr>
              <w:pStyle w:val="ListParagraph"/>
              <w:numPr>
                <w:ilvl w:val="0"/>
                <w:numId w:val="13"/>
              </w:numPr>
              <w:rPr>
                <w:rFonts w:ascii="Arial" w:eastAsia="Calibri" w:hAnsi="Arial" w:cs="Arial"/>
                <w:szCs w:val="18"/>
              </w:rPr>
            </w:pPr>
            <w:r w:rsidRPr="00604C0B">
              <w:rPr>
                <w:rFonts w:ascii="Arial" w:eastAsia="Calibri" w:hAnsi="Arial" w:cs="Arial"/>
                <w:szCs w:val="18"/>
              </w:rPr>
              <w:t xml:space="preserve">double blinding, </w:t>
            </w:r>
          </w:p>
          <w:p w:rsidR="006938EF" w:rsidRPr="00604C0B" w:rsidRDefault="006938EF" w:rsidP="006938EF">
            <w:pPr>
              <w:pStyle w:val="ListParagraph"/>
              <w:numPr>
                <w:ilvl w:val="0"/>
                <w:numId w:val="13"/>
              </w:numPr>
              <w:rPr>
                <w:rFonts w:ascii="Arial" w:eastAsia="Calibri" w:hAnsi="Arial" w:cs="Arial"/>
                <w:szCs w:val="18"/>
              </w:rPr>
            </w:pPr>
            <w:r w:rsidRPr="00604C0B">
              <w:rPr>
                <w:rFonts w:ascii="Arial" w:eastAsia="Calibri" w:hAnsi="Arial" w:cs="Arial"/>
                <w:szCs w:val="18"/>
              </w:rPr>
              <w:t>intention-to-treat</w:t>
            </w:r>
          </w:p>
        </w:tc>
        <w:tc>
          <w:tcPr>
            <w:tcW w:w="3067" w:type="dxa"/>
          </w:tcPr>
          <w:p w:rsidR="006938EF" w:rsidRPr="00604C0B" w:rsidRDefault="006938EF" w:rsidP="00DF1D1C">
            <w:pPr>
              <w:pStyle w:val="TableText"/>
            </w:pPr>
            <w:r w:rsidRPr="00604C0B">
              <w:t>Conditions: NS</w:t>
            </w:r>
          </w:p>
          <w:p w:rsidR="006938EF" w:rsidRPr="00604C0B" w:rsidRDefault="006938EF" w:rsidP="00DF1D1C">
            <w:pPr>
              <w:pStyle w:val="TableText"/>
            </w:pPr>
            <w:r w:rsidRPr="00604C0B">
              <w:t>Outcomes: Primary binary but NS</w:t>
            </w:r>
          </w:p>
        </w:tc>
        <w:tc>
          <w:tcPr>
            <w:tcW w:w="2899" w:type="dxa"/>
          </w:tcPr>
          <w:p w:rsidR="006938EF" w:rsidRPr="00604C0B" w:rsidRDefault="006938EF" w:rsidP="00DF1D1C">
            <w:pPr>
              <w:pStyle w:val="TableText"/>
            </w:pPr>
            <w:r w:rsidRPr="00604C0B">
              <w:t>Inclusion: 167 SRs from the 1081 SRs published in The Cochrane Library selected by a computer-generated list of random numbers</w:t>
            </w:r>
          </w:p>
        </w:tc>
        <w:tc>
          <w:tcPr>
            <w:tcW w:w="2637" w:type="dxa"/>
          </w:tcPr>
          <w:p w:rsidR="006938EF" w:rsidRPr="00604C0B" w:rsidRDefault="006938EF" w:rsidP="00DF1D1C">
            <w:pPr>
              <w:pStyle w:val="TableText"/>
            </w:pPr>
            <w:r w:rsidRPr="00604C0B">
              <w:t>Trial level</w:t>
            </w:r>
          </w:p>
          <w:p w:rsidR="006938EF" w:rsidRPr="00604C0B" w:rsidRDefault="006938EF" w:rsidP="00DF1D1C">
            <w:pPr>
              <w:pStyle w:val="TableText"/>
            </w:pPr>
            <w:r w:rsidRPr="00604C0B">
              <w:t>523 RCTs included in 48 MA</w:t>
            </w:r>
          </w:p>
          <w:p w:rsidR="006938EF" w:rsidRPr="00604C0B" w:rsidRDefault="006938EF" w:rsidP="00DF1D1C">
            <w:pPr>
              <w:pStyle w:val="TableText"/>
            </w:pPr>
          </w:p>
          <w:p w:rsidR="006938EF" w:rsidRPr="00604C0B" w:rsidRDefault="006938EF" w:rsidP="00DF1D1C">
            <w:pPr>
              <w:pStyle w:val="TableText"/>
            </w:pPr>
            <w:r w:rsidRPr="00604C0B">
              <w:t>Source: Cochrane Library</w:t>
            </w:r>
          </w:p>
        </w:tc>
      </w:tr>
    </w:tbl>
    <w:p w:rsidR="006938EF" w:rsidRPr="00604C0B" w:rsidRDefault="006938EF" w:rsidP="00DF1D1C">
      <w:r w:rsidRPr="00604C0B">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Fenwick et al., 2008</w:t>
            </w:r>
            <w:r w:rsidRPr="006327AA">
              <w:rPr>
                <w:rFonts w:ascii="Times New Roman" w:hAnsi="Times New Roman"/>
                <w:noProof/>
                <w:vertAlign w:val="superscript"/>
              </w:rPr>
              <w:t>22</w:t>
            </w:r>
          </w:p>
        </w:tc>
        <w:tc>
          <w:tcPr>
            <w:tcW w:w="2854" w:type="dxa"/>
            <w:gridSpan w:val="2"/>
          </w:tcPr>
          <w:p w:rsidR="006938EF" w:rsidRPr="00604C0B" w:rsidRDefault="006938EF" w:rsidP="00DF1D1C">
            <w:pPr>
              <w:pStyle w:val="TableText"/>
            </w:pPr>
            <w:r w:rsidRPr="00604C0B">
              <w:t>Goal: To examine the impact of allocation concealment and assessor blinding on the size of clinical outcomes in periodontology</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Assessor blinding</w:t>
            </w:r>
          </w:p>
        </w:tc>
        <w:tc>
          <w:tcPr>
            <w:tcW w:w="3067" w:type="dxa"/>
          </w:tcPr>
          <w:p w:rsidR="006938EF" w:rsidRPr="00604C0B" w:rsidRDefault="006938EF" w:rsidP="00DF1D1C">
            <w:pPr>
              <w:pStyle w:val="TableText"/>
            </w:pPr>
            <w:r w:rsidRPr="00604C0B">
              <w:t>Condition: periodontology</w:t>
            </w:r>
          </w:p>
          <w:p w:rsidR="006938EF" w:rsidRPr="00604C0B" w:rsidRDefault="006938EF" w:rsidP="00DF1D1C">
            <w:pPr>
              <w:pStyle w:val="TableText"/>
            </w:pPr>
            <w:r w:rsidRPr="00604C0B">
              <w:t xml:space="preserve">Outcomes: probing depth,  and clinical or probing attachment level </w:t>
            </w:r>
          </w:p>
        </w:tc>
        <w:tc>
          <w:tcPr>
            <w:tcW w:w="2899" w:type="dxa"/>
          </w:tcPr>
          <w:p w:rsidR="006938EF" w:rsidRPr="00604C0B" w:rsidRDefault="006938EF" w:rsidP="00DF1D1C">
            <w:pPr>
              <w:pStyle w:val="TableText"/>
            </w:pPr>
            <w:r w:rsidRPr="00604C0B">
              <w:t>Inclusion: RCTs  published up to 1/2007, SRs with RCTs with outcomes of probing depth or clinical or probing attachment level, English language</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 xml:space="preserve">5 SRs (50 RCTs), 34 RCTs allocation concealment, 33 RCTs blinding </w:t>
            </w:r>
          </w:p>
          <w:p w:rsidR="006938EF" w:rsidRPr="00604C0B" w:rsidRDefault="006938EF" w:rsidP="00DF1D1C">
            <w:pPr>
              <w:pStyle w:val="TableText"/>
            </w:pPr>
          </w:p>
          <w:p w:rsidR="006938EF" w:rsidRPr="00604C0B" w:rsidRDefault="006938EF" w:rsidP="00DF1D1C">
            <w:pPr>
              <w:pStyle w:val="TableText"/>
            </w:pPr>
            <w:r>
              <w:t>Sources: Cochrane library</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Wood et al., 2008</w:t>
            </w:r>
            <w:r w:rsidRPr="006327AA">
              <w:rPr>
                <w:rFonts w:ascii="Times New Roman" w:hAnsi="Times New Roman"/>
                <w:noProof/>
                <w:vertAlign w:val="superscript"/>
              </w:rPr>
              <w:t>23</w:t>
            </w:r>
          </w:p>
        </w:tc>
        <w:tc>
          <w:tcPr>
            <w:tcW w:w="2854" w:type="dxa"/>
            <w:gridSpan w:val="2"/>
          </w:tcPr>
          <w:p w:rsidR="006938EF" w:rsidRPr="00604C0B" w:rsidRDefault="006938EF" w:rsidP="00DF1D1C">
            <w:pPr>
              <w:pStyle w:val="TableText"/>
            </w:pPr>
            <w:r w:rsidRPr="00604C0B">
              <w:t>Goal: To examine whether the association of inadequate or unclear allocation concealment and lack of blinding with biased estimates of intervention effects varies with the nature of the intervention or outcome (objective</w:t>
            </w:r>
            <w:r>
              <w:t xml:space="preserve"> vs. </w:t>
            </w:r>
            <w:r w:rsidRPr="00604C0B">
              <w:t>subjective measures)</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Blinding</w:t>
            </w:r>
          </w:p>
          <w:p w:rsidR="006938EF" w:rsidRPr="00604C0B" w:rsidRDefault="006938EF" w:rsidP="00DF1D1C">
            <w:pPr>
              <w:pStyle w:val="TableTextBullet"/>
            </w:pPr>
            <w:r w:rsidRPr="00604C0B">
              <w:t>Combination of the two</w:t>
            </w:r>
          </w:p>
        </w:tc>
        <w:tc>
          <w:tcPr>
            <w:tcW w:w="3067" w:type="dxa"/>
          </w:tcPr>
          <w:p w:rsidR="006938EF" w:rsidRPr="00604C0B" w:rsidRDefault="006938EF" w:rsidP="00DF1D1C">
            <w:pPr>
              <w:pStyle w:val="TableText"/>
            </w:pPr>
            <w:r w:rsidRPr="00604C0B">
              <w:t>Condition: varied</w:t>
            </w:r>
          </w:p>
          <w:p w:rsidR="006938EF" w:rsidRPr="00604C0B" w:rsidRDefault="006938EF" w:rsidP="00DF1D1C">
            <w:pPr>
              <w:pStyle w:val="TableText"/>
            </w:pPr>
            <w:r w:rsidRPr="00604C0B">
              <w:t xml:space="preserve">Outcomes: Objectively assessed: </w:t>
            </w:r>
            <w:proofErr w:type="spellStart"/>
            <w:r w:rsidRPr="00604C0B">
              <w:t>All cause</w:t>
            </w:r>
            <w:proofErr w:type="spellEnd"/>
            <w:r w:rsidRPr="00604C0B">
              <w:t xml:space="preserve"> mortality, Laboratory measurement including  surgical/instrumental (caesarean, instrumental delivery, epidural analgesia, manual removal of placenta), Other (birth weight, timing of delivery, hemorrhage or blood loss,  non-cephalic birth, continuing lactation one week after birth, deep venous thrombosis, live birth, failed delivery, episiotomy, retention in school grade) Subjectively assessed: patient reported outcomes, physician reported </w:t>
            </w:r>
          </w:p>
        </w:tc>
        <w:tc>
          <w:tcPr>
            <w:tcW w:w="2899" w:type="dxa"/>
          </w:tcPr>
          <w:p w:rsidR="006938EF" w:rsidRPr="00604C0B" w:rsidRDefault="006938EF" w:rsidP="00DF1D1C">
            <w:pPr>
              <w:pStyle w:val="TableText"/>
            </w:pPr>
            <w:r w:rsidRPr="00604C0B">
              <w:t>Data from 3 meta-</w:t>
            </w:r>
            <w:proofErr w:type="spellStart"/>
            <w:r w:rsidRPr="00604C0B">
              <w:t>epi</w:t>
            </w:r>
            <w:proofErr w:type="spellEnd"/>
            <w:r w:rsidRPr="00604C0B">
              <w:t xml:space="preserve"> studies:</w:t>
            </w:r>
          </w:p>
          <w:p w:rsidR="006938EF" w:rsidRPr="00604C0B" w:rsidRDefault="006938EF" w:rsidP="00DF1D1C">
            <w:pPr>
              <w:pStyle w:val="TableText"/>
            </w:pPr>
            <w:r w:rsidRPr="00604C0B">
              <w:t>Schulz et al</w:t>
            </w:r>
            <w:r>
              <w:t>, 1995:</w:t>
            </w:r>
            <w:r w:rsidRPr="00A1095B">
              <w:rPr>
                <w:rFonts w:ascii="Times New Roman" w:hAnsi="Times New Roman"/>
                <w:noProof/>
                <w:vertAlign w:val="superscript"/>
              </w:rPr>
              <w:t>24</w:t>
            </w:r>
            <w:r w:rsidRPr="00604C0B">
              <w:t xml:space="preserve"> 33 MA from Pregnancy and Childbirth Group of Cochrane. Each MA included at least 5 trials with a combined total of at least 25 outcome events</w:t>
            </w:r>
          </w:p>
          <w:p w:rsidR="006938EF" w:rsidRPr="00604C0B" w:rsidRDefault="006938EF" w:rsidP="00DF1D1C">
            <w:pPr>
              <w:pStyle w:val="TableText"/>
            </w:pPr>
            <w:proofErr w:type="spellStart"/>
            <w:r w:rsidRPr="00604C0B">
              <w:t>Kjaergard</w:t>
            </w:r>
            <w:proofErr w:type="spellEnd"/>
            <w:r w:rsidRPr="00604C0B">
              <w:t xml:space="preserve"> et al</w:t>
            </w:r>
            <w:r>
              <w:t>, 2001</w:t>
            </w:r>
            <w:r w:rsidRPr="00604C0B">
              <w:t>:</w:t>
            </w:r>
            <w:r w:rsidRPr="006327AA">
              <w:rPr>
                <w:rFonts w:ascii="Times New Roman" w:hAnsi="Times New Roman"/>
                <w:noProof/>
                <w:vertAlign w:val="superscript"/>
              </w:rPr>
              <w:t>8</w:t>
            </w:r>
            <w:r w:rsidRPr="00604C0B">
              <w:t xml:space="preserve"> 14 MA from 11 SRs, including at least 1 trial of at least 1000 participants</w:t>
            </w:r>
          </w:p>
          <w:p w:rsidR="006938EF" w:rsidRPr="00604C0B" w:rsidRDefault="006938EF" w:rsidP="00DF1D1C">
            <w:pPr>
              <w:pStyle w:val="TableText"/>
            </w:pPr>
            <w:r w:rsidRPr="00604C0B">
              <w:t>Egger et al</w:t>
            </w:r>
            <w:r>
              <w:t>., 2003</w:t>
            </w:r>
            <w:r w:rsidRPr="00604C0B">
              <w:t>:</w:t>
            </w:r>
            <w:r w:rsidRPr="006327AA">
              <w:rPr>
                <w:rFonts w:ascii="Times New Roman" w:hAnsi="Times New Roman"/>
                <w:noProof/>
                <w:vertAlign w:val="superscript"/>
              </w:rPr>
              <w:t>25</w:t>
            </w:r>
            <w:r w:rsidRPr="00604C0B">
              <w:t xml:space="preserve"> 122 MA from Cochrane Database of SRs that contained at least 5 randomized trials</w:t>
            </w:r>
          </w:p>
          <w:p w:rsidR="006938EF" w:rsidRPr="00604C0B" w:rsidRDefault="006938EF" w:rsidP="00DF1D1C">
            <w:pPr>
              <w:pStyle w:val="TableText"/>
            </w:pPr>
            <w:r w:rsidRPr="00604C0B">
              <w:t>Removed duplicate MA, retained trials that contributed to &gt;1 MA because had &gt;1 intervention arm or outcome.</w:t>
            </w:r>
          </w:p>
        </w:tc>
        <w:tc>
          <w:tcPr>
            <w:tcW w:w="2637" w:type="dxa"/>
          </w:tcPr>
          <w:p w:rsidR="006938EF" w:rsidRPr="00604C0B" w:rsidRDefault="006938EF" w:rsidP="00DF1D1C">
            <w:pPr>
              <w:pStyle w:val="TableText"/>
            </w:pPr>
            <w:r>
              <w:t>RCT level</w:t>
            </w:r>
          </w:p>
          <w:p w:rsidR="006938EF" w:rsidRPr="00604C0B" w:rsidRDefault="006938EF" w:rsidP="00DF1D1C">
            <w:pPr>
              <w:pStyle w:val="TableText"/>
            </w:pPr>
          </w:p>
          <w:p w:rsidR="006938EF" w:rsidRPr="00604C0B" w:rsidRDefault="006938EF" w:rsidP="00DF1D1C">
            <w:pPr>
              <w:pStyle w:val="TableText"/>
            </w:pPr>
            <w:r w:rsidRPr="00604C0B">
              <w:t>MA included: 146 of 169 eligible (1346 trials of 1615 eligible)</w:t>
            </w:r>
          </w:p>
          <w:p w:rsidR="006938EF" w:rsidRPr="00604C0B" w:rsidRDefault="006938EF" w:rsidP="00DF1D1C">
            <w:pPr>
              <w:pStyle w:val="TableText"/>
            </w:pPr>
            <w:r w:rsidRPr="00604C0B">
              <w:t>Allocation concealment: 102 MA (804 trials); Blinding: 76 MA (746 trials)</w:t>
            </w:r>
          </w:p>
          <w:p w:rsidR="006938EF" w:rsidRPr="00604C0B" w:rsidRDefault="006938EF" w:rsidP="00DF1D1C">
            <w:pPr>
              <w:pStyle w:val="TableText"/>
            </w:pPr>
          </w:p>
          <w:p w:rsidR="006938EF" w:rsidRPr="00604C0B" w:rsidRDefault="006938EF" w:rsidP="00DF1D1C">
            <w:pPr>
              <w:pStyle w:val="TableText"/>
            </w:pPr>
            <w:r w:rsidRPr="00604C0B">
              <w:t>Sources: Authors of previously published meta-epide</w:t>
            </w:r>
            <w:r>
              <w:t xml:space="preserve">miological studies: </w:t>
            </w:r>
            <w:r w:rsidRPr="00604C0B">
              <w:t>Schulz et al (1995):</w:t>
            </w:r>
            <w:r w:rsidRPr="00A1095B">
              <w:rPr>
                <w:rFonts w:ascii="Times New Roman" w:hAnsi="Times New Roman"/>
                <w:noProof/>
                <w:vertAlign w:val="superscript"/>
              </w:rPr>
              <w:t>24</w:t>
            </w:r>
            <w:r w:rsidRPr="00604C0B">
              <w:t xml:space="preserve">, </w:t>
            </w:r>
            <w:proofErr w:type="spellStart"/>
            <w:r w:rsidRPr="00604C0B">
              <w:t>Kjaergard</w:t>
            </w:r>
            <w:proofErr w:type="spellEnd"/>
            <w:r w:rsidRPr="00604C0B">
              <w:t xml:space="preserve"> et al (2001):</w:t>
            </w:r>
            <w:r w:rsidRPr="006327AA">
              <w:rPr>
                <w:rFonts w:ascii="Times New Roman" w:hAnsi="Times New Roman"/>
                <w:noProof/>
                <w:vertAlign w:val="superscript"/>
              </w:rPr>
              <w:t>8</w:t>
            </w:r>
            <w:r w:rsidRPr="00604C0B">
              <w:t>, Egger et al (2003):</w:t>
            </w:r>
            <w:r w:rsidRPr="006327AA">
              <w:rPr>
                <w:rFonts w:ascii="Times New Roman" w:hAnsi="Times New Roman"/>
                <w:noProof/>
                <w:vertAlign w:val="superscript"/>
              </w:rPr>
              <w:t>25</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Hartling</w:t>
            </w:r>
            <w:proofErr w:type="spellEnd"/>
            <w:r w:rsidRPr="00604C0B">
              <w:t xml:space="preserve"> et al., 2009 </w:t>
            </w:r>
            <w:r w:rsidRPr="00A1095B">
              <w:rPr>
                <w:rFonts w:ascii="Times New Roman" w:hAnsi="Times New Roman"/>
                <w:noProof/>
                <w:vertAlign w:val="superscript"/>
              </w:rPr>
              <w:t>26</w:t>
            </w:r>
          </w:p>
        </w:tc>
        <w:tc>
          <w:tcPr>
            <w:tcW w:w="2854" w:type="dxa"/>
            <w:gridSpan w:val="2"/>
          </w:tcPr>
          <w:p w:rsidR="006938EF" w:rsidRPr="00604C0B" w:rsidRDefault="006938EF" w:rsidP="00DF1D1C">
            <w:pPr>
              <w:pStyle w:val="TableText"/>
            </w:pPr>
            <w:r w:rsidRPr="00604C0B">
              <w:t xml:space="preserve">Goal: To evaluate the reliability and concurrent validity of the Cochrane risk of bias tool </w:t>
            </w:r>
            <w:r w:rsidR="00164718">
              <w:t>compared with</w:t>
            </w:r>
            <w:r w:rsidRPr="00604C0B">
              <w:t xml:space="preserve"> the </w:t>
            </w:r>
            <w:proofErr w:type="spellStart"/>
            <w:r w:rsidRPr="00604C0B">
              <w:t>Jadad</w:t>
            </w:r>
            <w:proofErr w:type="spellEnd"/>
            <w:r w:rsidRPr="00604C0B">
              <w:t xml:space="preserve"> and Schulz approach to risk of bias assessment.</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6938EF">
            <w:pPr>
              <w:pStyle w:val="ListParagraph"/>
              <w:numPr>
                <w:ilvl w:val="0"/>
                <w:numId w:val="11"/>
              </w:numPr>
              <w:rPr>
                <w:rFonts w:ascii="Arial" w:eastAsia="Calibri" w:hAnsi="Arial" w:cs="Arial"/>
                <w:szCs w:val="18"/>
              </w:rPr>
            </w:pPr>
            <w:r w:rsidRPr="00604C0B">
              <w:rPr>
                <w:rFonts w:ascii="Arial" w:eastAsia="Calibri" w:hAnsi="Arial" w:cs="Arial"/>
                <w:szCs w:val="18"/>
              </w:rPr>
              <w:t xml:space="preserve">Allocation concealment </w:t>
            </w:r>
          </w:p>
          <w:p w:rsidR="006938EF" w:rsidRPr="00604C0B" w:rsidRDefault="006938EF" w:rsidP="006938EF">
            <w:pPr>
              <w:pStyle w:val="ListParagraph"/>
              <w:numPr>
                <w:ilvl w:val="0"/>
                <w:numId w:val="11"/>
              </w:numPr>
              <w:rPr>
                <w:rFonts w:ascii="Arial" w:eastAsia="Calibri" w:hAnsi="Arial" w:cs="Arial"/>
                <w:szCs w:val="18"/>
              </w:rPr>
            </w:pPr>
            <w:r w:rsidRPr="00604C0B">
              <w:rPr>
                <w:rFonts w:ascii="Arial" w:eastAsia="Calibri" w:hAnsi="Arial" w:cs="Arial"/>
                <w:szCs w:val="18"/>
              </w:rPr>
              <w:t>Sequence generation</w:t>
            </w:r>
          </w:p>
          <w:p w:rsidR="006938EF" w:rsidRPr="00604C0B" w:rsidRDefault="006938EF" w:rsidP="006938EF">
            <w:pPr>
              <w:pStyle w:val="ListParagraph"/>
              <w:numPr>
                <w:ilvl w:val="0"/>
                <w:numId w:val="11"/>
              </w:numPr>
              <w:rPr>
                <w:rFonts w:ascii="Arial" w:eastAsia="Calibri" w:hAnsi="Arial" w:cs="Arial"/>
                <w:szCs w:val="18"/>
              </w:rPr>
            </w:pPr>
            <w:r w:rsidRPr="00604C0B">
              <w:rPr>
                <w:rFonts w:ascii="Arial" w:eastAsia="Calibri" w:hAnsi="Arial" w:cs="Arial"/>
                <w:szCs w:val="18"/>
              </w:rPr>
              <w:t>Randomization</w:t>
            </w:r>
          </w:p>
          <w:p w:rsidR="006938EF" w:rsidRPr="00604C0B" w:rsidRDefault="006938EF" w:rsidP="006938EF">
            <w:pPr>
              <w:pStyle w:val="ListParagraph"/>
              <w:numPr>
                <w:ilvl w:val="0"/>
                <w:numId w:val="11"/>
              </w:numPr>
              <w:rPr>
                <w:rFonts w:ascii="Arial" w:eastAsia="Calibri" w:hAnsi="Arial" w:cs="Arial"/>
                <w:szCs w:val="18"/>
              </w:rPr>
            </w:pPr>
            <w:r w:rsidRPr="00604C0B">
              <w:rPr>
                <w:rFonts w:ascii="Arial" w:eastAsia="Calibri" w:hAnsi="Arial" w:cs="Arial"/>
                <w:szCs w:val="18"/>
              </w:rPr>
              <w:t>Blinding</w:t>
            </w:r>
          </w:p>
        </w:tc>
        <w:tc>
          <w:tcPr>
            <w:tcW w:w="3067" w:type="dxa"/>
          </w:tcPr>
          <w:p w:rsidR="006938EF" w:rsidRPr="00604C0B" w:rsidRDefault="006938EF" w:rsidP="00DF1D1C">
            <w:pPr>
              <w:pStyle w:val="TableText"/>
            </w:pPr>
            <w:r w:rsidRPr="00604C0B">
              <w:t>Condition: related to pediatric health</w:t>
            </w:r>
          </w:p>
          <w:p w:rsidR="006938EF" w:rsidRPr="00604C0B" w:rsidRDefault="006938EF" w:rsidP="00DF1D1C">
            <w:pPr>
              <w:pStyle w:val="TableText"/>
            </w:pPr>
            <w:r w:rsidRPr="00604C0B">
              <w:t>Outcomes: Primary but NS</w:t>
            </w:r>
          </w:p>
        </w:tc>
        <w:tc>
          <w:tcPr>
            <w:tcW w:w="2899" w:type="dxa"/>
          </w:tcPr>
          <w:p w:rsidR="006938EF" w:rsidRPr="00604C0B" w:rsidRDefault="006938EF" w:rsidP="00DF1D1C">
            <w:pPr>
              <w:pStyle w:val="TableText"/>
            </w:pPr>
            <w:r w:rsidRPr="00604C0B">
              <w:t>Inclusion: Convenience sample of RCTs in child health.</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163 RCTs</w:t>
            </w:r>
          </w:p>
          <w:p w:rsidR="006938EF" w:rsidRPr="00604C0B" w:rsidRDefault="006938EF" w:rsidP="00DF1D1C">
            <w:pPr>
              <w:pStyle w:val="TableText"/>
            </w:pPr>
          </w:p>
          <w:p w:rsidR="006938EF" w:rsidRPr="00604C0B" w:rsidRDefault="006938EF" w:rsidP="00DF1D1C">
            <w:pPr>
              <w:pStyle w:val="TableText"/>
            </w:pPr>
            <w:r w:rsidRPr="00604C0B">
              <w:t>Source: Manuscripts resulting from abstracts presented at the annual scientific meetings of the Society for Pediatric Research between 1992-1995</w:t>
            </w:r>
          </w:p>
        </w:tc>
      </w:tr>
    </w:tbl>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Inaba</w:t>
            </w:r>
            <w:proofErr w:type="spellEnd"/>
            <w:r w:rsidRPr="00604C0B">
              <w:t xml:space="preserve"> et al., 2009</w:t>
            </w:r>
            <w:r w:rsidRPr="006327AA">
              <w:rPr>
                <w:rFonts w:ascii="Times New Roman" w:hAnsi="Times New Roman"/>
                <w:noProof/>
                <w:vertAlign w:val="superscript"/>
              </w:rPr>
              <w:t>27</w:t>
            </w:r>
          </w:p>
        </w:tc>
        <w:tc>
          <w:tcPr>
            <w:tcW w:w="2854" w:type="dxa"/>
            <w:gridSpan w:val="2"/>
          </w:tcPr>
          <w:p w:rsidR="006938EF" w:rsidRPr="00604C0B" w:rsidRDefault="006938EF" w:rsidP="00DF1D1C">
            <w:pPr>
              <w:pStyle w:val="TableText"/>
            </w:pPr>
            <w:r w:rsidRPr="00604C0B">
              <w:t>Goal: To evaluate differences in study design between single and multicenter trials on study outcomes. Specifically, the impact of adequate randomization and blinding of the outcome assessors.</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Randomization</w:t>
            </w:r>
          </w:p>
          <w:p w:rsidR="006938EF" w:rsidRPr="00604C0B" w:rsidRDefault="006938EF" w:rsidP="00DF1D1C">
            <w:pPr>
              <w:pStyle w:val="TableTextBullet"/>
            </w:pPr>
            <w:r w:rsidRPr="00604C0B">
              <w:t>Blinding of outcome assessor</w:t>
            </w:r>
          </w:p>
          <w:p w:rsidR="006938EF" w:rsidRPr="00604C0B" w:rsidRDefault="006938EF" w:rsidP="00DF1D1C">
            <w:pPr>
              <w:pStyle w:val="TableTextBullet"/>
            </w:pPr>
            <w:r w:rsidRPr="00604C0B">
              <w:t>Disclosure of withdrawals</w:t>
            </w:r>
          </w:p>
        </w:tc>
        <w:tc>
          <w:tcPr>
            <w:tcW w:w="3067" w:type="dxa"/>
          </w:tcPr>
          <w:p w:rsidR="006938EF" w:rsidRPr="00604C0B" w:rsidRDefault="006938EF" w:rsidP="00DF1D1C">
            <w:pPr>
              <w:pStyle w:val="TableText"/>
            </w:pPr>
            <w:r w:rsidRPr="00604C0B">
              <w:t>Condition: heart procedures</w:t>
            </w:r>
          </w:p>
          <w:p w:rsidR="006938EF" w:rsidRPr="00604C0B" w:rsidRDefault="006938EF" w:rsidP="00DF1D1C">
            <w:pPr>
              <w:pStyle w:val="TableText"/>
            </w:pPr>
            <w:r w:rsidRPr="00604C0B">
              <w:t>Outcomes: mortality/ survival, impaired myocardial blush grade, incomplete ST resolution</w:t>
            </w:r>
          </w:p>
        </w:tc>
        <w:tc>
          <w:tcPr>
            <w:tcW w:w="2899" w:type="dxa"/>
          </w:tcPr>
          <w:p w:rsidR="006938EF" w:rsidRPr="00604C0B" w:rsidRDefault="006938EF" w:rsidP="00DF1D1C">
            <w:pPr>
              <w:pStyle w:val="TableText"/>
            </w:pPr>
            <w:r w:rsidRPr="00604C0B">
              <w:t xml:space="preserve">Inclusion: RCTs, all languages, had to examine the use of adjunctive mechanical devices compared with percutaneous coronary intervention in patients with acute myocardial infarction. </w:t>
            </w:r>
          </w:p>
          <w:p w:rsidR="006938EF" w:rsidRPr="00604C0B" w:rsidRDefault="006938EF" w:rsidP="00DF1D1C">
            <w:pPr>
              <w:pStyle w:val="TableText"/>
            </w:pPr>
            <w:r w:rsidRPr="00604C0B">
              <w:t>Exclusion: if adjunctive mechanical devices were used in saphenous vein grafts, duplicate data from other studies, or insufficient data for MA.</w:t>
            </w:r>
          </w:p>
        </w:tc>
        <w:tc>
          <w:tcPr>
            <w:tcW w:w="2637" w:type="dxa"/>
          </w:tcPr>
          <w:p w:rsidR="006938EF" w:rsidRPr="00604C0B" w:rsidRDefault="006938EF" w:rsidP="00DF1D1C">
            <w:pPr>
              <w:pStyle w:val="TableText"/>
            </w:pPr>
            <w:r w:rsidRPr="00604C0B">
              <w:t>Study-level without accounting for MA.</w:t>
            </w:r>
          </w:p>
          <w:p w:rsidR="006938EF" w:rsidRPr="00604C0B" w:rsidRDefault="006938EF" w:rsidP="00DF1D1C">
            <w:pPr>
              <w:pStyle w:val="TableText"/>
            </w:pPr>
          </w:p>
          <w:p w:rsidR="006938EF" w:rsidRPr="00604C0B" w:rsidRDefault="006938EF" w:rsidP="00DF1D1C">
            <w:pPr>
              <w:pStyle w:val="TableText"/>
            </w:pPr>
            <w:r w:rsidRPr="00604C0B">
              <w:t xml:space="preserve">25 trials, two subgroup analyses (or MA) but the number of trials into these groups was not specified. The subgroups were based on different outcomes </w:t>
            </w:r>
          </w:p>
          <w:p w:rsidR="006938EF" w:rsidRPr="00604C0B" w:rsidRDefault="006938EF" w:rsidP="00DF1D1C">
            <w:pPr>
              <w:pStyle w:val="TableText"/>
            </w:pPr>
          </w:p>
          <w:p w:rsidR="006938EF" w:rsidRPr="00604C0B" w:rsidRDefault="006938EF" w:rsidP="00DF1D1C">
            <w:pPr>
              <w:pStyle w:val="TableText"/>
            </w:pPr>
            <w:r w:rsidRPr="00604C0B">
              <w:t>Sources: Searched 9 bibliographic databases, slide and oral presentations.</w:t>
            </w:r>
          </w:p>
        </w:tc>
      </w:tr>
      <w:tr w:rsidR="006938EF" w:rsidRPr="00604C0B" w:rsidTr="00DF1D1C">
        <w:trPr>
          <w:gridAfter w:val="1"/>
          <w:wAfter w:w="155" w:type="dxa"/>
        </w:trPr>
        <w:tc>
          <w:tcPr>
            <w:tcW w:w="1406" w:type="dxa"/>
          </w:tcPr>
          <w:p w:rsidR="006938EF" w:rsidRPr="00DB6B51" w:rsidRDefault="006938EF" w:rsidP="00DF1D1C">
            <w:pPr>
              <w:pStyle w:val="TableText"/>
              <w:rPr>
                <w:lang w:val="fr-BE"/>
              </w:rPr>
            </w:pPr>
            <w:proofErr w:type="spellStart"/>
            <w:r w:rsidRPr="00DB6B51">
              <w:rPr>
                <w:lang w:val="fr-BE"/>
              </w:rPr>
              <w:t>Nuesch</w:t>
            </w:r>
            <w:proofErr w:type="spellEnd"/>
            <w:r w:rsidRPr="00DB6B51">
              <w:rPr>
                <w:lang w:val="fr-BE"/>
              </w:rPr>
              <w:t xml:space="preserve"> et </w:t>
            </w:r>
            <w:proofErr w:type="gramStart"/>
            <w:r w:rsidRPr="00DB6B51">
              <w:rPr>
                <w:lang w:val="fr-BE"/>
              </w:rPr>
              <w:t>al.,</w:t>
            </w:r>
            <w:proofErr w:type="gramEnd"/>
            <w:r w:rsidRPr="00DB6B51">
              <w:rPr>
                <w:lang w:val="fr-BE"/>
              </w:rPr>
              <w:t xml:space="preserve"> 2009</w:t>
            </w:r>
            <w:r w:rsidRPr="00DB6B51">
              <w:rPr>
                <w:rFonts w:ascii="Times New Roman" w:hAnsi="Times New Roman"/>
                <w:noProof/>
                <w:vertAlign w:val="superscript"/>
                <w:lang w:val="fr-BE"/>
              </w:rPr>
              <w:t>28</w:t>
            </w:r>
          </w:p>
          <w:p w:rsidR="006938EF" w:rsidRPr="00DB6B51" w:rsidRDefault="006938EF" w:rsidP="00DF1D1C">
            <w:pPr>
              <w:pStyle w:val="TableText"/>
              <w:rPr>
                <w:lang w:val="fr-BE"/>
              </w:rPr>
            </w:pPr>
            <w:proofErr w:type="spellStart"/>
            <w:r w:rsidRPr="00DB6B51">
              <w:rPr>
                <w:lang w:val="fr-BE"/>
              </w:rPr>
              <w:t>Nuesch</w:t>
            </w:r>
            <w:proofErr w:type="spellEnd"/>
            <w:r w:rsidRPr="00DB6B51">
              <w:rPr>
                <w:lang w:val="fr-BE"/>
              </w:rPr>
              <w:t xml:space="preserve"> et </w:t>
            </w:r>
            <w:proofErr w:type="gramStart"/>
            <w:r w:rsidRPr="00DB6B51">
              <w:rPr>
                <w:lang w:val="fr-BE"/>
              </w:rPr>
              <w:t>al.,</w:t>
            </w:r>
            <w:proofErr w:type="gramEnd"/>
            <w:r w:rsidRPr="00DB6B51">
              <w:rPr>
                <w:lang w:val="fr-BE"/>
              </w:rPr>
              <w:t xml:space="preserve"> 2009</w:t>
            </w:r>
            <w:r w:rsidRPr="00DB6B51">
              <w:rPr>
                <w:rFonts w:ascii="Times New Roman" w:hAnsi="Times New Roman"/>
                <w:noProof/>
                <w:vertAlign w:val="superscript"/>
                <w:lang w:val="fr-BE"/>
              </w:rPr>
              <w:t>29</w:t>
            </w:r>
          </w:p>
        </w:tc>
        <w:tc>
          <w:tcPr>
            <w:tcW w:w="2854" w:type="dxa"/>
            <w:gridSpan w:val="2"/>
          </w:tcPr>
          <w:p w:rsidR="006938EF" w:rsidRPr="00604C0B" w:rsidRDefault="006938EF" w:rsidP="00DF1D1C">
            <w:pPr>
              <w:pStyle w:val="TableText"/>
            </w:pPr>
            <w:r w:rsidRPr="00604C0B">
              <w:t xml:space="preserve">Goal: To evaluate the association of adequate allocation concealment and patient blinding with estimates of </w:t>
            </w:r>
            <w:proofErr w:type="spellStart"/>
            <w:r w:rsidRPr="00604C0B">
              <w:t>tx</w:t>
            </w:r>
            <w:proofErr w:type="spellEnd"/>
            <w:r w:rsidRPr="00604C0B">
              <w:t xml:space="preserve"> benefits in osteoarthritis trials (whether excluding patients from the analysis was associated with biased estimates of </w:t>
            </w:r>
            <w:proofErr w:type="spellStart"/>
            <w:r w:rsidRPr="00604C0B">
              <w:t>tx</w:t>
            </w:r>
            <w:proofErr w:type="spellEnd"/>
            <w:r w:rsidRPr="00604C0B">
              <w:t xml:space="preserve"> effects and with increased heterogeneity between trials in MAs) </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Allocation concealment</w:t>
            </w:r>
          </w:p>
          <w:p w:rsidR="006938EF" w:rsidRPr="00604C0B" w:rsidRDefault="006938EF" w:rsidP="00DF1D1C">
            <w:pPr>
              <w:pStyle w:val="TableTextBullet"/>
            </w:pPr>
            <w:r w:rsidRPr="00604C0B">
              <w:t>Patient blinding</w:t>
            </w:r>
          </w:p>
          <w:p w:rsidR="006938EF" w:rsidRPr="00604C0B" w:rsidRDefault="006938EF" w:rsidP="00DF1D1C">
            <w:pPr>
              <w:pStyle w:val="TableTextBullet"/>
            </w:pPr>
            <w:r w:rsidRPr="00604C0B">
              <w:t>Attrition</w:t>
            </w:r>
          </w:p>
        </w:tc>
        <w:tc>
          <w:tcPr>
            <w:tcW w:w="3067" w:type="dxa"/>
          </w:tcPr>
          <w:p w:rsidR="006938EF" w:rsidRPr="00604C0B" w:rsidRDefault="006938EF" w:rsidP="00DF1D1C">
            <w:pPr>
              <w:pStyle w:val="TableText"/>
            </w:pPr>
            <w:r w:rsidRPr="00604C0B">
              <w:t>Condition: Pain in osteoarthritis of the knee or hip</w:t>
            </w:r>
          </w:p>
          <w:p w:rsidR="006938EF" w:rsidRPr="00604C0B" w:rsidRDefault="006938EF" w:rsidP="00DF1D1C">
            <w:pPr>
              <w:pStyle w:val="TableText"/>
            </w:pPr>
            <w:r w:rsidRPr="00604C0B">
              <w:t xml:space="preserve">Outcomes: non-binary subjective outcomes from interventions (Patient reported pain) </w:t>
            </w:r>
          </w:p>
        </w:tc>
        <w:tc>
          <w:tcPr>
            <w:tcW w:w="2899" w:type="dxa"/>
          </w:tcPr>
          <w:p w:rsidR="006938EF" w:rsidRPr="00604C0B" w:rsidRDefault="006938EF" w:rsidP="00DF1D1C">
            <w:pPr>
              <w:pStyle w:val="TableText"/>
            </w:pPr>
            <w:r w:rsidRPr="00604C0B">
              <w:t>Inclusion: MAs of randomized or quasi-randomized trials. Trials using an unpredictable allocation sequence considered randomized, potentially predictable allocation mechanisms, such as alternation or the allocation of patients according to their date of birth considered quasi-randomized. MAs eligible if assessed patient reported pain, comparing any intervention with placebo, sham, or a non-intervention control. No language restrictions applied.</w:t>
            </w:r>
          </w:p>
        </w:tc>
        <w:tc>
          <w:tcPr>
            <w:tcW w:w="2637" w:type="dxa"/>
          </w:tcPr>
          <w:p w:rsidR="006938EF" w:rsidRDefault="006938EF" w:rsidP="00DF1D1C">
            <w:pPr>
              <w:pStyle w:val="TableText"/>
            </w:pPr>
            <w:r>
              <w:t>MA</w:t>
            </w:r>
          </w:p>
          <w:p w:rsidR="006938EF" w:rsidRPr="00604C0B" w:rsidRDefault="006938EF" w:rsidP="00DF1D1C">
            <w:pPr>
              <w:pStyle w:val="TableText"/>
            </w:pPr>
          </w:p>
          <w:p w:rsidR="006938EF" w:rsidRPr="00604C0B" w:rsidRDefault="006938EF" w:rsidP="00DF1D1C">
            <w:pPr>
              <w:pStyle w:val="TableText"/>
            </w:pPr>
            <w:r w:rsidRPr="00604C0B">
              <w:t>Concealment: 14 MA (158 trials and 40,437 patients)</w:t>
            </w:r>
          </w:p>
          <w:p w:rsidR="006938EF" w:rsidRPr="00604C0B" w:rsidRDefault="006938EF" w:rsidP="00DF1D1C">
            <w:pPr>
              <w:pStyle w:val="TableText"/>
            </w:pPr>
            <w:r w:rsidRPr="00604C0B">
              <w:t>Blinding: 10 MA (122 trials and 27,452 patients)</w:t>
            </w:r>
          </w:p>
          <w:p w:rsidR="006938EF" w:rsidRPr="00604C0B" w:rsidRDefault="006938EF" w:rsidP="00DF1D1C">
            <w:pPr>
              <w:pStyle w:val="TableText"/>
            </w:pPr>
          </w:p>
          <w:p w:rsidR="006938EF" w:rsidRPr="00604C0B" w:rsidRDefault="006938EF" w:rsidP="00DF1D1C">
            <w:pPr>
              <w:pStyle w:val="TableText"/>
            </w:pPr>
            <w:r w:rsidRPr="00604C0B">
              <w:t xml:space="preserve">Sources: Cochrane, PubMed, </w:t>
            </w:r>
            <w:proofErr w:type="spellStart"/>
            <w:r w:rsidRPr="00604C0B">
              <w:t>Embase</w:t>
            </w:r>
            <w:proofErr w:type="spellEnd"/>
            <w:r w:rsidRPr="00604C0B">
              <w:t xml:space="preserve"> and CINAHL (Within specified databases, combinations of keywords and text words related to osteoarthritis were combined with validated filters for SRs and MAs (Last update: 11/20/2007). </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 xml:space="preserve">Van </w:t>
            </w:r>
            <w:proofErr w:type="spellStart"/>
            <w:r w:rsidRPr="00604C0B">
              <w:t>Tulder</w:t>
            </w:r>
            <w:proofErr w:type="spellEnd"/>
            <w:r w:rsidRPr="00604C0B">
              <w:t xml:space="preserve"> et al. 2009 </w:t>
            </w:r>
            <w:r w:rsidRPr="00A1095B">
              <w:rPr>
                <w:rFonts w:ascii="Times New Roman" w:hAnsi="Times New Roman"/>
                <w:noProof/>
                <w:vertAlign w:val="superscript"/>
              </w:rPr>
              <w:t>30</w:t>
            </w:r>
          </w:p>
        </w:tc>
        <w:tc>
          <w:tcPr>
            <w:tcW w:w="2854" w:type="dxa"/>
            <w:gridSpan w:val="2"/>
          </w:tcPr>
          <w:p w:rsidR="006938EF" w:rsidRPr="00604C0B" w:rsidRDefault="006938EF" w:rsidP="00DF1D1C">
            <w:pPr>
              <w:pStyle w:val="TableText"/>
            </w:pPr>
            <w:r w:rsidRPr="00604C0B">
              <w:t>Goal: To assess the validity of the criteria list recommended for evaluating internal validity by the Cochrane Back Review Group Editorial Board by evaluating whether individual items and a total score are associated with effect sizes in RCTs of back pain interventions.</w:t>
            </w:r>
          </w:p>
          <w:p w:rsidR="006938EF" w:rsidRPr="00604C0B" w:rsidRDefault="006938EF" w:rsidP="00DF1D1C">
            <w:pPr>
              <w:pStyle w:val="TableText"/>
            </w:pPr>
          </w:p>
          <w:p w:rsidR="006938EF" w:rsidRPr="00604C0B" w:rsidRDefault="006938EF" w:rsidP="00DF1D1C">
            <w:pPr>
              <w:pStyle w:val="TableText"/>
            </w:pPr>
            <w:r w:rsidRPr="00604C0B">
              <w:t>Biases evaluated:</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method of randomization</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 xml:space="preserve">allocation concealment </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groups similar at baseline</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patient, care provider, assessor blinding</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effect of co-intervention</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 xml:space="preserve">differential compliance </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drop-out rate</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 xml:space="preserve">timing of outcome assessment across groups </w:t>
            </w:r>
          </w:p>
          <w:p w:rsidR="006938EF" w:rsidRPr="00604C0B" w:rsidRDefault="006938EF" w:rsidP="006938EF">
            <w:pPr>
              <w:pStyle w:val="ListParagraph"/>
              <w:numPr>
                <w:ilvl w:val="0"/>
                <w:numId w:val="10"/>
              </w:numPr>
              <w:rPr>
                <w:rFonts w:ascii="Arial" w:eastAsia="Calibri" w:hAnsi="Arial" w:cs="Arial"/>
                <w:szCs w:val="18"/>
              </w:rPr>
            </w:pPr>
            <w:r w:rsidRPr="00604C0B">
              <w:rPr>
                <w:rFonts w:ascii="Arial" w:eastAsia="Calibri" w:hAnsi="Arial" w:cs="Arial"/>
                <w:szCs w:val="18"/>
              </w:rPr>
              <w:t>ITT</w:t>
            </w:r>
          </w:p>
        </w:tc>
        <w:tc>
          <w:tcPr>
            <w:tcW w:w="3067" w:type="dxa"/>
          </w:tcPr>
          <w:p w:rsidR="006938EF" w:rsidRPr="00604C0B" w:rsidRDefault="006938EF" w:rsidP="00DF1D1C">
            <w:pPr>
              <w:pStyle w:val="TableText"/>
            </w:pPr>
            <w:r w:rsidRPr="00604C0B">
              <w:t>Condition: Low-back pain</w:t>
            </w:r>
          </w:p>
          <w:p w:rsidR="006938EF" w:rsidRPr="00604C0B" w:rsidRDefault="006938EF" w:rsidP="00DF1D1C">
            <w:pPr>
              <w:pStyle w:val="TableText"/>
            </w:pPr>
            <w:r w:rsidRPr="00604C0B">
              <w:t>Outcomes: Pain, function, or similar improvement measure</w:t>
            </w:r>
          </w:p>
          <w:p w:rsidR="006938EF" w:rsidRPr="00604C0B" w:rsidRDefault="006938EF" w:rsidP="00DF1D1C">
            <w:pPr>
              <w:pStyle w:val="TableText"/>
            </w:pPr>
          </w:p>
        </w:tc>
        <w:tc>
          <w:tcPr>
            <w:tcW w:w="2899" w:type="dxa"/>
          </w:tcPr>
          <w:p w:rsidR="006938EF" w:rsidRPr="00604C0B" w:rsidRDefault="006938EF" w:rsidP="00DF1D1C">
            <w:pPr>
              <w:pStyle w:val="TableText"/>
            </w:pPr>
            <w:r w:rsidRPr="00604C0B">
              <w:t xml:space="preserve">Inclusion: RCT, comparison between </w:t>
            </w:r>
            <w:proofErr w:type="spellStart"/>
            <w:r w:rsidRPr="00604C0B">
              <w:t>tx</w:t>
            </w:r>
            <w:proofErr w:type="spellEnd"/>
            <w:r w:rsidRPr="00604C0B">
              <w:t xml:space="preserve"> and either placebo, usual care, no </w:t>
            </w:r>
            <w:proofErr w:type="spellStart"/>
            <w:r w:rsidRPr="00604C0B">
              <w:t>tx</w:t>
            </w:r>
            <w:proofErr w:type="spellEnd"/>
            <w:r w:rsidRPr="00604C0B">
              <w:t xml:space="preserve"> or another </w:t>
            </w:r>
            <w:proofErr w:type="spellStart"/>
            <w:r w:rsidRPr="00604C0B">
              <w:t>tx</w:t>
            </w:r>
            <w:proofErr w:type="spellEnd"/>
            <w:r w:rsidRPr="00604C0B">
              <w:t xml:space="preserve">. </w:t>
            </w:r>
          </w:p>
          <w:p w:rsidR="006938EF" w:rsidRPr="00604C0B" w:rsidRDefault="006938EF" w:rsidP="00DF1D1C">
            <w:pPr>
              <w:pStyle w:val="TableText"/>
            </w:pPr>
            <w:r w:rsidRPr="00604C0B">
              <w:t xml:space="preserve">All Cochrane Back Review Group (CBRG) reviews of nonsurgical </w:t>
            </w:r>
            <w:proofErr w:type="spellStart"/>
            <w:r w:rsidRPr="00604C0B">
              <w:t>tx</w:t>
            </w:r>
            <w:proofErr w:type="spellEnd"/>
            <w:r w:rsidRPr="00604C0B">
              <w:t xml:space="preserve"> for nonspecific low back pain in the Cochrane library 2005, issue 3.  </w:t>
            </w:r>
          </w:p>
          <w:p w:rsidR="006938EF" w:rsidRPr="00604C0B" w:rsidRDefault="006938EF" w:rsidP="00DF1D1C">
            <w:pPr>
              <w:pStyle w:val="TableText"/>
            </w:pPr>
          </w:p>
          <w:p w:rsidR="006938EF" w:rsidRPr="00604C0B" w:rsidRDefault="006938EF" w:rsidP="00DF1D1C">
            <w:pPr>
              <w:pStyle w:val="TableText"/>
            </w:pPr>
            <w:r w:rsidRPr="00604C0B">
              <w:t>Exclusion: Data presented in such a way that effect size could not be calculated</w:t>
            </w:r>
          </w:p>
        </w:tc>
        <w:tc>
          <w:tcPr>
            <w:tcW w:w="2637" w:type="dxa"/>
          </w:tcPr>
          <w:p w:rsidR="006938EF" w:rsidRPr="00604C0B" w:rsidRDefault="006938EF" w:rsidP="00DF1D1C">
            <w:pPr>
              <w:pStyle w:val="TableText"/>
            </w:pPr>
            <w:r w:rsidRPr="00604C0B">
              <w:t xml:space="preserve">RCT </w:t>
            </w:r>
          </w:p>
          <w:p w:rsidR="006938EF" w:rsidRPr="00604C0B" w:rsidRDefault="006938EF" w:rsidP="00DF1D1C">
            <w:pPr>
              <w:pStyle w:val="TableText"/>
            </w:pPr>
            <w:r w:rsidRPr="00604C0B">
              <w:t xml:space="preserve">N = 216 </w:t>
            </w:r>
          </w:p>
          <w:p w:rsidR="006938EF" w:rsidRPr="00604C0B" w:rsidRDefault="006938EF" w:rsidP="00DF1D1C">
            <w:pPr>
              <w:pStyle w:val="TableText"/>
            </w:pPr>
            <w:r w:rsidRPr="00604C0B">
              <w:t>Comparison to placebo/</w:t>
            </w:r>
            <w:proofErr w:type="spellStart"/>
            <w:r w:rsidRPr="00604C0B">
              <w:t>tx</w:t>
            </w:r>
            <w:proofErr w:type="spellEnd"/>
            <w:r w:rsidRPr="00604C0B">
              <w:t>/usual care: N = 122</w:t>
            </w:r>
          </w:p>
          <w:p w:rsidR="006938EF" w:rsidRPr="00604C0B" w:rsidRDefault="006938EF" w:rsidP="00DF1D1C">
            <w:pPr>
              <w:pStyle w:val="TableText"/>
            </w:pPr>
            <w:r w:rsidRPr="00604C0B">
              <w:t>Comparison to active intervention: N = 128</w:t>
            </w:r>
          </w:p>
          <w:p w:rsidR="006938EF" w:rsidRPr="00604C0B" w:rsidRDefault="006938EF" w:rsidP="00DF1D1C">
            <w:pPr>
              <w:pStyle w:val="TableText"/>
            </w:pPr>
            <w:r w:rsidRPr="00604C0B">
              <w:t>Some studies included both types of comparisons</w:t>
            </w:r>
          </w:p>
          <w:p w:rsidR="006938EF" w:rsidRPr="00604C0B" w:rsidRDefault="006938EF" w:rsidP="00DF1D1C">
            <w:pPr>
              <w:pStyle w:val="TableText"/>
            </w:pPr>
          </w:p>
          <w:p w:rsidR="006938EF" w:rsidRPr="00604C0B" w:rsidRDefault="006938EF" w:rsidP="00DF1D1C">
            <w:pPr>
              <w:pStyle w:val="TableText"/>
            </w:pPr>
            <w:r w:rsidRPr="00604C0B">
              <w:t>Sources: Cochrane Library 2005, issue 3: all Cochrane Back Review Group reviews of a nonsurgical treatment for nonspecific low back pain.</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Dwan</w:t>
            </w:r>
            <w:proofErr w:type="spellEnd"/>
            <w:r w:rsidRPr="00604C0B">
              <w:t xml:space="preserve"> et al., 2010</w:t>
            </w:r>
            <w:r w:rsidRPr="006327AA">
              <w:rPr>
                <w:rFonts w:ascii="Times New Roman" w:hAnsi="Times New Roman"/>
                <w:noProof/>
                <w:vertAlign w:val="superscript"/>
              </w:rPr>
              <w:t>31</w:t>
            </w:r>
          </w:p>
        </w:tc>
        <w:tc>
          <w:tcPr>
            <w:tcW w:w="2854" w:type="dxa"/>
            <w:gridSpan w:val="2"/>
          </w:tcPr>
          <w:p w:rsidR="006938EF" w:rsidRPr="00604C0B" w:rsidRDefault="006938EF" w:rsidP="00DF1D1C">
            <w:pPr>
              <w:pStyle w:val="TableText"/>
            </w:pPr>
            <w:r w:rsidRPr="00604C0B">
              <w:t>Goal: To assess a SR for outcome reporting bias</w:t>
            </w:r>
          </w:p>
          <w:p w:rsidR="006938EF" w:rsidRPr="00604C0B" w:rsidRDefault="006938EF" w:rsidP="00DF1D1C">
            <w:pPr>
              <w:pStyle w:val="TableText"/>
            </w:pPr>
          </w:p>
          <w:p w:rsidR="006938EF" w:rsidRPr="00604C0B" w:rsidRDefault="006938EF" w:rsidP="00DF1D1C">
            <w:pPr>
              <w:pStyle w:val="TableText"/>
            </w:pPr>
            <w:r w:rsidRPr="00604C0B">
              <w:t>Bias evaluated:</w:t>
            </w:r>
          </w:p>
          <w:p w:rsidR="006938EF" w:rsidRPr="00604C0B" w:rsidRDefault="006938EF" w:rsidP="00DF1D1C">
            <w:pPr>
              <w:pStyle w:val="TableTextBullet"/>
            </w:pPr>
            <w:r w:rsidRPr="00604C0B">
              <w:t>Outcome reporting</w:t>
            </w:r>
          </w:p>
          <w:p w:rsidR="006938EF" w:rsidRPr="00604C0B" w:rsidRDefault="006938EF" w:rsidP="00DF1D1C">
            <w:pPr>
              <w:rPr>
                <w:rFonts w:eastAsia="Calibri" w:cs="Arial"/>
                <w:szCs w:val="18"/>
              </w:rPr>
            </w:pPr>
          </w:p>
        </w:tc>
        <w:tc>
          <w:tcPr>
            <w:tcW w:w="3067" w:type="dxa"/>
          </w:tcPr>
          <w:p w:rsidR="006938EF" w:rsidRPr="00604C0B" w:rsidRDefault="006938EF" w:rsidP="00DF1D1C">
            <w:pPr>
              <w:pStyle w:val="TableText"/>
            </w:pPr>
            <w:r w:rsidRPr="00604C0B">
              <w:t>Condition: Acute asthma</w:t>
            </w:r>
          </w:p>
          <w:p w:rsidR="006938EF" w:rsidRPr="00604C0B" w:rsidRDefault="006938EF" w:rsidP="00DF1D1C">
            <w:pPr>
              <w:pStyle w:val="TableText"/>
            </w:pPr>
            <w:r w:rsidRPr="00604C0B">
              <w:t>Outcomes: Pulmonary function tests, including peak expiratory flow rate (PEFR) and forced expiratory volume in one second (FEV1), and hospital admission</w:t>
            </w:r>
          </w:p>
        </w:tc>
        <w:tc>
          <w:tcPr>
            <w:tcW w:w="2899" w:type="dxa"/>
          </w:tcPr>
          <w:p w:rsidR="006938EF" w:rsidRPr="00604C0B" w:rsidRDefault="006938EF" w:rsidP="00DF1D1C">
            <w:pPr>
              <w:pStyle w:val="TableText"/>
            </w:pPr>
            <w:r w:rsidRPr="00604C0B">
              <w:t xml:space="preserve">Inclusion: Trials that were eligible for inclusion in the SR because they reported a measure of pulmonary function or hospital admission </w:t>
            </w:r>
          </w:p>
        </w:tc>
        <w:tc>
          <w:tcPr>
            <w:tcW w:w="2637" w:type="dxa"/>
          </w:tcPr>
          <w:p w:rsidR="006938EF" w:rsidRPr="00604C0B" w:rsidRDefault="006938EF" w:rsidP="00DF1D1C">
            <w:pPr>
              <w:pStyle w:val="TableText"/>
            </w:pPr>
            <w:r>
              <w:t>RCT</w:t>
            </w:r>
            <w:r w:rsidRPr="00604C0B">
              <w:t>-level</w:t>
            </w:r>
          </w:p>
          <w:p w:rsidR="006938EF" w:rsidRPr="00604C0B" w:rsidRDefault="006938EF" w:rsidP="00DF1D1C">
            <w:pPr>
              <w:pStyle w:val="TableText"/>
            </w:pPr>
            <w:r w:rsidRPr="00604C0B">
              <w:t>24 trials</w:t>
            </w:r>
          </w:p>
          <w:p w:rsidR="006938EF" w:rsidRPr="00604C0B" w:rsidRDefault="006938EF" w:rsidP="00DF1D1C">
            <w:pPr>
              <w:pStyle w:val="TableText"/>
            </w:pPr>
          </w:p>
          <w:p w:rsidR="006938EF" w:rsidRPr="00604C0B" w:rsidRDefault="006938EF" w:rsidP="00DF1D1C">
            <w:pPr>
              <w:pStyle w:val="TableText"/>
            </w:pPr>
            <w:r w:rsidRPr="00604C0B">
              <w:t>Sources: All studies included in the a SR  concerning intravenous and nebulized magnesium sulfate for acute asthma'</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Number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 xml:space="preserve">Hamm et al., 2010 </w:t>
            </w:r>
            <w:r w:rsidRPr="00A1095B">
              <w:rPr>
                <w:rFonts w:ascii="Times New Roman" w:hAnsi="Times New Roman"/>
                <w:noProof/>
                <w:vertAlign w:val="superscript"/>
              </w:rPr>
              <w:t>32</w:t>
            </w:r>
          </w:p>
        </w:tc>
        <w:tc>
          <w:tcPr>
            <w:tcW w:w="2854" w:type="dxa"/>
            <w:gridSpan w:val="2"/>
          </w:tcPr>
          <w:p w:rsidR="006938EF" w:rsidRPr="00604C0B" w:rsidRDefault="006938EF" w:rsidP="00DF1D1C">
            <w:pPr>
              <w:pStyle w:val="TableText"/>
            </w:pPr>
            <w:r w:rsidRPr="00604C0B">
              <w:t>Goal: To review a sample of RCTs in the Cochrane pediatric registry and assess the validity of the results.</w:t>
            </w:r>
          </w:p>
          <w:p w:rsidR="006938EF" w:rsidRPr="00604C0B" w:rsidRDefault="006938EF" w:rsidP="00DF1D1C">
            <w:pPr>
              <w:pStyle w:val="TableText"/>
            </w:pPr>
          </w:p>
          <w:p w:rsidR="006938EF" w:rsidRPr="00604C0B" w:rsidRDefault="006938EF" w:rsidP="00DF1D1C">
            <w:pPr>
              <w:pStyle w:val="TableText"/>
            </w:pPr>
            <w:r w:rsidRPr="00604C0B">
              <w:t>Biases evaluated:</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 xml:space="preserve">sequence generation, </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allocation concealment,</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 xml:space="preserve">blinding, </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incomplete outcomes,</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selective outcome reporting</w:t>
            </w:r>
          </w:p>
        </w:tc>
        <w:tc>
          <w:tcPr>
            <w:tcW w:w="3067" w:type="dxa"/>
          </w:tcPr>
          <w:p w:rsidR="006938EF" w:rsidRPr="00604C0B" w:rsidRDefault="006938EF" w:rsidP="00DF1D1C">
            <w:pPr>
              <w:pStyle w:val="TableText"/>
            </w:pPr>
            <w:r w:rsidRPr="00604C0B">
              <w:t>Conditions: Unspecified</w:t>
            </w:r>
          </w:p>
          <w:p w:rsidR="006938EF" w:rsidRPr="00604C0B" w:rsidRDefault="006938EF" w:rsidP="00DF1D1C">
            <w:pPr>
              <w:pStyle w:val="TableText"/>
            </w:pPr>
            <w:r w:rsidRPr="00604C0B">
              <w:t xml:space="preserve">Outcomes: Unspecified (primary RCT outcome) </w:t>
            </w:r>
          </w:p>
        </w:tc>
        <w:tc>
          <w:tcPr>
            <w:tcW w:w="2899" w:type="dxa"/>
          </w:tcPr>
          <w:p w:rsidR="006938EF" w:rsidRPr="00604C0B" w:rsidRDefault="006938EF" w:rsidP="00DF1D1C">
            <w:pPr>
              <w:pStyle w:val="TableText"/>
            </w:pPr>
            <w:r w:rsidRPr="00604C0B">
              <w:t>Inclusion: Random selection of pediatric trials published in Cochrane Registry in 2007</w:t>
            </w:r>
          </w:p>
        </w:tc>
        <w:tc>
          <w:tcPr>
            <w:tcW w:w="2637" w:type="dxa"/>
          </w:tcPr>
          <w:p w:rsidR="006938EF" w:rsidRPr="00604C0B" w:rsidRDefault="006938EF" w:rsidP="00DF1D1C">
            <w:pPr>
              <w:pStyle w:val="TableText"/>
            </w:pPr>
            <w:r>
              <w:t>RCT</w:t>
            </w:r>
            <w:r w:rsidRPr="00604C0B">
              <w:t>-level</w:t>
            </w:r>
          </w:p>
          <w:p w:rsidR="006938EF" w:rsidRPr="00604C0B" w:rsidRDefault="006938EF" w:rsidP="00DF1D1C">
            <w:pPr>
              <w:pStyle w:val="TableText"/>
            </w:pPr>
            <w:r w:rsidRPr="00604C0B">
              <w:t>300 trials (236 analyzed)</w:t>
            </w:r>
          </w:p>
          <w:p w:rsidR="006938EF" w:rsidRPr="00604C0B" w:rsidRDefault="006938EF" w:rsidP="00DF1D1C">
            <w:pPr>
              <w:pStyle w:val="TableText"/>
            </w:pPr>
          </w:p>
          <w:p w:rsidR="006938EF" w:rsidRPr="00604C0B" w:rsidRDefault="006938EF" w:rsidP="00DF1D1C">
            <w:pPr>
              <w:pStyle w:val="TableText"/>
            </w:pPr>
            <w:r w:rsidRPr="00604C0B">
              <w:t>Source: See inclusion criteria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Kirkham et al., 2010</w:t>
            </w:r>
            <w:r w:rsidRPr="006327AA">
              <w:rPr>
                <w:rFonts w:ascii="Times New Roman" w:hAnsi="Times New Roman"/>
                <w:noProof/>
                <w:vertAlign w:val="superscript"/>
              </w:rPr>
              <w:t>33</w:t>
            </w:r>
          </w:p>
        </w:tc>
        <w:tc>
          <w:tcPr>
            <w:tcW w:w="2854" w:type="dxa"/>
            <w:gridSpan w:val="2"/>
          </w:tcPr>
          <w:p w:rsidR="006938EF" w:rsidRPr="00604C0B" w:rsidRDefault="006938EF" w:rsidP="00DF1D1C">
            <w:pPr>
              <w:pStyle w:val="TableText"/>
            </w:pPr>
            <w:r w:rsidRPr="00604C0B">
              <w:t>Goal: To examine the prevalence of outcome reporting bias and its impact on Cochrane reviews</w:t>
            </w:r>
          </w:p>
          <w:p w:rsidR="006938EF" w:rsidRPr="00604C0B" w:rsidRDefault="006938EF" w:rsidP="00DF1D1C">
            <w:pPr>
              <w:pStyle w:val="TableText"/>
            </w:pPr>
          </w:p>
          <w:p w:rsidR="006938EF" w:rsidRPr="00604C0B" w:rsidRDefault="006938EF" w:rsidP="00DF1D1C">
            <w:pPr>
              <w:pStyle w:val="TableText"/>
            </w:pPr>
            <w:r w:rsidRPr="00604C0B">
              <w:t xml:space="preserve">Bias evaluated: </w:t>
            </w:r>
          </w:p>
          <w:p w:rsidR="006938EF" w:rsidRPr="00604C0B" w:rsidRDefault="006938EF" w:rsidP="00E36025">
            <w:pPr>
              <w:pStyle w:val="TableTextBullet"/>
            </w:pPr>
            <w:r w:rsidRPr="00604C0B">
              <w:t>Outcome reporting</w:t>
            </w:r>
          </w:p>
        </w:tc>
        <w:tc>
          <w:tcPr>
            <w:tcW w:w="3067" w:type="dxa"/>
          </w:tcPr>
          <w:p w:rsidR="006938EF" w:rsidRPr="00604C0B" w:rsidRDefault="006938EF" w:rsidP="00DF1D1C">
            <w:pPr>
              <w:pStyle w:val="TableText"/>
            </w:pPr>
            <w:r w:rsidRPr="00604C0B">
              <w:t>Condition: not specified;</w:t>
            </w:r>
          </w:p>
          <w:p w:rsidR="006938EF" w:rsidRPr="00604C0B" w:rsidRDefault="006938EF" w:rsidP="00DF1D1C">
            <w:pPr>
              <w:pStyle w:val="TableText"/>
            </w:pPr>
            <w:r w:rsidRPr="00604C0B">
              <w:t>Outcomes: Primary outcomes of SRs. If SR did not specify a single primary outcome, authors were contacted to select one. When no contact could be established, two investigators independently selected and agreed upon one from the outcomes listed in the SR.</w:t>
            </w:r>
          </w:p>
        </w:tc>
        <w:tc>
          <w:tcPr>
            <w:tcW w:w="2899" w:type="dxa"/>
          </w:tcPr>
          <w:p w:rsidR="006938EF" w:rsidRPr="00604C0B" w:rsidRDefault="006938EF" w:rsidP="00DF1D1C">
            <w:pPr>
              <w:pStyle w:val="TableText"/>
            </w:pPr>
            <w:r w:rsidRPr="00604C0B">
              <w:t>Excluded: conducted by Cochrane methodology group; ill-defined primary outcome; no RCTs identified; fully reported review with primary outcomes from all included trials; multiple MAs of primary outcome; non-English; no MA; primary outcome measured in different ways; longitudinal study; studies not combined due to clinical heterogeneity</w:t>
            </w:r>
          </w:p>
          <w:p w:rsidR="006938EF" w:rsidRPr="00604C0B" w:rsidRDefault="006938EF" w:rsidP="00DF1D1C">
            <w:pPr>
              <w:pStyle w:val="TableText"/>
            </w:pPr>
            <w:r w:rsidRPr="00604C0B">
              <w:t>Inclusion: single MA of primary outcome; primary outcome of interest not fully reported in MA or tabulated form in at least one trial</w:t>
            </w:r>
          </w:p>
          <w:p w:rsidR="006938EF" w:rsidRPr="00604C0B" w:rsidRDefault="006938EF" w:rsidP="00DF1D1C">
            <w:pPr>
              <w:pStyle w:val="TableText"/>
            </w:pPr>
            <w:r w:rsidRPr="00604C0B">
              <w:t>Trial exclusion: non-English; primary outcome fully reported; primary outcome clearly not reported; unclear whether primary outcome was measured, but no suspicion of reporting bias or likely to have not been reported because of zero events</w:t>
            </w:r>
          </w:p>
        </w:tc>
        <w:tc>
          <w:tcPr>
            <w:tcW w:w="2637" w:type="dxa"/>
          </w:tcPr>
          <w:p w:rsidR="006938EF" w:rsidRPr="00604C0B" w:rsidRDefault="006938EF" w:rsidP="00DF1D1C">
            <w:pPr>
              <w:pStyle w:val="TableText"/>
            </w:pPr>
            <w:r w:rsidRPr="00604C0B">
              <w:t>SR level</w:t>
            </w:r>
          </w:p>
          <w:p w:rsidR="006938EF" w:rsidRPr="00604C0B" w:rsidRDefault="006938EF" w:rsidP="00DF1D1C">
            <w:pPr>
              <w:pStyle w:val="TableText"/>
            </w:pPr>
            <w:r w:rsidRPr="00604C0B">
              <w:t>81 SRs for assessment of impact (RCTs: NR)</w:t>
            </w:r>
          </w:p>
          <w:p w:rsidR="006938EF" w:rsidRPr="00604C0B" w:rsidRDefault="006938EF" w:rsidP="00DF1D1C">
            <w:pPr>
              <w:pStyle w:val="TableText"/>
            </w:pPr>
            <w:r w:rsidRPr="00604C0B">
              <w:t>25 SRs for sensitivity analysis (RCTs: NR)</w:t>
            </w:r>
          </w:p>
          <w:p w:rsidR="006938EF" w:rsidRPr="00604C0B" w:rsidRDefault="006938EF" w:rsidP="00DF1D1C">
            <w:pPr>
              <w:pStyle w:val="TableText"/>
            </w:pPr>
          </w:p>
          <w:p w:rsidR="006938EF" w:rsidRPr="00604C0B" w:rsidRDefault="006938EF" w:rsidP="00DF1D1C">
            <w:pPr>
              <w:pStyle w:val="TableText"/>
            </w:pPr>
            <w:r w:rsidRPr="00604C0B">
              <w:t>Sources: SRs in 3 issues of the Cochrane Library representing 50 of the 51 Cochrane Collaboration review groups: Issue 4, (2006); Issues 1 &amp; 2 (2007).</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t>Hartling</w:t>
            </w:r>
            <w:proofErr w:type="spellEnd"/>
            <w:r>
              <w:t xml:space="preserve"> et al., 2011</w:t>
            </w:r>
            <w:r w:rsidRPr="00A1095B">
              <w:rPr>
                <w:rFonts w:ascii="Times New Roman" w:hAnsi="Times New Roman"/>
                <w:noProof/>
                <w:vertAlign w:val="superscript"/>
              </w:rPr>
              <w:t>34</w:t>
            </w:r>
          </w:p>
        </w:tc>
        <w:tc>
          <w:tcPr>
            <w:tcW w:w="2854" w:type="dxa"/>
            <w:gridSpan w:val="2"/>
          </w:tcPr>
          <w:p w:rsidR="006938EF" w:rsidRDefault="006938EF" w:rsidP="00DF1D1C">
            <w:pPr>
              <w:pStyle w:val="TableText"/>
            </w:pPr>
            <w:r>
              <w:t xml:space="preserve">Goal: To evaluate the relationship between risk of bias and effect estimates in RCTs and to examine differences when unclear </w:t>
            </w:r>
            <w:proofErr w:type="spellStart"/>
            <w:r>
              <w:t>RoB</w:t>
            </w:r>
            <w:proofErr w:type="spellEnd"/>
            <w:r>
              <w:t xml:space="preserve"> is grouped with low </w:t>
            </w:r>
            <w:proofErr w:type="spellStart"/>
            <w:r>
              <w:t>RoB</w:t>
            </w:r>
            <w:proofErr w:type="spellEnd"/>
            <w:r>
              <w:t xml:space="preserve"> and when it is grouped with high </w:t>
            </w:r>
            <w:proofErr w:type="spellStart"/>
            <w:r>
              <w:t>RoB</w:t>
            </w:r>
            <w:proofErr w:type="spellEnd"/>
          </w:p>
          <w:p w:rsidR="006938EF" w:rsidRDefault="006938EF" w:rsidP="00DF1D1C">
            <w:pPr>
              <w:pStyle w:val="TableText"/>
            </w:pPr>
          </w:p>
          <w:p w:rsidR="006938EF" w:rsidRDefault="006938EF" w:rsidP="00DF1D1C">
            <w:pPr>
              <w:pStyle w:val="TableText"/>
            </w:pPr>
            <w:r>
              <w:t>Biases examined:</w:t>
            </w:r>
          </w:p>
          <w:p w:rsidR="006938EF" w:rsidRDefault="006938EF" w:rsidP="006938EF">
            <w:pPr>
              <w:pStyle w:val="ListParagraph"/>
              <w:numPr>
                <w:ilvl w:val="0"/>
                <w:numId w:val="12"/>
              </w:numPr>
              <w:rPr>
                <w:rFonts w:ascii="Arial" w:eastAsia="Calibri" w:hAnsi="Arial" w:cs="Arial"/>
                <w:szCs w:val="18"/>
              </w:rPr>
            </w:pPr>
            <w:r>
              <w:rPr>
                <w:rFonts w:ascii="Arial" w:eastAsia="Calibri" w:hAnsi="Arial" w:cs="Arial"/>
                <w:szCs w:val="18"/>
              </w:rPr>
              <w:t>Sequence generation</w:t>
            </w:r>
          </w:p>
          <w:p w:rsidR="006938EF" w:rsidRDefault="006938EF" w:rsidP="006938EF">
            <w:pPr>
              <w:pStyle w:val="ListParagraph"/>
              <w:numPr>
                <w:ilvl w:val="0"/>
                <w:numId w:val="12"/>
              </w:numPr>
              <w:rPr>
                <w:rFonts w:ascii="Arial" w:eastAsia="Calibri" w:hAnsi="Arial" w:cs="Arial"/>
                <w:szCs w:val="18"/>
              </w:rPr>
            </w:pPr>
            <w:r>
              <w:rPr>
                <w:rFonts w:ascii="Arial" w:eastAsia="Calibri" w:hAnsi="Arial" w:cs="Arial"/>
                <w:szCs w:val="18"/>
              </w:rPr>
              <w:t>Allocation concealment</w:t>
            </w:r>
          </w:p>
          <w:p w:rsidR="006938EF" w:rsidRDefault="006938EF" w:rsidP="006938EF">
            <w:pPr>
              <w:pStyle w:val="ListParagraph"/>
              <w:numPr>
                <w:ilvl w:val="0"/>
                <w:numId w:val="12"/>
              </w:numPr>
              <w:rPr>
                <w:rFonts w:ascii="Arial" w:eastAsia="Calibri" w:hAnsi="Arial" w:cs="Arial"/>
                <w:szCs w:val="18"/>
              </w:rPr>
            </w:pPr>
            <w:r>
              <w:rPr>
                <w:rFonts w:ascii="Arial" w:eastAsia="Calibri" w:hAnsi="Arial" w:cs="Arial"/>
                <w:szCs w:val="18"/>
              </w:rPr>
              <w:t>Blinding</w:t>
            </w:r>
          </w:p>
          <w:p w:rsidR="006938EF" w:rsidRDefault="006938EF" w:rsidP="006938EF">
            <w:pPr>
              <w:pStyle w:val="ListParagraph"/>
              <w:numPr>
                <w:ilvl w:val="0"/>
                <w:numId w:val="12"/>
              </w:numPr>
              <w:rPr>
                <w:rFonts w:ascii="Arial" w:eastAsia="Calibri" w:hAnsi="Arial" w:cs="Arial"/>
                <w:szCs w:val="18"/>
              </w:rPr>
            </w:pPr>
            <w:r>
              <w:rPr>
                <w:rFonts w:ascii="Arial" w:eastAsia="Calibri" w:hAnsi="Arial" w:cs="Arial"/>
                <w:szCs w:val="18"/>
              </w:rPr>
              <w:t>Incomplete data</w:t>
            </w:r>
          </w:p>
          <w:p w:rsidR="006938EF" w:rsidRPr="0048258E" w:rsidRDefault="006938EF" w:rsidP="006938EF">
            <w:pPr>
              <w:pStyle w:val="ListParagraph"/>
              <w:numPr>
                <w:ilvl w:val="0"/>
                <w:numId w:val="12"/>
              </w:numPr>
              <w:rPr>
                <w:rFonts w:ascii="Arial" w:eastAsia="Calibri" w:hAnsi="Arial" w:cs="Arial"/>
                <w:szCs w:val="18"/>
              </w:rPr>
            </w:pPr>
            <w:r>
              <w:rPr>
                <w:rFonts w:ascii="Arial" w:eastAsia="Calibri" w:hAnsi="Arial" w:cs="Arial"/>
                <w:szCs w:val="18"/>
              </w:rPr>
              <w:t>Selective reporting</w:t>
            </w:r>
          </w:p>
        </w:tc>
        <w:tc>
          <w:tcPr>
            <w:tcW w:w="3067" w:type="dxa"/>
          </w:tcPr>
          <w:p w:rsidR="006938EF" w:rsidRDefault="006938EF" w:rsidP="00DF1D1C">
            <w:pPr>
              <w:pStyle w:val="TableText"/>
            </w:pPr>
            <w:r>
              <w:t>Conditions: Adults with persistent asthma</w:t>
            </w:r>
          </w:p>
          <w:p w:rsidR="006938EF" w:rsidRDefault="006938EF" w:rsidP="00DF1D1C">
            <w:pPr>
              <w:pStyle w:val="TableText"/>
            </w:pPr>
          </w:p>
          <w:p w:rsidR="006938EF" w:rsidRPr="0048258E" w:rsidRDefault="006938EF" w:rsidP="00DF1D1C">
            <w:pPr>
              <w:pStyle w:val="TableText"/>
            </w:pPr>
            <w:r>
              <w:t>Outcomes: Forced expiratory volume in 1 second (FEV</w:t>
            </w:r>
            <w:r>
              <w:rPr>
                <w:vertAlign w:val="subscript"/>
              </w:rPr>
              <w:t>1</w:t>
            </w:r>
            <w:r>
              <w:t>)</w:t>
            </w:r>
          </w:p>
        </w:tc>
        <w:tc>
          <w:tcPr>
            <w:tcW w:w="2899" w:type="dxa"/>
          </w:tcPr>
          <w:p w:rsidR="006938EF" w:rsidRPr="00604C0B" w:rsidRDefault="006938EF" w:rsidP="00DF1D1C">
            <w:pPr>
              <w:pStyle w:val="TableText"/>
            </w:pPr>
            <w:r>
              <w:t xml:space="preserve">Inclusion: RCTs included in a SR of combination long-acting beta-agonists and inhaled corticosteroids for maintenance therapy in persistent asthma.  </w:t>
            </w:r>
          </w:p>
        </w:tc>
        <w:tc>
          <w:tcPr>
            <w:tcW w:w="2637" w:type="dxa"/>
          </w:tcPr>
          <w:p w:rsidR="006938EF" w:rsidRDefault="006938EF" w:rsidP="00DF1D1C">
            <w:pPr>
              <w:pStyle w:val="TableText"/>
            </w:pPr>
            <w:r>
              <w:t>RCT level</w:t>
            </w:r>
          </w:p>
          <w:p w:rsidR="006938EF" w:rsidRDefault="006938EF" w:rsidP="00DF1D1C">
            <w:pPr>
              <w:pStyle w:val="TableText"/>
            </w:pPr>
            <w:r>
              <w:t xml:space="preserve">107 RCTs </w:t>
            </w:r>
          </w:p>
          <w:p w:rsidR="006938EF" w:rsidRDefault="006938EF" w:rsidP="00DF1D1C">
            <w:pPr>
              <w:pStyle w:val="TableText"/>
            </w:pPr>
          </w:p>
          <w:p w:rsidR="006938EF" w:rsidRPr="00604C0B" w:rsidRDefault="006938EF" w:rsidP="00DF1D1C">
            <w:pPr>
              <w:pStyle w:val="TableText"/>
            </w:pPr>
            <w:r>
              <w:t>Sources: electronic databases and grey literature</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Hempel</w:t>
            </w:r>
            <w:proofErr w:type="spellEnd"/>
            <w:r w:rsidRPr="00604C0B">
              <w:t xml:space="preserve"> et al., </w:t>
            </w:r>
            <w:r>
              <w:t xml:space="preserve">2012 </w:t>
            </w:r>
            <w:r w:rsidRPr="00A1095B">
              <w:rPr>
                <w:rFonts w:ascii="Times New Roman" w:hAnsi="Times New Roman"/>
                <w:noProof/>
                <w:vertAlign w:val="superscript"/>
              </w:rPr>
              <w:t>35</w:t>
            </w:r>
            <w:r>
              <w:t xml:space="preserve">, </w:t>
            </w:r>
            <w:r w:rsidRPr="00604C0B">
              <w:t xml:space="preserve">2011 </w:t>
            </w:r>
            <w:r w:rsidRPr="00A1095B">
              <w:rPr>
                <w:rFonts w:ascii="Times New Roman" w:hAnsi="Times New Roman"/>
                <w:noProof/>
                <w:vertAlign w:val="superscript"/>
              </w:rPr>
              <w:t>36</w:t>
            </w:r>
          </w:p>
        </w:tc>
        <w:tc>
          <w:tcPr>
            <w:tcW w:w="2854" w:type="dxa"/>
            <w:gridSpan w:val="2"/>
          </w:tcPr>
          <w:p w:rsidR="006938EF" w:rsidRPr="00604C0B" w:rsidRDefault="006938EF" w:rsidP="00DF1D1C">
            <w:pPr>
              <w:pStyle w:val="TableText"/>
            </w:pPr>
            <w:r w:rsidRPr="00604C0B">
              <w:t>Goal: to examine the empirical evidence for associations between a set of proposed quality criteria and estimates of effect sizes in RCTs using multiple datasets representing a variety of clinical fields and to explore variables potentially influencing the association (effect moderators or confounders); specifically,  whether (1) the overall size of the observed treatment effect, (2) the condition being treated, (3) the type of outcome, and (4) the variance in effect sizes across studies moderates or confounds the association between quality and effect sizes.</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DF1D1C">
            <w:pPr>
              <w:pStyle w:val="TableTextBullet"/>
            </w:pPr>
            <w:r w:rsidRPr="00604C0B">
              <w:t>Randomization (sequence generation and allocation concealment)</w:t>
            </w:r>
          </w:p>
          <w:p w:rsidR="006938EF" w:rsidRPr="00604C0B" w:rsidRDefault="006938EF" w:rsidP="00DF1D1C">
            <w:pPr>
              <w:pStyle w:val="TableTextBullet"/>
            </w:pPr>
            <w:r w:rsidRPr="00604C0B">
              <w:t>Assessor blinding</w:t>
            </w:r>
          </w:p>
          <w:p w:rsidR="006938EF" w:rsidRPr="00604C0B" w:rsidRDefault="006938EF" w:rsidP="00DF1D1C">
            <w:pPr>
              <w:pStyle w:val="TableTextBullet"/>
            </w:pPr>
            <w:r w:rsidRPr="00604C0B">
              <w:t xml:space="preserve">Patient blinding </w:t>
            </w:r>
          </w:p>
          <w:p w:rsidR="006938EF" w:rsidRPr="00604C0B" w:rsidRDefault="006938EF" w:rsidP="00DF1D1C">
            <w:pPr>
              <w:pStyle w:val="TableTextBullet"/>
            </w:pPr>
            <w:r w:rsidRPr="00604C0B">
              <w:t xml:space="preserve">Care provider blinding </w:t>
            </w:r>
          </w:p>
          <w:p w:rsidR="006938EF" w:rsidRPr="00604C0B" w:rsidRDefault="006938EF" w:rsidP="00DF1D1C">
            <w:pPr>
              <w:pStyle w:val="TableTextBullet"/>
            </w:pPr>
            <w:r w:rsidRPr="00604C0B">
              <w:t>Similar co-interventions/ compliance/timing</w:t>
            </w:r>
          </w:p>
          <w:p w:rsidR="006938EF" w:rsidRPr="00604C0B" w:rsidRDefault="006938EF" w:rsidP="00DF1D1C">
            <w:pPr>
              <w:pStyle w:val="TableTextBullet"/>
            </w:pPr>
            <w:r w:rsidRPr="00604C0B">
              <w:t>Drop-out rate</w:t>
            </w:r>
          </w:p>
        </w:tc>
        <w:tc>
          <w:tcPr>
            <w:tcW w:w="3067" w:type="dxa"/>
          </w:tcPr>
          <w:p w:rsidR="006938EF" w:rsidRPr="00604C0B" w:rsidRDefault="006938EF" w:rsidP="00DF1D1C">
            <w:pPr>
              <w:pStyle w:val="TableText"/>
            </w:pPr>
            <w:r w:rsidRPr="00604C0B">
              <w:t>Conditions: Various including back pain, complementary and alternative medicine, mental health (Alzheimer’s, obsessive compulsive-disorder), diabetes, digestive diseases, pregnancy and childbirth, and infectious diseases.</w:t>
            </w:r>
          </w:p>
          <w:p w:rsidR="006938EF" w:rsidRPr="00604C0B" w:rsidRDefault="006938EF" w:rsidP="00DF1D1C">
            <w:pPr>
              <w:pStyle w:val="TableText"/>
            </w:pPr>
          </w:p>
          <w:p w:rsidR="006938EF" w:rsidRPr="00604C0B" w:rsidRDefault="006938EF" w:rsidP="00DF1D1C">
            <w:pPr>
              <w:pStyle w:val="TableText"/>
            </w:pPr>
            <w:r w:rsidRPr="00604C0B">
              <w:t>Outcomes: Mostly continuous but some categorical such as death, pregnancy</w:t>
            </w:r>
          </w:p>
        </w:tc>
        <w:tc>
          <w:tcPr>
            <w:tcW w:w="2899" w:type="dxa"/>
          </w:tcPr>
          <w:p w:rsidR="006938EF" w:rsidRPr="00604C0B" w:rsidRDefault="006938EF" w:rsidP="00DF1D1C">
            <w:pPr>
              <w:pStyle w:val="TableText"/>
            </w:pPr>
            <w:r>
              <w:t>Include: RCTs from four</w:t>
            </w:r>
            <w:r w:rsidRPr="00604C0B">
              <w:t xml:space="preserve"> different data sets that contained MA. </w:t>
            </w:r>
          </w:p>
          <w:p w:rsidR="006938EF" w:rsidRPr="00604C0B" w:rsidRDefault="006938EF" w:rsidP="00DF1D1C">
            <w:pPr>
              <w:pStyle w:val="TableText"/>
            </w:pPr>
            <w:r w:rsidRPr="00604C0B">
              <w:t>Exclude: SRs that did not contain MA</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481 studies</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Herbison</w:t>
            </w:r>
            <w:proofErr w:type="spellEnd"/>
            <w:r w:rsidRPr="00604C0B">
              <w:t xml:space="preserve"> 2011</w:t>
            </w:r>
            <w:r w:rsidRPr="006327AA">
              <w:rPr>
                <w:rFonts w:ascii="Times New Roman" w:hAnsi="Times New Roman"/>
                <w:noProof/>
                <w:vertAlign w:val="superscript"/>
              </w:rPr>
              <w:t>37</w:t>
            </w:r>
            <w:r w:rsidRPr="00604C0B">
              <w:t xml:space="preserve"> </w:t>
            </w:r>
            <w:proofErr w:type="spellStart"/>
            <w:r w:rsidRPr="00604C0B">
              <w:t>Herbison</w:t>
            </w:r>
            <w:proofErr w:type="spellEnd"/>
            <w:r w:rsidRPr="00604C0B">
              <w:t xml:space="preserve"> 2006</w:t>
            </w:r>
            <w:r w:rsidRPr="006327AA">
              <w:rPr>
                <w:rFonts w:ascii="Times New Roman" w:hAnsi="Times New Roman"/>
                <w:noProof/>
                <w:vertAlign w:val="superscript"/>
              </w:rPr>
              <w:t>38</w:t>
            </w:r>
          </w:p>
          <w:p w:rsidR="006938EF" w:rsidRPr="00604C0B" w:rsidRDefault="006938EF" w:rsidP="00DF1D1C">
            <w:pPr>
              <w:rPr>
                <w:rFonts w:eastAsia="Calibri" w:cs="Arial"/>
                <w:szCs w:val="18"/>
              </w:rPr>
            </w:pPr>
          </w:p>
        </w:tc>
        <w:tc>
          <w:tcPr>
            <w:tcW w:w="2854" w:type="dxa"/>
            <w:gridSpan w:val="2"/>
          </w:tcPr>
          <w:p w:rsidR="006938EF" w:rsidRPr="00604C0B" w:rsidRDefault="006938EF" w:rsidP="00DF1D1C">
            <w:pPr>
              <w:pStyle w:val="TableText"/>
            </w:pPr>
            <w:r w:rsidRPr="00604C0B">
              <w:t xml:space="preserve">Goal: To determine how much bias is associated with different methods of </w:t>
            </w:r>
            <w:proofErr w:type="spellStart"/>
            <w:r w:rsidRPr="00604C0B">
              <w:t>tx</w:t>
            </w:r>
            <w:proofErr w:type="spellEnd"/>
            <w:r w:rsidRPr="00604C0B">
              <w:t xml:space="preserve"> allocation concealment (grouped into 6 categories).</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DF1D1C">
            <w:pPr>
              <w:pStyle w:val="TableTextBullet"/>
            </w:pPr>
            <w:r w:rsidRPr="00604C0B">
              <w:t>Allocation concealment</w:t>
            </w:r>
          </w:p>
        </w:tc>
        <w:tc>
          <w:tcPr>
            <w:tcW w:w="3067" w:type="dxa"/>
          </w:tcPr>
          <w:p w:rsidR="006938EF" w:rsidRPr="00604C0B" w:rsidRDefault="006938EF" w:rsidP="00DF1D1C">
            <w:pPr>
              <w:pStyle w:val="TableText"/>
            </w:pPr>
            <w:r w:rsidRPr="00604C0B">
              <w:t>Condition: Not limited by condition</w:t>
            </w:r>
          </w:p>
          <w:p w:rsidR="006938EF" w:rsidRPr="00604C0B" w:rsidRDefault="006938EF" w:rsidP="00DF1D1C">
            <w:pPr>
              <w:pStyle w:val="TableText"/>
            </w:pPr>
            <w:r w:rsidRPr="00604C0B">
              <w:t>Outcome: Any binary outcome</w:t>
            </w:r>
          </w:p>
        </w:tc>
        <w:tc>
          <w:tcPr>
            <w:tcW w:w="2899" w:type="dxa"/>
          </w:tcPr>
          <w:p w:rsidR="006938EF" w:rsidRPr="00604C0B" w:rsidRDefault="006938EF" w:rsidP="00DF1D1C">
            <w:pPr>
              <w:pStyle w:val="TableText"/>
            </w:pPr>
            <w:r w:rsidRPr="00604C0B">
              <w:t>Inclusion: SRs with binary outcomes, at least 10 included trials, and at least one trial with more than 500 people randomized to each arm.</w:t>
            </w:r>
          </w:p>
        </w:tc>
        <w:tc>
          <w:tcPr>
            <w:tcW w:w="2637" w:type="dxa"/>
          </w:tcPr>
          <w:p w:rsidR="006938EF" w:rsidRPr="00604C0B" w:rsidRDefault="006938EF" w:rsidP="00DF1D1C">
            <w:pPr>
              <w:pStyle w:val="TableText"/>
            </w:pPr>
            <w:r w:rsidRPr="00604C0B">
              <w:t>Meta-analysis</w:t>
            </w:r>
          </w:p>
          <w:p w:rsidR="006938EF" w:rsidRPr="00604C0B" w:rsidRDefault="006938EF" w:rsidP="00DF1D1C">
            <w:pPr>
              <w:pStyle w:val="TableText"/>
            </w:pPr>
            <w:r w:rsidRPr="00604C0B">
              <w:t>65 MAs from 18 SRs; 389 studies</w:t>
            </w:r>
          </w:p>
          <w:p w:rsidR="006938EF" w:rsidRPr="00604C0B" w:rsidRDefault="006938EF" w:rsidP="00DF1D1C">
            <w:pPr>
              <w:pStyle w:val="TableText"/>
            </w:pPr>
          </w:p>
          <w:p w:rsidR="006938EF" w:rsidRPr="00604C0B" w:rsidRDefault="006938EF" w:rsidP="00DF1D1C">
            <w:pPr>
              <w:pStyle w:val="TableText"/>
            </w:pPr>
            <w:r w:rsidRPr="00604C0B">
              <w:t>Source: Issue 1 (2001) of Cochrane Library</w:t>
            </w:r>
          </w:p>
        </w:tc>
      </w:tr>
    </w:tbl>
    <w:p w:rsidR="006938EF" w:rsidRPr="00604C0B" w:rsidRDefault="006938EF" w:rsidP="00DF1D1C">
      <w:r w:rsidRPr="00604C0B">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r w:rsidRPr="00604C0B">
              <w:t xml:space="preserve">Liu, </w:t>
            </w:r>
            <w:proofErr w:type="spellStart"/>
            <w:r w:rsidRPr="00604C0B">
              <w:t>LaValley</w:t>
            </w:r>
            <w:proofErr w:type="spellEnd"/>
            <w:r w:rsidRPr="00604C0B">
              <w:t xml:space="preserve"> &amp; Latham, 2011</w:t>
            </w:r>
            <w:r w:rsidRPr="00A1095B">
              <w:rPr>
                <w:rFonts w:ascii="Times New Roman" w:hAnsi="Times New Roman"/>
                <w:noProof/>
                <w:vertAlign w:val="superscript"/>
              </w:rPr>
              <w:t>39</w:t>
            </w:r>
          </w:p>
        </w:tc>
        <w:tc>
          <w:tcPr>
            <w:tcW w:w="2854" w:type="dxa"/>
            <w:gridSpan w:val="2"/>
          </w:tcPr>
          <w:p w:rsidR="006938EF" w:rsidRPr="00604C0B" w:rsidRDefault="006938EF" w:rsidP="00DF1D1C">
            <w:pPr>
              <w:pStyle w:val="TableText"/>
            </w:pPr>
            <w:r w:rsidRPr="00604C0B">
              <w:t>Goal: To determine the differential effects of progressive resistance strength training on lower limb muscle strength in older adults between RCTs that used blinded outcome assessors and those that did not. As a further step, to determine the influence of ITT analysis while estimating the effect of blinding</w:t>
            </w:r>
          </w:p>
          <w:p w:rsidR="006938EF" w:rsidRPr="00604C0B" w:rsidRDefault="006938EF" w:rsidP="00DF1D1C">
            <w:pPr>
              <w:pStyle w:val="TableText"/>
            </w:pPr>
          </w:p>
          <w:p w:rsidR="006938EF" w:rsidRPr="00604C0B" w:rsidRDefault="006938EF" w:rsidP="00DF1D1C">
            <w:pPr>
              <w:pStyle w:val="TableText"/>
            </w:pPr>
            <w:r w:rsidRPr="00604C0B">
              <w:t xml:space="preserve">Bias examined: </w:t>
            </w:r>
          </w:p>
          <w:p w:rsidR="006938EF" w:rsidRPr="00604C0B" w:rsidRDefault="006938EF" w:rsidP="00DF1D1C">
            <w:pPr>
              <w:pStyle w:val="TableTextBullet"/>
            </w:pPr>
            <w:r w:rsidRPr="00604C0B">
              <w:t>Blinding</w:t>
            </w:r>
          </w:p>
        </w:tc>
        <w:tc>
          <w:tcPr>
            <w:tcW w:w="3067" w:type="dxa"/>
          </w:tcPr>
          <w:p w:rsidR="006938EF" w:rsidRPr="00604C0B" w:rsidRDefault="006938EF" w:rsidP="00DF1D1C">
            <w:pPr>
              <w:pStyle w:val="TableText"/>
            </w:pPr>
            <w:r w:rsidRPr="00604C0B">
              <w:t xml:space="preserve">Condition: Not limited by condition; </w:t>
            </w:r>
          </w:p>
          <w:p w:rsidR="006938EF" w:rsidRPr="00604C0B" w:rsidRDefault="006938EF" w:rsidP="00DF1D1C">
            <w:pPr>
              <w:pStyle w:val="TableText"/>
            </w:pPr>
          </w:p>
          <w:p w:rsidR="006938EF" w:rsidRPr="00604C0B" w:rsidRDefault="006938EF" w:rsidP="00DF1D1C">
            <w:pPr>
              <w:pStyle w:val="TableText"/>
            </w:pPr>
            <w:r w:rsidRPr="00604C0B">
              <w:t>Outcome: Contin</w:t>
            </w:r>
            <w:r>
              <w:t>u</w:t>
            </w:r>
            <w:r w:rsidRPr="00604C0B">
              <w:t xml:space="preserve">ous outcome measuring lower limb muscle strength </w:t>
            </w:r>
          </w:p>
        </w:tc>
        <w:tc>
          <w:tcPr>
            <w:tcW w:w="2899" w:type="dxa"/>
          </w:tcPr>
          <w:p w:rsidR="006938EF" w:rsidRPr="00604C0B" w:rsidRDefault="006938EF" w:rsidP="00DF1D1C">
            <w:pPr>
              <w:pStyle w:val="TableText"/>
            </w:pPr>
            <w:r w:rsidRPr="00604C0B">
              <w:t>Include: Must measure lower limb muscle strength, participants ≥60 years of age, progressive resistance training was main intervention</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73 studies</w:t>
            </w:r>
          </w:p>
          <w:p w:rsidR="006938EF" w:rsidRPr="00604C0B" w:rsidRDefault="006938EF" w:rsidP="00DF1D1C">
            <w:pPr>
              <w:pStyle w:val="TableText"/>
            </w:pPr>
          </w:p>
          <w:p w:rsidR="006938EF" w:rsidRPr="00604C0B" w:rsidRDefault="006938EF" w:rsidP="00DF1D1C">
            <w:pPr>
              <w:pStyle w:val="TableText"/>
            </w:pPr>
          </w:p>
          <w:p w:rsidR="006938EF" w:rsidRPr="00604C0B" w:rsidRDefault="006938EF" w:rsidP="00DF1D1C">
            <w:pPr>
              <w:pStyle w:val="TableText"/>
            </w:pP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rPr>
                <w:rFonts w:asciiTheme="minorBidi" w:hAnsiTheme="minorBidi" w:cstheme="minorBidi"/>
              </w:rPr>
              <w:t>Hartling</w:t>
            </w:r>
            <w:proofErr w:type="spellEnd"/>
            <w:r w:rsidRPr="00604C0B">
              <w:rPr>
                <w:rFonts w:asciiTheme="minorBidi" w:hAnsiTheme="minorBidi" w:cstheme="minorBidi"/>
              </w:rPr>
              <w:t xml:space="preserve"> et al., 2012 </w:t>
            </w:r>
            <w:r w:rsidRPr="00A1095B">
              <w:rPr>
                <w:rFonts w:ascii="Times New Roman" w:hAnsi="Times New Roman"/>
                <w:noProof/>
                <w:vertAlign w:val="superscript"/>
              </w:rPr>
              <w:t>3</w:t>
            </w:r>
          </w:p>
        </w:tc>
        <w:tc>
          <w:tcPr>
            <w:tcW w:w="2854" w:type="dxa"/>
            <w:gridSpan w:val="2"/>
          </w:tcPr>
          <w:p w:rsidR="006938EF" w:rsidRPr="00604C0B" w:rsidRDefault="006938EF" w:rsidP="00DF1D1C">
            <w:pPr>
              <w:pStyle w:val="TableText"/>
            </w:pPr>
            <w:r w:rsidRPr="00604C0B">
              <w:t>Goal: To assess the reliability of the Cochrane ROB tool for RCTs and the Newcastle-Ottawa Scale (NOS) for cohort studies between individual raters, and between consensus agreements of individual raters for the ROB tool; assess the validity of the Cochrane ROB tool and NOS by examining the association between study quality and treatment effect size; examine the impact of study-level factors (e.g., outcomes, interventions and conditions) on scale reliability and validity.</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 xml:space="preserve">randomization </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allocation concealment</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double blinding</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Selective outcome reporting</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Attrition</w:t>
            </w:r>
          </w:p>
        </w:tc>
        <w:tc>
          <w:tcPr>
            <w:tcW w:w="3067" w:type="dxa"/>
          </w:tcPr>
          <w:p w:rsidR="006938EF" w:rsidRPr="00604C0B" w:rsidRDefault="006938EF" w:rsidP="00DF1D1C">
            <w:pPr>
              <w:pStyle w:val="TableText"/>
            </w:pPr>
            <w:r w:rsidRPr="00604C0B">
              <w:t xml:space="preserve">Conditions:  Varied across studies. The most frequently represented categories were circulatory and respiratory health (18 percent), nutrition, metabolism, and diabetes (17 percent), and musculoskeletal health and arthritis (15 percent). The primary outcomes were objective in 48 percent of trials and subjective in 52 percent. Source of outcome assessment was primarily by clinician (35 percent), laboratory measure (23 percent), or self-report (23 percent). </w:t>
            </w:r>
          </w:p>
          <w:p w:rsidR="006938EF" w:rsidRPr="00604C0B" w:rsidRDefault="006938EF" w:rsidP="00DF1D1C">
            <w:pPr>
              <w:pStyle w:val="TableText"/>
            </w:pPr>
          </w:p>
          <w:p w:rsidR="006938EF" w:rsidRPr="00604C0B" w:rsidRDefault="006938EF" w:rsidP="00DF1D1C">
            <w:pPr>
              <w:pStyle w:val="TableText"/>
            </w:pPr>
            <w:r w:rsidRPr="00604C0B">
              <w:t xml:space="preserve">Outcomes: 1) Objective include </w:t>
            </w:r>
            <w:proofErr w:type="spellStart"/>
            <w:r w:rsidRPr="00604C0B">
              <w:t>all cause</w:t>
            </w:r>
            <w:proofErr w:type="spellEnd"/>
            <w:r w:rsidRPr="00604C0B">
              <w:t xml:space="preserve"> mortality, measures based on a recognized laboratory procedure, surgical or instrumental outcomes and other objective measures.</w:t>
            </w:r>
          </w:p>
          <w:p w:rsidR="006938EF" w:rsidRPr="00604C0B" w:rsidRDefault="006938EF" w:rsidP="00DF1D1C">
            <w:pPr>
              <w:pStyle w:val="TableText"/>
            </w:pPr>
            <w:r w:rsidRPr="00604C0B">
              <w:t>2) Subjective include patient reported, physician assessed disease outcomes, measures combined from several outcomes, and withdrawals or study dropouts.</w:t>
            </w:r>
          </w:p>
        </w:tc>
        <w:tc>
          <w:tcPr>
            <w:tcW w:w="2899" w:type="dxa"/>
          </w:tcPr>
          <w:p w:rsidR="006938EF" w:rsidRPr="00604C0B" w:rsidRDefault="006938EF" w:rsidP="00DF1D1C">
            <w:pPr>
              <w:pStyle w:val="TableText"/>
            </w:pPr>
            <w:r w:rsidRPr="00604C0B">
              <w:t>Inclusion: RCTs elected from previous study by Hopewell 2010 and selected random sample (154/ 616) representing approximately 25% of the original trials.</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154 studies</w:t>
            </w:r>
          </w:p>
          <w:p w:rsidR="006938EF" w:rsidRPr="00604C0B" w:rsidRDefault="006938EF" w:rsidP="00DF1D1C">
            <w:pPr>
              <w:pStyle w:val="TableText"/>
            </w:pPr>
          </w:p>
          <w:p w:rsidR="006938EF" w:rsidRPr="00604C0B" w:rsidRDefault="006938EF" w:rsidP="00DF1D1C">
            <w:pPr>
              <w:pStyle w:val="TableText"/>
            </w:pPr>
            <w:r w:rsidRPr="00604C0B">
              <w:t>Source: previous study by Hopewell 2010</w:t>
            </w:r>
          </w:p>
        </w:tc>
      </w:tr>
    </w:tbl>
    <w:p w:rsidR="006938EF" w:rsidRDefault="006938EF" w:rsidP="00DF1D1C"/>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pPr>
            <w:proofErr w:type="spellStart"/>
            <w:r w:rsidRPr="00604C0B">
              <w:t>Hrobjartsson</w:t>
            </w:r>
            <w:proofErr w:type="spellEnd"/>
            <w:r w:rsidRPr="00604C0B">
              <w:t xml:space="preserve"> et al., 2012 </w:t>
            </w:r>
            <w:r w:rsidRPr="00A1095B">
              <w:rPr>
                <w:rFonts w:ascii="Times New Roman" w:hAnsi="Times New Roman"/>
                <w:noProof/>
                <w:vertAlign w:val="superscript"/>
              </w:rPr>
              <w:t>40</w:t>
            </w:r>
          </w:p>
        </w:tc>
        <w:tc>
          <w:tcPr>
            <w:tcW w:w="2854" w:type="dxa"/>
            <w:gridSpan w:val="2"/>
          </w:tcPr>
          <w:p w:rsidR="006938EF" w:rsidRPr="00604C0B" w:rsidRDefault="006938EF" w:rsidP="00DF1D1C">
            <w:pPr>
              <w:pStyle w:val="TableText"/>
            </w:pPr>
            <w:r w:rsidRPr="00604C0B">
              <w:t>Goal: To review RCTs with blinded and non-blinded assessors of binary outcomes to evaluate the impact of non-blinded outcome assessment on estimated treatment effects and to examine reasons for the variation.</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Assessor blinding</w:t>
            </w:r>
          </w:p>
        </w:tc>
        <w:tc>
          <w:tcPr>
            <w:tcW w:w="3067" w:type="dxa"/>
          </w:tcPr>
          <w:p w:rsidR="006938EF" w:rsidRPr="00604C0B" w:rsidRDefault="006938EF" w:rsidP="00DF1D1C">
            <w:pPr>
              <w:pStyle w:val="TableText"/>
            </w:pPr>
            <w:r w:rsidRPr="00604C0B">
              <w:t>Condition: Not searched in relation to specific conditions but included general surgery, orthopedic surgery, plastic surgery, cardiology, gynecology, anesthesiology, neurology, psychiatry, dermatology, otolaryngology, infectious diseases, and ophthalmology.</w:t>
            </w:r>
          </w:p>
          <w:p w:rsidR="006938EF" w:rsidRPr="00604C0B" w:rsidRDefault="006938EF" w:rsidP="00DF1D1C">
            <w:pPr>
              <w:pStyle w:val="TableText"/>
            </w:pPr>
          </w:p>
          <w:p w:rsidR="006938EF" w:rsidRPr="00604C0B" w:rsidRDefault="006938EF" w:rsidP="00DF1D1C">
            <w:pPr>
              <w:pStyle w:val="TableText"/>
            </w:pPr>
            <w:r w:rsidRPr="00604C0B">
              <w:t>Outcome: One, primary, binary outcome from each RCT.</w:t>
            </w:r>
          </w:p>
        </w:tc>
        <w:tc>
          <w:tcPr>
            <w:tcW w:w="2899" w:type="dxa"/>
          </w:tcPr>
          <w:p w:rsidR="006938EF" w:rsidRPr="00604C0B" w:rsidRDefault="006938EF" w:rsidP="00DF1D1C">
            <w:pPr>
              <w:pStyle w:val="TableText"/>
            </w:pPr>
            <w:r w:rsidRPr="00604C0B">
              <w:t xml:space="preserve">Inclusion: RCT, blinded and non-blinded assessment of the same binary outcome, if more than one outcome met criteria, the primary outcome was chosen. </w:t>
            </w:r>
          </w:p>
          <w:p w:rsidR="006938EF" w:rsidRPr="00604C0B" w:rsidRDefault="006938EF" w:rsidP="00DF1D1C">
            <w:pPr>
              <w:pStyle w:val="TableText"/>
            </w:pPr>
            <w:r w:rsidRPr="00604C0B">
              <w:t xml:space="preserve">Exclude: 1) Unclear which group was experimental and which control, 2) only a subgroup of patients evaluated by blinded and non-blinded assessors, unless they were selected at random, 3) blinded and non-blinded assessors had access to each other's results (e.g., blinded assessments were provided to non-blinded assessors as a quality enhancement procedure), 4) initially blinded assessors clearly had become </w:t>
            </w:r>
            <w:proofErr w:type="spellStart"/>
            <w:r w:rsidRPr="00604C0B">
              <w:t>unblinded</w:t>
            </w:r>
            <w:proofErr w:type="spellEnd"/>
            <w:r w:rsidRPr="00604C0B">
              <w:t>, 5) blinded end point committees adjudicating the assessments made by non-blinded clinicians because such adjudication often involved previous knowledge of the non-blinded assessment or is restricted t</w:t>
            </w:r>
            <w:r>
              <w:t xml:space="preserve">o adjudication of events only. </w:t>
            </w:r>
          </w:p>
        </w:tc>
        <w:tc>
          <w:tcPr>
            <w:tcW w:w="2637" w:type="dxa"/>
          </w:tcPr>
          <w:p w:rsidR="006938EF" w:rsidRPr="00604C0B" w:rsidRDefault="006938EF" w:rsidP="00DF1D1C">
            <w:pPr>
              <w:pStyle w:val="TableText"/>
            </w:pPr>
            <w:r w:rsidRPr="00604C0B">
              <w:t>RCT level</w:t>
            </w:r>
          </w:p>
          <w:p w:rsidR="006938EF" w:rsidRPr="00604C0B" w:rsidRDefault="006938EF" w:rsidP="00DF1D1C">
            <w:pPr>
              <w:pStyle w:val="TableText"/>
            </w:pPr>
            <w:r w:rsidRPr="00604C0B">
              <w:t>25 RCTs included and of these, 21 RCTs analyzed</w:t>
            </w:r>
          </w:p>
          <w:p w:rsidR="006938EF" w:rsidRPr="00604C0B" w:rsidRDefault="006938EF" w:rsidP="00DF1D1C">
            <w:pPr>
              <w:pStyle w:val="TableText"/>
            </w:pPr>
          </w:p>
          <w:p w:rsidR="006938EF" w:rsidRPr="00604C0B" w:rsidRDefault="006938EF" w:rsidP="00DF1D1C">
            <w:pPr>
              <w:pStyle w:val="TableText"/>
            </w:pPr>
            <w:r w:rsidRPr="00604C0B">
              <w:t xml:space="preserve">Searched: PubMed, </w:t>
            </w:r>
            <w:proofErr w:type="spellStart"/>
            <w:r w:rsidRPr="00604C0B">
              <w:t>Embase</w:t>
            </w:r>
            <w:proofErr w:type="spellEnd"/>
            <w:r w:rsidRPr="00604C0B">
              <w:t xml:space="preserve">, </w:t>
            </w:r>
            <w:proofErr w:type="spellStart"/>
            <w:r w:rsidRPr="00604C0B">
              <w:t>PsycINFO</w:t>
            </w:r>
            <w:proofErr w:type="spellEnd"/>
            <w:r w:rsidRPr="00604C0B">
              <w:t>, CINAHL, Cochrane Register of Controlled Trials, full text databases (High Wire Press and Google Scholar). Last search: January 26, 2010</w:t>
            </w:r>
          </w:p>
        </w:tc>
      </w:tr>
    </w:tbl>
    <w:p w:rsidR="006938EF" w:rsidRDefault="006938EF" w:rsidP="00DF1D1C"/>
    <w:p w:rsidR="006938EF" w:rsidRDefault="006938EF" w:rsidP="00DF1D1C">
      <w:r>
        <w:br w:type="page"/>
      </w:r>
    </w:p>
    <w:p w:rsidR="006938EF" w:rsidRPr="00604C0B" w:rsidRDefault="006938EF" w:rsidP="00DF1D1C">
      <w:pPr>
        <w:pStyle w:val="AppendixTableTitle"/>
      </w:pPr>
      <w:r w:rsidRPr="00604C0B">
        <w:lastRenderedPageBreak/>
        <w:t xml:space="preserve">Table </w:t>
      </w:r>
      <w:r>
        <w:rPr>
          <w:noProof/>
        </w:rPr>
        <w:t>D-1</w:t>
      </w:r>
      <w:r w:rsidRPr="00604C0B">
        <w:t>. Characteristics of all included studies (continued)</w:t>
      </w:r>
    </w:p>
    <w:tbl>
      <w:tblPr>
        <w:tblStyle w:val="AHRQ11"/>
        <w:tblW w:w="0" w:type="auto"/>
        <w:tblCellMar>
          <w:left w:w="29" w:type="dxa"/>
          <w:right w:w="29" w:type="dxa"/>
        </w:tblCellMar>
        <w:tblLook w:val="04A0" w:firstRow="1" w:lastRow="0" w:firstColumn="1" w:lastColumn="0" w:noHBand="0" w:noVBand="1"/>
      </w:tblPr>
      <w:tblGrid>
        <w:gridCol w:w="1406"/>
        <w:gridCol w:w="8"/>
        <w:gridCol w:w="2846"/>
        <w:gridCol w:w="3067"/>
        <w:gridCol w:w="2899"/>
        <w:gridCol w:w="2637"/>
        <w:gridCol w:w="155"/>
      </w:tblGrid>
      <w:tr w:rsidR="006938EF" w:rsidRPr="00604C0B" w:rsidTr="00DF1D1C">
        <w:trPr>
          <w:cnfStyle w:val="100000000000" w:firstRow="1" w:lastRow="0" w:firstColumn="0" w:lastColumn="0" w:oddVBand="0" w:evenVBand="0" w:oddHBand="0" w:evenHBand="0" w:firstRowFirstColumn="0" w:firstRowLastColumn="0" w:lastRowFirstColumn="0" w:lastRowLastColumn="0"/>
          <w:tblHeader/>
        </w:trPr>
        <w:tc>
          <w:tcPr>
            <w:tcW w:w="1414" w:type="dxa"/>
            <w:gridSpan w:val="2"/>
            <w:vAlign w:val="bottom"/>
          </w:tcPr>
          <w:p w:rsidR="006938EF" w:rsidRPr="00604C0B" w:rsidRDefault="006938EF" w:rsidP="00DF1D1C">
            <w:pPr>
              <w:pStyle w:val="TableText"/>
            </w:pPr>
            <w:r w:rsidRPr="00604C0B">
              <w:t>Study Identification</w:t>
            </w:r>
          </w:p>
        </w:tc>
        <w:tc>
          <w:tcPr>
            <w:tcW w:w="2846" w:type="dxa"/>
            <w:vAlign w:val="bottom"/>
          </w:tcPr>
          <w:p w:rsidR="006938EF" w:rsidRPr="00604C0B" w:rsidRDefault="006938EF" w:rsidP="00DF1D1C">
            <w:pPr>
              <w:pStyle w:val="TableText"/>
            </w:pPr>
            <w:r w:rsidRPr="00604C0B">
              <w:t>Goal of Study/Approach to Controlling for Biases in Study Conduct</w:t>
            </w:r>
          </w:p>
        </w:tc>
        <w:tc>
          <w:tcPr>
            <w:tcW w:w="3067" w:type="dxa"/>
            <w:vAlign w:val="bottom"/>
          </w:tcPr>
          <w:p w:rsidR="006938EF" w:rsidRPr="00604C0B" w:rsidRDefault="006938EF" w:rsidP="00DF1D1C">
            <w:pPr>
              <w:pStyle w:val="TableText"/>
            </w:pPr>
            <w:r w:rsidRPr="00604C0B">
              <w:t>Conditions Evaluated/</w:t>
            </w:r>
          </w:p>
          <w:p w:rsidR="006938EF" w:rsidRPr="00604C0B" w:rsidRDefault="006938EF" w:rsidP="00DF1D1C">
            <w:pPr>
              <w:pStyle w:val="TableText"/>
            </w:pPr>
            <w:r w:rsidRPr="00604C0B">
              <w:t>Outcomes Reported</w:t>
            </w:r>
          </w:p>
        </w:tc>
        <w:tc>
          <w:tcPr>
            <w:tcW w:w="2899" w:type="dxa"/>
            <w:vAlign w:val="bottom"/>
          </w:tcPr>
          <w:p w:rsidR="006938EF" w:rsidRPr="00604C0B" w:rsidRDefault="006938EF" w:rsidP="00DF1D1C">
            <w:pPr>
              <w:pStyle w:val="TableText"/>
            </w:pPr>
            <w:r w:rsidRPr="00604C0B">
              <w:t>Inclusion/Exclusion Criteria</w:t>
            </w:r>
          </w:p>
        </w:tc>
        <w:tc>
          <w:tcPr>
            <w:tcW w:w="2792" w:type="dxa"/>
            <w:gridSpan w:val="2"/>
            <w:vAlign w:val="bottom"/>
          </w:tcPr>
          <w:p w:rsidR="006938EF" w:rsidRPr="00604C0B" w:rsidRDefault="006938EF" w:rsidP="00DF1D1C">
            <w:pPr>
              <w:pStyle w:val="TableText"/>
            </w:pPr>
            <w:r w:rsidRPr="00604C0B">
              <w:t>Unit of Analysis and Included</w:t>
            </w:r>
          </w:p>
          <w:p w:rsidR="006938EF" w:rsidRPr="00604C0B" w:rsidRDefault="006938EF" w:rsidP="00DF1D1C">
            <w:pPr>
              <w:pStyle w:val="TableText"/>
            </w:pPr>
          </w:p>
          <w:p w:rsidR="006938EF" w:rsidRPr="00604C0B" w:rsidRDefault="006938EF" w:rsidP="00DF1D1C">
            <w:pPr>
              <w:pStyle w:val="TableText"/>
            </w:pPr>
            <w:r w:rsidRPr="00604C0B">
              <w:t>Sources Searched for Studies or MA</w:t>
            </w:r>
          </w:p>
        </w:tc>
      </w:tr>
      <w:tr w:rsidR="006938EF" w:rsidRPr="00604C0B" w:rsidTr="00DF1D1C">
        <w:trPr>
          <w:gridAfter w:val="1"/>
          <w:wAfter w:w="155" w:type="dxa"/>
        </w:trPr>
        <w:tc>
          <w:tcPr>
            <w:tcW w:w="1406" w:type="dxa"/>
          </w:tcPr>
          <w:p w:rsidR="006938EF" w:rsidRPr="00604C0B" w:rsidRDefault="006938EF" w:rsidP="00DF1D1C">
            <w:pPr>
              <w:pStyle w:val="TableText"/>
              <w:rPr>
                <w:rFonts w:asciiTheme="minorBidi" w:hAnsiTheme="minorBidi" w:cstheme="minorBidi"/>
              </w:rPr>
            </w:pPr>
            <w:proofErr w:type="spellStart"/>
            <w:r w:rsidRPr="00604C0B">
              <w:rPr>
                <w:rFonts w:asciiTheme="minorBidi" w:hAnsiTheme="minorBidi" w:cstheme="minorBidi"/>
              </w:rPr>
              <w:t>Mhaskar</w:t>
            </w:r>
            <w:proofErr w:type="spellEnd"/>
            <w:r w:rsidRPr="00604C0B">
              <w:rPr>
                <w:rFonts w:asciiTheme="minorBidi" w:hAnsiTheme="minorBidi" w:cstheme="minorBidi"/>
              </w:rPr>
              <w:t xml:space="preserve"> et al., 2012 </w:t>
            </w:r>
            <w:r w:rsidRPr="00A1095B">
              <w:rPr>
                <w:rFonts w:ascii="Times New Roman" w:hAnsi="Times New Roman" w:cs="Times New Roman"/>
                <w:noProof/>
                <w:vertAlign w:val="superscript"/>
              </w:rPr>
              <w:t>41</w:t>
            </w:r>
          </w:p>
        </w:tc>
        <w:tc>
          <w:tcPr>
            <w:tcW w:w="2854" w:type="dxa"/>
            <w:gridSpan w:val="2"/>
          </w:tcPr>
          <w:p w:rsidR="006938EF" w:rsidRPr="00604C0B" w:rsidRDefault="006938EF" w:rsidP="00DF1D1C">
            <w:pPr>
              <w:pStyle w:val="TableText"/>
            </w:pPr>
            <w:r w:rsidRPr="00604C0B">
              <w:t>Goal: To assess whether the reported methodological quality of RCTs reflects the actual methodological quality and to evaluate the association of effect size and sample size with methodological quality</w:t>
            </w:r>
          </w:p>
          <w:p w:rsidR="006938EF" w:rsidRPr="00604C0B" w:rsidRDefault="006938EF" w:rsidP="00DF1D1C">
            <w:pPr>
              <w:pStyle w:val="TableText"/>
            </w:pPr>
          </w:p>
          <w:p w:rsidR="006938EF" w:rsidRPr="00604C0B" w:rsidRDefault="006938EF" w:rsidP="00DF1D1C">
            <w:pPr>
              <w:pStyle w:val="TableText"/>
            </w:pPr>
            <w:r w:rsidRPr="00604C0B">
              <w:t>Biases examined:</w:t>
            </w:r>
          </w:p>
          <w:p w:rsidR="006938EF" w:rsidRPr="00604C0B" w:rsidRDefault="006938EF" w:rsidP="006938EF">
            <w:pPr>
              <w:pStyle w:val="ListParagraph"/>
              <w:numPr>
                <w:ilvl w:val="0"/>
                <w:numId w:val="12"/>
              </w:numPr>
              <w:rPr>
                <w:rFonts w:ascii="Arial" w:eastAsia="Calibri" w:hAnsi="Arial" w:cs="Arial"/>
                <w:szCs w:val="18"/>
              </w:rPr>
            </w:pPr>
            <w:r w:rsidRPr="00604C0B">
              <w:rPr>
                <w:rFonts w:ascii="Arial" w:eastAsia="Calibri" w:hAnsi="Arial" w:cs="Arial"/>
                <w:szCs w:val="18"/>
              </w:rPr>
              <w:t>Selective outcome reporting:</w:t>
            </w:r>
          </w:p>
          <w:p w:rsidR="006938EF" w:rsidRPr="00604C0B" w:rsidRDefault="006938EF" w:rsidP="006938EF">
            <w:pPr>
              <w:pStyle w:val="ListParagraph"/>
              <w:numPr>
                <w:ilvl w:val="0"/>
                <w:numId w:val="12"/>
              </w:numPr>
              <w:rPr>
                <w:rFonts w:ascii="Arial" w:eastAsia="Calibri" w:hAnsi="Arial" w:cs="Arial"/>
                <w:szCs w:val="18"/>
              </w:rPr>
            </w:pPr>
            <w:r w:rsidRPr="00604C0B">
              <w:rPr>
                <w:rFonts w:ascii="Arial" w:eastAsia="Calibri" w:hAnsi="Arial" w:cs="Arial"/>
                <w:szCs w:val="18"/>
              </w:rPr>
              <w:t xml:space="preserve">generation of randomization sequence </w:t>
            </w:r>
          </w:p>
          <w:p w:rsidR="006938EF" w:rsidRPr="00604C0B" w:rsidRDefault="006938EF" w:rsidP="006938EF">
            <w:pPr>
              <w:pStyle w:val="ListParagraph"/>
              <w:numPr>
                <w:ilvl w:val="0"/>
                <w:numId w:val="12"/>
              </w:numPr>
              <w:rPr>
                <w:rFonts w:ascii="Arial" w:eastAsia="Calibri" w:hAnsi="Arial" w:cs="Arial"/>
                <w:szCs w:val="18"/>
              </w:rPr>
            </w:pPr>
            <w:r w:rsidRPr="00604C0B">
              <w:rPr>
                <w:rFonts w:ascii="Arial" w:eastAsia="Calibri" w:hAnsi="Arial" w:cs="Arial"/>
                <w:szCs w:val="18"/>
              </w:rPr>
              <w:t>allocation concealment</w:t>
            </w:r>
          </w:p>
          <w:p w:rsidR="006938EF" w:rsidRPr="00604C0B" w:rsidRDefault="006938EF" w:rsidP="006938EF">
            <w:pPr>
              <w:pStyle w:val="ListParagraph"/>
              <w:numPr>
                <w:ilvl w:val="0"/>
                <w:numId w:val="12"/>
              </w:numPr>
              <w:rPr>
                <w:rFonts w:ascii="Arial" w:eastAsia="Calibri" w:hAnsi="Arial" w:cs="Arial"/>
                <w:szCs w:val="18"/>
              </w:rPr>
            </w:pPr>
            <w:r w:rsidRPr="00604C0B">
              <w:rPr>
                <w:rFonts w:ascii="Arial" w:eastAsia="Calibri" w:hAnsi="Arial" w:cs="Arial"/>
                <w:szCs w:val="18"/>
              </w:rPr>
              <w:t>intention-to-treat and description of dropouts</w:t>
            </w:r>
          </w:p>
          <w:p w:rsidR="006938EF" w:rsidRPr="00604C0B" w:rsidRDefault="006938EF" w:rsidP="006938EF">
            <w:pPr>
              <w:pStyle w:val="ListParagraph"/>
              <w:numPr>
                <w:ilvl w:val="0"/>
                <w:numId w:val="12"/>
              </w:numPr>
              <w:rPr>
                <w:rFonts w:ascii="Arial" w:eastAsia="Calibri" w:hAnsi="Arial" w:cs="Arial"/>
                <w:szCs w:val="18"/>
              </w:rPr>
            </w:pPr>
            <w:r w:rsidRPr="00604C0B">
              <w:rPr>
                <w:rFonts w:ascii="Arial" w:eastAsia="Calibri" w:hAnsi="Arial" w:cs="Arial"/>
                <w:szCs w:val="18"/>
              </w:rPr>
              <w:t xml:space="preserve">description of blinding procedures and appropriate statistical methods </w:t>
            </w:r>
          </w:p>
        </w:tc>
        <w:tc>
          <w:tcPr>
            <w:tcW w:w="3067" w:type="dxa"/>
          </w:tcPr>
          <w:p w:rsidR="006938EF" w:rsidRPr="00604C0B" w:rsidRDefault="006938EF" w:rsidP="00DF1D1C">
            <w:pPr>
              <w:pStyle w:val="TableText"/>
            </w:pPr>
            <w:r w:rsidRPr="00604C0B">
              <w:t>Conditions: Cancer trials</w:t>
            </w:r>
          </w:p>
          <w:p w:rsidR="006938EF" w:rsidRPr="00604C0B" w:rsidRDefault="006938EF" w:rsidP="00DF1D1C">
            <w:pPr>
              <w:pStyle w:val="TableText"/>
            </w:pPr>
          </w:p>
          <w:p w:rsidR="006938EF" w:rsidRPr="00604C0B" w:rsidRDefault="006938EF" w:rsidP="00DF1D1C">
            <w:pPr>
              <w:pStyle w:val="TableText"/>
            </w:pPr>
            <w:r w:rsidRPr="00604C0B">
              <w:t>Outcomes: Survival</w:t>
            </w:r>
          </w:p>
        </w:tc>
        <w:tc>
          <w:tcPr>
            <w:tcW w:w="2899" w:type="dxa"/>
          </w:tcPr>
          <w:p w:rsidR="006938EF" w:rsidRPr="00604C0B" w:rsidRDefault="006938EF" w:rsidP="00DF1D1C">
            <w:pPr>
              <w:pStyle w:val="TableText"/>
            </w:pPr>
            <w:r w:rsidRPr="00604C0B">
              <w:t>Inclusion: All National Cancer Institute sponsored Cooperative Group trials between 1968 and 2006 with protocols and publications available with unique RCTs.</w:t>
            </w:r>
          </w:p>
        </w:tc>
        <w:tc>
          <w:tcPr>
            <w:tcW w:w="2637" w:type="dxa"/>
          </w:tcPr>
          <w:p w:rsidR="006938EF" w:rsidRPr="00604C0B" w:rsidRDefault="006938EF" w:rsidP="00DF1D1C">
            <w:pPr>
              <w:pStyle w:val="TableText"/>
              <w:rPr>
                <w:rFonts w:asciiTheme="minorBidi" w:hAnsiTheme="minorBidi" w:cstheme="minorBidi"/>
              </w:rPr>
            </w:pPr>
            <w:r w:rsidRPr="00604C0B">
              <w:rPr>
                <w:rFonts w:asciiTheme="minorBidi" w:hAnsiTheme="minorBidi" w:cstheme="minorBidi"/>
              </w:rPr>
              <w:t>RCT level</w:t>
            </w:r>
          </w:p>
          <w:p w:rsidR="006938EF" w:rsidRPr="00604C0B" w:rsidRDefault="006938EF" w:rsidP="00DF1D1C">
            <w:pPr>
              <w:pStyle w:val="TableText"/>
              <w:rPr>
                <w:rFonts w:asciiTheme="minorBidi" w:hAnsiTheme="minorBidi" w:cstheme="minorBidi"/>
              </w:rPr>
            </w:pPr>
            <w:r w:rsidRPr="00604C0B">
              <w:rPr>
                <w:rFonts w:asciiTheme="minorBidi" w:hAnsiTheme="minorBidi" w:cstheme="minorBidi"/>
              </w:rPr>
              <w:t>429 RCTs</w:t>
            </w:r>
          </w:p>
          <w:p w:rsidR="006938EF" w:rsidRPr="00604C0B" w:rsidRDefault="006938EF" w:rsidP="00DF1D1C">
            <w:pPr>
              <w:pStyle w:val="TableText"/>
              <w:rPr>
                <w:rFonts w:asciiTheme="minorBidi" w:hAnsiTheme="minorBidi" w:cstheme="minorBidi"/>
              </w:rPr>
            </w:pPr>
          </w:p>
          <w:p w:rsidR="006938EF" w:rsidRPr="00604C0B" w:rsidRDefault="006938EF" w:rsidP="00DF1D1C">
            <w:pPr>
              <w:pStyle w:val="TableText"/>
              <w:rPr>
                <w:rFonts w:asciiTheme="minorBidi" w:hAnsiTheme="minorBidi" w:cstheme="minorBidi"/>
              </w:rPr>
            </w:pPr>
            <w:r w:rsidRPr="00604C0B">
              <w:rPr>
                <w:rFonts w:asciiTheme="minorBidi" w:hAnsiTheme="minorBidi" w:cstheme="minorBidi"/>
              </w:rPr>
              <w:t>Search: eight National Cancer Institute (NCI) sponsored Cooperative Groups (COG)</w:t>
            </w:r>
          </w:p>
        </w:tc>
      </w:tr>
      <w:tr w:rsidR="006938EF" w:rsidRPr="00604C0B" w:rsidTr="00DF1D1C">
        <w:trPr>
          <w:gridAfter w:val="1"/>
          <w:wAfter w:w="155" w:type="dxa"/>
        </w:trPr>
        <w:tc>
          <w:tcPr>
            <w:tcW w:w="1406" w:type="dxa"/>
          </w:tcPr>
          <w:p w:rsidR="006938EF" w:rsidRPr="00DB6B51" w:rsidRDefault="006938EF" w:rsidP="00DF1D1C">
            <w:pPr>
              <w:pStyle w:val="TableText"/>
              <w:rPr>
                <w:lang w:val="fr-BE"/>
              </w:rPr>
            </w:pPr>
            <w:proofErr w:type="spellStart"/>
            <w:r w:rsidRPr="00DB6B51">
              <w:rPr>
                <w:lang w:val="fr-BE"/>
              </w:rPr>
              <w:t>Savovic</w:t>
            </w:r>
            <w:proofErr w:type="spellEnd"/>
            <w:r w:rsidRPr="00DB6B51">
              <w:rPr>
                <w:lang w:val="fr-BE"/>
              </w:rPr>
              <w:t xml:space="preserve"> et </w:t>
            </w:r>
            <w:proofErr w:type="gramStart"/>
            <w:r w:rsidRPr="00DB6B51">
              <w:rPr>
                <w:lang w:val="fr-BE"/>
              </w:rPr>
              <w:t>al.,</w:t>
            </w:r>
            <w:proofErr w:type="gramEnd"/>
            <w:r w:rsidRPr="00DB6B51">
              <w:rPr>
                <w:lang w:val="fr-BE"/>
              </w:rPr>
              <w:t xml:space="preserve"> 2012 </w:t>
            </w:r>
            <w:r w:rsidRPr="00DB6B51">
              <w:rPr>
                <w:rFonts w:ascii="Times New Roman" w:hAnsi="Times New Roman"/>
                <w:noProof/>
                <w:vertAlign w:val="superscript"/>
                <w:lang w:val="fr-BE"/>
              </w:rPr>
              <w:t>42</w:t>
            </w:r>
            <w:r w:rsidRPr="00DB6B51">
              <w:rPr>
                <w:lang w:val="fr-BE"/>
              </w:rPr>
              <w:t xml:space="preserve">; </w:t>
            </w:r>
            <w:proofErr w:type="spellStart"/>
            <w:r w:rsidRPr="00DB6B51">
              <w:rPr>
                <w:lang w:val="fr-BE"/>
              </w:rPr>
              <w:t>Savovic</w:t>
            </w:r>
            <w:proofErr w:type="spellEnd"/>
            <w:r w:rsidRPr="00DB6B51">
              <w:rPr>
                <w:lang w:val="fr-BE"/>
              </w:rPr>
              <w:t xml:space="preserve"> et al., </w:t>
            </w:r>
            <w:r w:rsidRPr="00DB6B51">
              <w:rPr>
                <w:rFonts w:ascii="Times New Roman" w:hAnsi="Times New Roman"/>
                <w:noProof/>
                <w:vertAlign w:val="superscript"/>
                <w:lang w:val="fr-BE"/>
              </w:rPr>
              <w:t>43</w:t>
            </w:r>
          </w:p>
        </w:tc>
        <w:tc>
          <w:tcPr>
            <w:tcW w:w="2854" w:type="dxa"/>
            <w:gridSpan w:val="2"/>
          </w:tcPr>
          <w:p w:rsidR="006938EF" w:rsidRPr="00604C0B" w:rsidRDefault="006938EF" w:rsidP="00DF1D1C">
            <w:pPr>
              <w:pStyle w:val="TableText"/>
            </w:pPr>
            <w:r w:rsidRPr="00604C0B">
              <w:t>Goal: To combine trials and MAs across databases from previous meta-epidemiological studies and assess the impact of 3 different types of biases.</w:t>
            </w:r>
          </w:p>
          <w:p w:rsidR="006938EF" w:rsidRPr="00604C0B" w:rsidRDefault="006938EF" w:rsidP="00DF1D1C">
            <w:pPr>
              <w:pStyle w:val="TableText"/>
            </w:pPr>
          </w:p>
          <w:p w:rsidR="006938EF" w:rsidRPr="00604C0B" w:rsidRDefault="006938EF" w:rsidP="00DF1D1C">
            <w:pPr>
              <w:pStyle w:val="TableText"/>
            </w:pPr>
            <w:r w:rsidRPr="00604C0B">
              <w:t>Bias examined:</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 xml:space="preserve">sequence generation, </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 xml:space="preserve">allocation concealment, </w:t>
            </w:r>
          </w:p>
          <w:p w:rsidR="006938EF" w:rsidRPr="00604C0B" w:rsidRDefault="006938EF" w:rsidP="006938EF">
            <w:pPr>
              <w:pStyle w:val="ListParagraph"/>
              <w:numPr>
                <w:ilvl w:val="0"/>
                <w:numId w:val="14"/>
              </w:numPr>
              <w:rPr>
                <w:rFonts w:ascii="Arial" w:eastAsia="Calibri" w:hAnsi="Arial" w:cs="Arial"/>
                <w:szCs w:val="18"/>
              </w:rPr>
            </w:pPr>
            <w:r w:rsidRPr="00604C0B">
              <w:rPr>
                <w:rFonts w:ascii="Arial" w:eastAsia="Calibri" w:hAnsi="Arial" w:cs="Arial"/>
                <w:szCs w:val="18"/>
              </w:rPr>
              <w:t>double blinding</w:t>
            </w:r>
          </w:p>
        </w:tc>
        <w:tc>
          <w:tcPr>
            <w:tcW w:w="3067" w:type="dxa"/>
          </w:tcPr>
          <w:p w:rsidR="006938EF" w:rsidRPr="00604C0B" w:rsidRDefault="006938EF" w:rsidP="00DF1D1C">
            <w:pPr>
              <w:pStyle w:val="TableText"/>
            </w:pPr>
            <w:r w:rsidRPr="00604C0B">
              <w:t>Conditions: 8 clinical areas based on the ICD-10-CM coding: Pregnancy and Childbirth, Mental and Behavioral Health, Circulatory System, Digestive System, Other factors (factors influencing health status and contact with health services), Respiratory System, Other ICD-10, Unclassified</w:t>
            </w:r>
          </w:p>
          <w:p w:rsidR="006938EF" w:rsidRPr="00604C0B" w:rsidRDefault="006938EF" w:rsidP="00DF1D1C">
            <w:pPr>
              <w:pStyle w:val="TableText"/>
            </w:pPr>
          </w:p>
          <w:p w:rsidR="006938EF" w:rsidRPr="00604C0B" w:rsidRDefault="006938EF" w:rsidP="00DF1D1C">
            <w:pPr>
              <w:pStyle w:val="TableText"/>
            </w:pPr>
            <w:r w:rsidRPr="00604C0B">
              <w:t xml:space="preserve">Outcomes: </w:t>
            </w:r>
            <w:proofErr w:type="spellStart"/>
            <w:r w:rsidRPr="00604C0B">
              <w:t>All cause</w:t>
            </w:r>
            <w:proofErr w:type="spellEnd"/>
            <w:r w:rsidRPr="00604C0B">
              <w:t xml:space="preserve"> mortality; Other objective; Objective but influenced by clinician judgment; Subjective; Mixture of objective and subjective</w:t>
            </w:r>
          </w:p>
        </w:tc>
        <w:tc>
          <w:tcPr>
            <w:tcW w:w="2899" w:type="dxa"/>
          </w:tcPr>
          <w:p w:rsidR="006938EF" w:rsidRPr="00604C0B" w:rsidRDefault="006938EF" w:rsidP="00DF1D1C">
            <w:pPr>
              <w:pStyle w:val="TableText"/>
            </w:pPr>
            <w:r w:rsidRPr="00604C0B">
              <w:t>Data from 10 earlier meta-epidemiological studies combined into one database:</w:t>
            </w:r>
          </w:p>
          <w:p w:rsidR="006938EF" w:rsidRPr="00DB6B51" w:rsidRDefault="006938EF" w:rsidP="00DF1D1C">
            <w:pPr>
              <w:pStyle w:val="TableText"/>
              <w:rPr>
                <w:lang w:val="fr-BE"/>
              </w:rPr>
            </w:pPr>
            <w:r w:rsidRPr="00DB6B51">
              <w:rPr>
                <w:lang w:val="fr-BE"/>
              </w:rPr>
              <w:t xml:space="preserve">1) Als-Nielson et </w:t>
            </w:r>
            <w:proofErr w:type="gramStart"/>
            <w:r w:rsidRPr="00DB6B51">
              <w:rPr>
                <w:lang w:val="fr-BE"/>
              </w:rPr>
              <w:t>al.,</w:t>
            </w:r>
            <w:proofErr w:type="gramEnd"/>
            <w:r w:rsidRPr="00DB6B51">
              <w:rPr>
                <w:lang w:val="fr-BE"/>
              </w:rPr>
              <w:t xml:space="preserve"> 2004,</w:t>
            </w:r>
            <w:r w:rsidRPr="00DB6B51">
              <w:rPr>
                <w:rFonts w:ascii="Times New Roman" w:hAnsi="Times New Roman"/>
                <w:noProof/>
                <w:vertAlign w:val="superscript"/>
                <w:lang w:val="fr-BE"/>
              </w:rPr>
              <w:t>44</w:t>
            </w:r>
            <w:r w:rsidRPr="00DB6B51">
              <w:rPr>
                <w:lang w:val="fr-BE"/>
              </w:rPr>
              <w:t xml:space="preserve"> </w:t>
            </w:r>
            <w:proofErr w:type="spellStart"/>
            <w:r w:rsidRPr="00DB6B51">
              <w:rPr>
                <w:lang w:val="fr-BE"/>
              </w:rPr>
              <w:t>Siersma</w:t>
            </w:r>
            <w:proofErr w:type="spellEnd"/>
            <w:r w:rsidRPr="00DB6B51">
              <w:rPr>
                <w:lang w:val="fr-BE"/>
              </w:rPr>
              <w:t xml:space="preserve"> et al., 2007</w:t>
            </w:r>
            <w:r w:rsidRPr="00DB6B51">
              <w:rPr>
                <w:rFonts w:ascii="Times New Roman" w:hAnsi="Times New Roman"/>
                <w:noProof/>
                <w:vertAlign w:val="superscript"/>
                <w:lang w:val="fr-BE"/>
              </w:rPr>
              <w:t>45</w:t>
            </w:r>
          </w:p>
          <w:p w:rsidR="006938EF" w:rsidRPr="00DB6B51" w:rsidRDefault="006938EF" w:rsidP="00DF1D1C">
            <w:pPr>
              <w:pStyle w:val="TableText"/>
              <w:rPr>
                <w:lang w:val="fr-BE"/>
              </w:rPr>
            </w:pPr>
            <w:r w:rsidRPr="00DB6B51">
              <w:rPr>
                <w:lang w:val="fr-BE"/>
              </w:rPr>
              <w:t xml:space="preserve">2) </w:t>
            </w:r>
            <w:proofErr w:type="spellStart"/>
            <w:r w:rsidRPr="00DB6B51">
              <w:rPr>
                <w:lang w:val="fr-BE"/>
              </w:rPr>
              <w:t>Balk</w:t>
            </w:r>
            <w:proofErr w:type="spellEnd"/>
            <w:r w:rsidRPr="00DB6B51">
              <w:rPr>
                <w:lang w:val="fr-BE"/>
              </w:rPr>
              <w:t xml:space="preserve"> et </w:t>
            </w:r>
            <w:proofErr w:type="gramStart"/>
            <w:r w:rsidRPr="00DB6B51">
              <w:rPr>
                <w:lang w:val="fr-BE"/>
              </w:rPr>
              <w:t>al.,</w:t>
            </w:r>
            <w:proofErr w:type="gramEnd"/>
            <w:r w:rsidRPr="00DB6B51">
              <w:rPr>
                <w:lang w:val="fr-BE"/>
              </w:rPr>
              <w:t xml:space="preserve"> 2002</w:t>
            </w:r>
            <w:r w:rsidRPr="00DB6B51">
              <w:rPr>
                <w:rFonts w:ascii="Times New Roman" w:hAnsi="Times New Roman"/>
                <w:noProof/>
                <w:vertAlign w:val="superscript"/>
                <w:lang w:val="fr-BE"/>
              </w:rPr>
              <w:t>9</w:t>
            </w:r>
          </w:p>
          <w:p w:rsidR="006938EF" w:rsidRPr="00DB6B51" w:rsidRDefault="006938EF" w:rsidP="00DF1D1C">
            <w:pPr>
              <w:pStyle w:val="TableText"/>
              <w:rPr>
                <w:lang w:val="fr-BE"/>
              </w:rPr>
            </w:pPr>
            <w:r w:rsidRPr="00DB6B51">
              <w:rPr>
                <w:lang w:val="fr-BE"/>
              </w:rPr>
              <w:t xml:space="preserve">3) </w:t>
            </w:r>
            <w:proofErr w:type="spellStart"/>
            <w:r w:rsidRPr="00DB6B51">
              <w:rPr>
                <w:lang w:val="fr-BE"/>
              </w:rPr>
              <w:t>Contopoulos-Ionnidis</w:t>
            </w:r>
            <w:proofErr w:type="spellEnd"/>
            <w:r w:rsidRPr="00DB6B51">
              <w:rPr>
                <w:lang w:val="fr-BE"/>
              </w:rPr>
              <w:t xml:space="preserve"> et </w:t>
            </w:r>
            <w:proofErr w:type="gramStart"/>
            <w:r w:rsidRPr="00DB6B51">
              <w:rPr>
                <w:lang w:val="fr-BE"/>
              </w:rPr>
              <w:t>al.,</w:t>
            </w:r>
            <w:proofErr w:type="gramEnd"/>
            <w:r w:rsidRPr="00DB6B51">
              <w:rPr>
                <w:lang w:val="fr-BE"/>
              </w:rPr>
              <w:t xml:space="preserve"> 2005</w:t>
            </w:r>
            <w:r w:rsidRPr="00DB6B51">
              <w:rPr>
                <w:rFonts w:ascii="Times New Roman" w:hAnsi="Times New Roman"/>
                <w:noProof/>
                <w:vertAlign w:val="superscript"/>
                <w:lang w:val="fr-BE"/>
              </w:rPr>
              <w:t>46</w:t>
            </w:r>
          </w:p>
          <w:p w:rsidR="006938EF" w:rsidRPr="00604C0B" w:rsidRDefault="006938EF" w:rsidP="00DF1D1C">
            <w:pPr>
              <w:pStyle w:val="TableText"/>
            </w:pPr>
            <w:r>
              <w:t>4) Egger et al., 2003</w:t>
            </w:r>
            <w:r w:rsidRPr="006327AA">
              <w:rPr>
                <w:rFonts w:ascii="Times New Roman" w:hAnsi="Times New Roman"/>
                <w:noProof/>
                <w:vertAlign w:val="superscript"/>
              </w:rPr>
              <w:t>13</w:t>
            </w:r>
          </w:p>
          <w:p w:rsidR="006938EF" w:rsidRPr="00604C0B" w:rsidRDefault="006938EF" w:rsidP="00DF1D1C">
            <w:pPr>
              <w:pStyle w:val="TableText"/>
            </w:pPr>
            <w:r w:rsidRPr="00604C0B">
              <w:t xml:space="preserve">5) </w:t>
            </w:r>
            <w:proofErr w:type="spellStart"/>
            <w:r w:rsidRPr="00604C0B">
              <w:t>Kjaerg</w:t>
            </w:r>
            <w:r>
              <w:t>ard</w:t>
            </w:r>
            <w:proofErr w:type="spellEnd"/>
            <w:r>
              <w:t xml:space="preserve">, </w:t>
            </w:r>
            <w:proofErr w:type="spellStart"/>
            <w:r>
              <w:t>Villumsen</w:t>
            </w:r>
            <w:proofErr w:type="spellEnd"/>
            <w:r>
              <w:t xml:space="preserve">, and </w:t>
            </w:r>
            <w:proofErr w:type="spellStart"/>
            <w:r>
              <w:t>Gluud</w:t>
            </w:r>
            <w:proofErr w:type="spellEnd"/>
            <w:r>
              <w:t>; 2001</w:t>
            </w:r>
            <w:r w:rsidRPr="006327AA">
              <w:rPr>
                <w:rFonts w:ascii="Times New Roman" w:hAnsi="Times New Roman"/>
                <w:noProof/>
                <w:vertAlign w:val="superscript"/>
              </w:rPr>
              <w:t>8</w:t>
            </w:r>
          </w:p>
          <w:p w:rsidR="006938EF" w:rsidRPr="00DB6B51" w:rsidRDefault="006938EF" w:rsidP="00DF1D1C">
            <w:pPr>
              <w:pStyle w:val="TableText"/>
              <w:rPr>
                <w:lang w:val="fr-BE"/>
              </w:rPr>
            </w:pPr>
            <w:r w:rsidRPr="00DB6B51">
              <w:rPr>
                <w:lang w:val="fr-BE"/>
              </w:rPr>
              <w:t xml:space="preserve">6) </w:t>
            </w:r>
            <w:proofErr w:type="spellStart"/>
            <w:r w:rsidRPr="00DB6B51">
              <w:rPr>
                <w:lang w:val="fr-BE"/>
              </w:rPr>
              <w:t>McAuley</w:t>
            </w:r>
            <w:proofErr w:type="spellEnd"/>
            <w:r w:rsidRPr="00DB6B51">
              <w:rPr>
                <w:lang w:val="fr-BE"/>
              </w:rPr>
              <w:t xml:space="preserve"> et </w:t>
            </w:r>
            <w:proofErr w:type="gramStart"/>
            <w:r w:rsidRPr="00DB6B51">
              <w:rPr>
                <w:lang w:val="fr-BE"/>
              </w:rPr>
              <w:t>al.,</w:t>
            </w:r>
            <w:proofErr w:type="gramEnd"/>
            <w:r w:rsidRPr="00DB6B51">
              <w:rPr>
                <w:lang w:val="fr-BE"/>
              </w:rPr>
              <w:t xml:space="preserve"> 2000</w:t>
            </w:r>
          </w:p>
          <w:p w:rsidR="006938EF" w:rsidRPr="00DB6B51" w:rsidRDefault="006938EF" w:rsidP="00DF1D1C">
            <w:pPr>
              <w:pStyle w:val="TableText"/>
              <w:rPr>
                <w:lang w:val="fr-BE"/>
              </w:rPr>
            </w:pPr>
            <w:r w:rsidRPr="00DB6B51">
              <w:rPr>
                <w:lang w:val="fr-BE"/>
              </w:rPr>
              <w:t xml:space="preserve">7) </w:t>
            </w:r>
            <w:proofErr w:type="spellStart"/>
            <w:r w:rsidRPr="00DB6B51">
              <w:rPr>
                <w:lang w:val="fr-BE"/>
              </w:rPr>
              <w:t>Pildal</w:t>
            </w:r>
            <w:proofErr w:type="spellEnd"/>
            <w:r w:rsidRPr="00DB6B51">
              <w:rPr>
                <w:lang w:val="fr-BE"/>
              </w:rPr>
              <w:t xml:space="preserve"> et </w:t>
            </w:r>
            <w:proofErr w:type="gramStart"/>
            <w:r w:rsidRPr="00DB6B51">
              <w:rPr>
                <w:lang w:val="fr-BE"/>
              </w:rPr>
              <w:t>al.,</w:t>
            </w:r>
            <w:proofErr w:type="gramEnd"/>
            <w:r w:rsidRPr="00DB6B51">
              <w:rPr>
                <w:lang w:val="fr-BE"/>
              </w:rPr>
              <w:t xml:space="preserve"> 2007</w:t>
            </w:r>
            <w:r w:rsidRPr="00DB6B51">
              <w:rPr>
                <w:rFonts w:ascii="Times New Roman" w:hAnsi="Times New Roman"/>
                <w:noProof/>
                <w:vertAlign w:val="superscript"/>
                <w:lang w:val="fr-BE"/>
              </w:rPr>
              <w:t>20</w:t>
            </w:r>
          </w:p>
          <w:p w:rsidR="006938EF" w:rsidRPr="00DB6B51" w:rsidRDefault="006938EF" w:rsidP="00DF1D1C">
            <w:pPr>
              <w:pStyle w:val="TableText"/>
              <w:rPr>
                <w:lang w:val="fr-BE"/>
              </w:rPr>
            </w:pPr>
            <w:r w:rsidRPr="00DB6B51">
              <w:rPr>
                <w:lang w:val="fr-BE"/>
              </w:rPr>
              <w:t xml:space="preserve">8) </w:t>
            </w:r>
            <w:proofErr w:type="spellStart"/>
            <w:r w:rsidRPr="00DB6B51">
              <w:rPr>
                <w:lang w:val="fr-BE"/>
              </w:rPr>
              <w:t>Royle</w:t>
            </w:r>
            <w:proofErr w:type="spellEnd"/>
            <w:r w:rsidRPr="00DB6B51">
              <w:rPr>
                <w:lang w:val="fr-BE"/>
              </w:rPr>
              <w:t>, 2003</w:t>
            </w:r>
          </w:p>
          <w:p w:rsidR="006938EF" w:rsidRPr="00DB6B51" w:rsidRDefault="006938EF" w:rsidP="00DF1D1C">
            <w:pPr>
              <w:pStyle w:val="TableText"/>
              <w:rPr>
                <w:lang w:val="fr-BE"/>
              </w:rPr>
            </w:pPr>
            <w:r w:rsidRPr="00DB6B51">
              <w:rPr>
                <w:lang w:val="fr-BE"/>
              </w:rPr>
              <w:t xml:space="preserve">9) </w:t>
            </w:r>
            <w:proofErr w:type="spellStart"/>
            <w:r w:rsidRPr="00DB6B51">
              <w:rPr>
                <w:lang w:val="fr-BE"/>
              </w:rPr>
              <w:t>Sampson</w:t>
            </w:r>
            <w:proofErr w:type="spellEnd"/>
            <w:r w:rsidRPr="00DB6B51">
              <w:rPr>
                <w:lang w:val="fr-BE"/>
              </w:rPr>
              <w:t xml:space="preserve"> et </w:t>
            </w:r>
            <w:proofErr w:type="gramStart"/>
            <w:r w:rsidRPr="00DB6B51">
              <w:rPr>
                <w:lang w:val="fr-BE"/>
              </w:rPr>
              <w:t>al.,</w:t>
            </w:r>
            <w:proofErr w:type="gramEnd"/>
            <w:r w:rsidRPr="00DB6B51">
              <w:rPr>
                <w:lang w:val="fr-BE"/>
              </w:rPr>
              <w:t xml:space="preserve"> 2003</w:t>
            </w:r>
          </w:p>
          <w:p w:rsidR="006938EF" w:rsidRPr="00DB6B51" w:rsidRDefault="006938EF" w:rsidP="00DF1D1C">
            <w:pPr>
              <w:pStyle w:val="TableText"/>
              <w:rPr>
                <w:lang w:val="fr-BE"/>
              </w:rPr>
            </w:pPr>
            <w:r w:rsidRPr="00DB6B51">
              <w:rPr>
                <w:lang w:val="fr-BE"/>
              </w:rPr>
              <w:t xml:space="preserve">10) Schulz et </w:t>
            </w:r>
            <w:proofErr w:type="gramStart"/>
            <w:r w:rsidRPr="00DB6B51">
              <w:rPr>
                <w:lang w:val="fr-BE"/>
              </w:rPr>
              <w:t>al.,</w:t>
            </w:r>
            <w:proofErr w:type="gramEnd"/>
            <w:r w:rsidRPr="00DB6B51">
              <w:rPr>
                <w:lang w:val="fr-BE"/>
              </w:rPr>
              <w:t xml:space="preserve"> 1995</w:t>
            </w:r>
            <w:r w:rsidRPr="00DB6B51">
              <w:rPr>
                <w:rFonts w:ascii="Times New Roman" w:hAnsi="Times New Roman"/>
                <w:noProof/>
                <w:vertAlign w:val="superscript"/>
                <w:lang w:val="fr-BE"/>
              </w:rPr>
              <w:t>1</w:t>
            </w:r>
          </w:p>
        </w:tc>
        <w:tc>
          <w:tcPr>
            <w:tcW w:w="2637" w:type="dxa"/>
          </w:tcPr>
          <w:p w:rsidR="006938EF" w:rsidRPr="00604C0B" w:rsidRDefault="006938EF" w:rsidP="00DF1D1C">
            <w:pPr>
              <w:pStyle w:val="TableText"/>
            </w:pPr>
            <w:r w:rsidRPr="00604C0B">
              <w:t>MA level</w:t>
            </w:r>
          </w:p>
          <w:p w:rsidR="006938EF" w:rsidRPr="00604C0B" w:rsidRDefault="006938EF" w:rsidP="00DF1D1C">
            <w:pPr>
              <w:pStyle w:val="TableText"/>
            </w:pPr>
            <w:r w:rsidRPr="00604C0B">
              <w:t>234 MA, including 1793 trials (not all MA or RCTs used for all analyses)</w:t>
            </w:r>
          </w:p>
          <w:p w:rsidR="006938EF" w:rsidRPr="00604C0B" w:rsidRDefault="006938EF" w:rsidP="00DF1D1C">
            <w:pPr>
              <w:pStyle w:val="TableText"/>
            </w:pPr>
          </w:p>
          <w:p w:rsidR="006938EF" w:rsidRPr="00604C0B" w:rsidRDefault="006938EF" w:rsidP="00DF1D1C">
            <w:pPr>
              <w:pStyle w:val="TableText"/>
            </w:pPr>
            <w:r w:rsidRPr="00604C0B">
              <w:t>Sources: see inclusion criteria</w:t>
            </w:r>
          </w:p>
        </w:tc>
      </w:tr>
    </w:tbl>
    <w:p w:rsidR="006938EF" w:rsidRPr="00604C0B" w:rsidRDefault="006938EF" w:rsidP="00DF1D1C">
      <w:pPr>
        <w:tabs>
          <w:tab w:val="left" w:pos="4052"/>
        </w:tabs>
        <w:rPr>
          <w:rFonts w:asciiTheme="minorBidi" w:hAnsiTheme="minorBidi"/>
          <w:bCs/>
          <w:sz w:val="18"/>
          <w:szCs w:val="18"/>
        </w:rPr>
      </w:pPr>
      <w:r w:rsidRPr="00604C0B">
        <w:rPr>
          <w:rFonts w:asciiTheme="minorBidi" w:hAnsiTheme="minorBidi"/>
          <w:bCs/>
          <w:sz w:val="18"/>
          <w:szCs w:val="18"/>
        </w:rPr>
        <w:t xml:space="preserve">Abbreviations: BMJ = British Medical Journal; CAM = complementary and alternative medicine; ITT = intent to treat; MA = meta-analysis; N = number; NEJM=New England Journal of Medicine; NR = not reported; </w:t>
      </w:r>
      <w:proofErr w:type="spellStart"/>
      <w:r w:rsidRPr="00604C0B">
        <w:rPr>
          <w:rFonts w:asciiTheme="minorBidi" w:hAnsiTheme="minorBidi"/>
          <w:bCs/>
          <w:sz w:val="18"/>
          <w:szCs w:val="18"/>
        </w:rPr>
        <w:t>ob</w:t>
      </w:r>
      <w:proofErr w:type="spellEnd"/>
      <w:r w:rsidRPr="00604C0B">
        <w:rPr>
          <w:rFonts w:asciiTheme="minorBidi" w:hAnsiTheme="minorBidi"/>
          <w:bCs/>
          <w:sz w:val="18"/>
          <w:szCs w:val="18"/>
        </w:rPr>
        <w:t>/</w:t>
      </w:r>
      <w:proofErr w:type="spellStart"/>
      <w:r w:rsidRPr="00604C0B">
        <w:rPr>
          <w:rFonts w:asciiTheme="minorBidi" w:hAnsiTheme="minorBidi"/>
          <w:bCs/>
          <w:sz w:val="18"/>
          <w:szCs w:val="18"/>
        </w:rPr>
        <w:t>gyn</w:t>
      </w:r>
      <w:proofErr w:type="spellEnd"/>
      <w:r w:rsidRPr="00604C0B">
        <w:rPr>
          <w:rFonts w:asciiTheme="minorBidi" w:hAnsiTheme="minorBidi"/>
          <w:bCs/>
          <w:sz w:val="18"/>
          <w:szCs w:val="18"/>
        </w:rPr>
        <w:t xml:space="preserve">: obstetrics and gynecology; RCT = randomized controlled trial; ROB =  risk of bias; SR = systematic review; </w:t>
      </w:r>
      <w:proofErr w:type="spellStart"/>
      <w:r w:rsidRPr="00604C0B">
        <w:rPr>
          <w:rFonts w:asciiTheme="minorBidi" w:hAnsiTheme="minorBidi"/>
          <w:bCs/>
          <w:sz w:val="18"/>
          <w:szCs w:val="18"/>
        </w:rPr>
        <w:t>tx</w:t>
      </w:r>
      <w:proofErr w:type="spellEnd"/>
      <w:r w:rsidRPr="00604C0B">
        <w:rPr>
          <w:rFonts w:asciiTheme="minorBidi" w:hAnsiTheme="minorBidi"/>
          <w:bCs/>
          <w:sz w:val="18"/>
          <w:szCs w:val="18"/>
        </w:rPr>
        <w:t xml:space="preserve"> = treatment </w:t>
      </w:r>
    </w:p>
    <w:bookmarkEnd w:id="0"/>
    <w:p w:rsidR="004364E5" w:rsidRDefault="004364E5" w:rsidP="00DB6B51"/>
    <w:sectPr w:rsidR="004364E5" w:rsidSect="00DB6B51">
      <w:footerReference w:type="default" r:id="rId9"/>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08" w:rsidRDefault="00FE3E08" w:rsidP="005E129F">
      <w:r>
        <w:separator/>
      </w:r>
    </w:p>
  </w:endnote>
  <w:endnote w:type="continuationSeparator" w:id="0">
    <w:p w:rsidR="00FE3E08" w:rsidRDefault="00FE3E08" w:rsidP="005E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65" w:rsidRDefault="00DB6B51" w:rsidP="00DF1D1C">
    <w:pPr>
      <w:pStyle w:val="PageNumber"/>
    </w:pPr>
    <w:r>
      <w:t>D</w:t>
    </w:r>
    <w:r w:rsidR="00123C65">
      <w:t>-</w:t>
    </w:r>
    <w:r w:rsidR="00123C65">
      <w:fldChar w:fldCharType="begin"/>
    </w:r>
    <w:r w:rsidR="00123C65">
      <w:instrText>PAGE</w:instrText>
    </w:r>
    <w:r w:rsidR="00123C65">
      <w:fldChar w:fldCharType="separate"/>
    </w:r>
    <w:r>
      <w:rPr>
        <w:noProof/>
      </w:rPr>
      <w:t>1</w:t>
    </w:r>
    <w:r w:rsidR="00123C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08" w:rsidRDefault="00FE3E08" w:rsidP="005E129F">
      <w:r>
        <w:separator/>
      </w:r>
    </w:p>
  </w:footnote>
  <w:footnote w:type="continuationSeparator" w:id="0">
    <w:p w:rsidR="00FE3E08" w:rsidRDefault="00FE3E08" w:rsidP="005E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CBD"/>
    <w:multiLevelType w:val="hybridMultilevel"/>
    <w:tmpl w:val="F434F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2F092C"/>
    <w:multiLevelType w:val="hybridMultilevel"/>
    <w:tmpl w:val="35546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430ED"/>
    <w:multiLevelType w:val="hybridMultilevel"/>
    <w:tmpl w:val="57EC82E6"/>
    <w:lvl w:ilvl="0" w:tplc="95403FE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B5ACB"/>
    <w:multiLevelType w:val="hybridMultilevel"/>
    <w:tmpl w:val="DD4E9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0D587E"/>
    <w:multiLevelType w:val="hybridMultilevel"/>
    <w:tmpl w:val="46B2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A42EDB"/>
    <w:multiLevelType w:val="hybridMultilevel"/>
    <w:tmpl w:val="ECA4FEE0"/>
    <w:lvl w:ilvl="0" w:tplc="6D2C94BC">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213D2"/>
    <w:multiLevelType w:val="hybridMultilevel"/>
    <w:tmpl w:val="170EC3EE"/>
    <w:lvl w:ilvl="0" w:tplc="1C94D7A8">
      <w:start w:val="1"/>
      <w:numFmt w:val="bullet"/>
      <w:pStyle w:val="bullet2"/>
      <w:lvlText w:val="–"/>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E4F39"/>
    <w:multiLevelType w:val="hybridMultilevel"/>
    <w:tmpl w:val="084A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944EBB"/>
    <w:multiLevelType w:val="hybridMultilevel"/>
    <w:tmpl w:val="176ABE2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9A76FAE"/>
    <w:multiLevelType w:val="hybridMultilevel"/>
    <w:tmpl w:val="7C94C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5501C"/>
    <w:multiLevelType w:val="hybridMultilevel"/>
    <w:tmpl w:val="034E361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212BB"/>
    <w:multiLevelType w:val="hybridMultilevel"/>
    <w:tmpl w:val="EFA2C710"/>
    <w:lvl w:ilvl="0" w:tplc="68120A3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90F14"/>
    <w:multiLevelType w:val="hybridMultilevel"/>
    <w:tmpl w:val="176ABE2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4613499"/>
    <w:multiLevelType w:val="hybridMultilevel"/>
    <w:tmpl w:val="E2B83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816CC6"/>
    <w:multiLevelType w:val="hybridMultilevel"/>
    <w:tmpl w:val="E8D02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54758"/>
    <w:multiLevelType w:val="hybridMultilevel"/>
    <w:tmpl w:val="5ECABEEA"/>
    <w:lvl w:ilvl="0" w:tplc="B748C1A2">
      <w:start w:val="1"/>
      <w:numFmt w:val="bullet"/>
      <w:pStyle w:val="bullet1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10400"/>
    <w:multiLevelType w:val="hybridMultilevel"/>
    <w:tmpl w:val="DA161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2"/>
  </w:num>
  <w:num w:numId="4">
    <w:abstractNumId w:val="6"/>
  </w:num>
  <w:num w:numId="5">
    <w:abstractNumId w:val="3"/>
  </w:num>
  <w:num w:numId="6">
    <w:abstractNumId w:val="7"/>
  </w:num>
  <w:num w:numId="7">
    <w:abstractNumId w:val="18"/>
  </w:num>
  <w:num w:numId="8">
    <w:abstractNumId w:val="14"/>
  </w:num>
  <w:num w:numId="9">
    <w:abstractNumId w:val="17"/>
  </w:num>
  <w:num w:numId="10">
    <w:abstractNumId w:val="16"/>
  </w:num>
  <w:num w:numId="11">
    <w:abstractNumId w:val="5"/>
  </w:num>
  <w:num w:numId="12">
    <w:abstractNumId w:val="8"/>
  </w:num>
  <w:num w:numId="13">
    <w:abstractNumId w:val="19"/>
  </w:num>
  <w:num w:numId="14">
    <w:abstractNumId w:val="0"/>
  </w:num>
  <w:num w:numId="15">
    <w:abstractNumId w:val="15"/>
  </w:num>
  <w:num w:numId="16">
    <w:abstractNumId w:val="11"/>
  </w:num>
  <w:num w:numId="17">
    <w:abstractNumId w:val="9"/>
  </w:num>
  <w:num w:numId="18">
    <w:abstractNumId w:val="10"/>
  </w:num>
  <w:num w:numId="19">
    <w:abstractNumId w:val="4"/>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x0drw5zsfre0e7ex9wqvpw5gvzvw2zsfxavf&quot;&gt;RoB Likely Results-Saved&lt;record-ids&gt;&lt;item&gt;32&lt;/item&gt;&lt;item&gt;59&lt;/item&gt;&lt;item&gt;95&lt;/item&gt;&lt;item&gt;292&lt;/item&gt;&lt;item&gt;353&lt;/item&gt;&lt;item&gt;355&lt;/item&gt;&lt;item&gt;627&lt;/item&gt;&lt;item&gt;705&lt;/item&gt;&lt;item&gt;706&lt;/item&gt;&lt;item&gt;867&lt;/item&gt;&lt;item&gt;925&lt;/item&gt;&lt;item&gt;977&lt;/item&gt;&lt;item&gt;1069&lt;/item&gt;&lt;item&gt;1078&lt;/item&gt;&lt;item&gt;1352&lt;/item&gt;&lt;item&gt;1648&lt;/item&gt;&lt;item&gt;1677&lt;/item&gt;&lt;item&gt;2010&lt;/item&gt;&lt;item&gt;2143&lt;/item&gt;&lt;item&gt;2175&lt;/item&gt;&lt;item&gt;2481&lt;/item&gt;&lt;item&gt;2571&lt;/item&gt;&lt;item&gt;2643&lt;/item&gt;&lt;item&gt;2732&lt;/item&gt;&lt;item&gt;2821&lt;/item&gt;&lt;item&gt;2855&lt;/item&gt;&lt;item&gt;3008&lt;/item&gt;&lt;item&gt;3157&lt;/item&gt;&lt;item&gt;3551&lt;/item&gt;&lt;item&gt;3878&lt;/item&gt;&lt;item&gt;6480&lt;/item&gt;&lt;item&gt;6484&lt;/item&gt;&lt;item&gt;6505&lt;/item&gt;&lt;item&gt;6517&lt;/item&gt;&lt;item&gt;6527&lt;/item&gt;&lt;item&gt;6556&lt;/item&gt;&lt;item&gt;6558&lt;/item&gt;&lt;item&gt;6644&lt;/item&gt;&lt;item&gt;7009&lt;/item&gt;&lt;item&gt;7026&lt;/item&gt;&lt;item&gt;7045&lt;/item&gt;&lt;item&gt;7053&lt;/item&gt;&lt;item&gt;7054&lt;/item&gt;&lt;item&gt;7055&lt;/item&gt;&lt;item&gt;7056&lt;/item&gt;&lt;item&gt;7057&lt;/item&gt;&lt;item&gt;7058&lt;/item&gt;&lt;item&gt;7059&lt;/item&gt;&lt;item&gt;7060&lt;/item&gt;&lt;item&gt;7061&lt;/item&gt;&lt;item&gt;7062&lt;/item&gt;&lt;item&gt;7063&lt;/item&gt;&lt;item&gt;7064&lt;/item&gt;&lt;item&gt;7065&lt;/item&gt;&lt;item&gt;7066&lt;/item&gt;&lt;item&gt;7069&lt;/item&gt;&lt;item&gt;7083&lt;/item&gt;&lt;item&gt;7092&lt;/item&gt;&lt;item&gt;7125&lt;/item&gt;&lt;item&gt;7126&lt;/item&gt;&lt;item&gt;7128&lt;/item&gt;&lt;item&gt;7129&lt;/item&gt;&lt;item&gt;7130&lt;/item&gt;&lt;item&gt;7131&lt;/item&gt;&lt;item&gt;7132&lt;/item&gt;&lt;item&gt;7133&lt;/item&gt;&lt;item&gt;7134&lt;/item&gt;&lt;item&gt;7135&lt;/item&gt;&lt;item&gt;7136&lt;/item&gt;&lt;item&gt;7138&lt;/item&gt;&lt;item&gt;7139&lt;/item&gt;&lt;item&gt;7140&lt;/item&gt;&lt;item&gt;7141&lt;/item&gt;&lt;item&gt;7142&lt;/item&gt;&lt;item&gt;7143&lt;/item&gt;&lt;item&gt;7144&lt;/item&gt;&lt;item&gt;7145&lt;/item&gt;&lt;item&gt;7148&lt;/item&gt;&lt;item&gt;7149&lt;/item&gt;&lt;item&gt;7150&lt;/item&gt;&lt;/record-ids&gt;&lt;/item&gt;&lt;/Libraries&gt;"/>
  </w:docVars>
  <w:rsids>
    <w:rsidRoot w:val="00200718"/>
    <w:rsid w:val="000001F2"/>
    <w:rsid w:val="0000337C"/>
    <w:rsid w:val="00004351"/>
    <w:rsid w:val="0000542C"/>
    <w:rsid w:val="00010C15"/>
    <w:rsid w:val="00012838"/>
    <w:rsid w:val="00014C66"/>
    <w:rsid w:val="00015178"/>
    <w:rsid w:val="000157CD"/>
    <w:rsid w:val="00020640"/>
    <w:rsid w:val="0002291E"/>
    <w:rsid w:val="00022CC4"/>
    <w:rsid w:val="00024096"/>
    <w:rsid w:val="00025B91"/>
    <w:rsid w:val="00025D7D"/>
    <w:rsid w:val="00031AF7"/>
    <w:rsid w:val="00033BB3"/>
    <w:rsid w:val="00035FEA"/>
    <w:rsid w:val="00037764"/>
    <w:rsid w:val="00037C32"/>
    <w:rsid w:val="00037EDB"/>
    <w:rsid w:val="00040B28"/>
    <w:rsid w:val="00040D8D"/>
    <w:rsid w:val="00041C95"/>
    <w:rsid w:val="000434EF"/>
    <w:rsid w:val="0004498F"/>
    <w:rsid w:val="00045621"/>
    <w:rsid w:val="0004627D"/>
    <w:rsid w:val="00047167"/>
    <w:rsid w:val="00051B14"/>
    <w:rsid w:val="000528E9"/>
    <w:rsid w:val="00056059"/>
    <w:rsid w:val="00057BFC"/>
    <w:rsid w:val="000606BA"/>
    <w:rsid w:val="00061E8B"/>
    <w:rsid w:val="00062DFB"/>
    <w:rsid w:val="0006409C"/>
    <w:rsid w:val="00070613"/>
    <w:rsid w:val="00072ED4"/>
    <w:rsid w:val="00076A5A"/>
    <w:rsid w:val="00076FD7"/>
    <w:rsid w:val="000803CB"/>
    <w:rsid w:val="000812A5"/>
    <w:rsid w:val="00083355"/>
    <w:rsid w:val="000844FC"/>
    <w:rsid w:val="00086C85"/>
    <w:rsid w:val="0009088B"/>
    <w:rsid w:val="000933FE"/>
    <w:rsid w:val="000945B1"/>
    <w:rsid w:val="000946D5"/>
    <w:rsid w:val="00095134"/>
    <w:rsid w:val="00097876"/>
    <w:rsid w:val="000A1028"/>
    <w:rsid w:val="000A71E3"/>
    <w:rsid w:val="000B22CC"/>
    <w:rsid w:val="000B2E51"/>
    <w:rsid w:val="000B5053"/>
    <w:rsid w:val="000B53A7"/>
    <w:rsid w:val="000C1809"/>
    <w:rsid w:val="000C5FF6"/>
    <w:rsid w:val="000C7593"/>
    <w:rsid w:val="000D07D3"/>
    <w:rsid w:val="000D1F37"/>
    <w:rsid w:val="000D3972"/>
    <w:rsid w:val="000D63E9"/>
    <w:rsid w:val="000E2AFC"/>
    <w:rsid w:val="000E38C1"/>
    <w:rsid w:val="000E5524"/>
    <w:rsid w:val="000E5D32"/>
    <w:rsid w:val="000E7660"/>
    <w:rsid w:val="000F4B1A"/>
    <w:rsid w:val="0010139F"/>
    <w:rsid w:val="00104C37"/>
    <w:rsid w:val="0010537A"/>
    <w:rsid w:val="00111722"/>
    <w:rsid w:val="00111A77"/>
    <w:rsid w:val="00112233"/>
    <w:rsid w:val="00112FE2"/>
    <w:rsid w:val="00113B11"/>
    <w:rsid w:val="0011444E"/>
    <w:rsid w:val="001156A3"/>
    <w:rsid w:val="001156D1"/>
    <w:rsid w:val="00122A77"/>
    <w:rsid w:val="00123C65"/>
    <w:rsid w:val="00123C9A"/>
    <w:rsid w:val="00125A85"/>
    <w:rsid w:val="001265DE"/>
    <w:rsid w:val="00127064"/>
    <w:rsid w:val="00131409"/>
    <w:rsid w:val="001337C4"/>
    <w:rsid w:val="001341B0"/>
    <w:rsid w:val="0013494C"/>
    <w:rsid w:val="001351C6"/>
    <w:rsid w:val="001373BB"/>
    <w:rsid w:val="00137600"/>
    <w:rsid w:val="00142190"/>
    <w:rsid w:val="0014542A"/>
    <w:rsid w:val="0015739D"/>
    <w:rsid w:val="001632A7"/>
    <w:rsid w:val="00164718"/>
    <w:rsid w:val="0017036C"/>
    <w:rsid w:val="001710AF"/>
    <w:rsid w:val="00172B47"/>
    <w:rsid w:val="00184443"/>
    <w:rsid w:val="00186730"/>
    <w:rsid w:val="00186CD0"/>
    <w:rsid w:val="001921A7"/>
    <w:rsid w:val="001A07AB"/>
    <w:rsid w:val="001A6B3D"/>
    <w:rsid w:val="001A6EF3"/>
    <w:rsid w:val="001C23CE"/>
    <w:rsid w:val="001C2ADB"/>
    <w:rsid w:val="001C4B48"/>
    <w:rsid w:val="001C5430"/>
    <w:rsid w:val="001C59A2"/>
    <w:rsid w:val="001C60B4"/>
    <w:rsid w:val="001D01EE"/>
    <w:rsid w:val="001D0294"/>
    <w:rsid w:val="001D1C5C"/>
    <w:rsid w:val="001D27BE"/>
    <w:rsid w:val="001D41D9"/>
    <w:rsid w:val="001D51F1"/>
    <w:rsid w:val="001D5A54"/>
    <w:rsid w:val="001E14B0"/>
    <w:rsid w:val="001E2FAA"/>
    <w:rsid w:val="001E380F"/>
    <w:rsid w:val="001E559C"/>
    <w:rsid w:val="001F121B"/>
    <w:rsid w:val="001F1A68"/>
    <w:rsid w:val="001F2B67"/>
    <w:rsid w:val="00200718"/>
    <w:rsid w:val="002007E7"/>
    <w:rsid w:val="00201208"/>
    <w:rsid w:val="0020226F"/>
    <w:rsid w:val="00202D4A"/>
    <w:rsid w:val="00204C96"/>
    <w:rsid w:val="002100CD"/>
    <w:rsid w:val="002106BE"/>
    <w:rsid w:val="00211914"/>
    <w:rsid w:val="00215F71"/>
    <w:rsid w:val="00216266"/>
    <w:rsid w:val="00223877"/>
    <w:rsid w:val="0022460E"/>
    <w:rsid w:val="00224DD7"/>
    <w:rsid w:val="00224FE3"/>
    <w:rsid w:val="00224FEF"/>
    <w:rsid w:val="00225569"/>
    <w:rsid w:val="0023163B"/>
    <w:rsid w:val="00231FD5"/>
    <w:rsid w:val="002338D1"/>
    <w:rsid w:val="00234862"/>
    <w:rsid w:val="00234E4A"/>
    <w:rsid w:val="002351E7"/>
    <w:rsid w:val="00235321"/>
    <w:rsid w:val="002354EE"/>
    <w:rsid w:val="00236165"/>
    <w:rsid w:val="0023628E"/>
    <w:rsid w:val="0023676D"/>
    <w:rsid w:val="00241D84"/>
    <w:rsid w:val="00245291"/>
    <w:rsid w:val="0024731D"/>
    <w:rsid w:val="002532B3"/>
    <w:rsid w:val="00254C15"/>
    <w:rsid w:val="00255AE9"/>
    <w:rsid w:val="00255ED2"/>
    <w:rsid w:val="00256646"/>
    <w:rsid w:val="00256BEE"/>
    <w:rsid w:val="00257F2D"/>
    <w:rsid w:val="00261249"/>
    <w:rsid w:val="002652EC"/>
    <w:rsid w:val="00266814"/>
    <w:rsid w:val="00272FA2"/>
    <w:rsid w:val="002738CB"/>
    <w:rsid w:val="002778A8"/>
    <w:rsid w:val="0028132E"/>
    <w:rsid w:val="00283184"/>
    <w:rsid w:val="002853C2"/>
    <w:rsid w:val="00285C2D"/>
    <w:rsid w:val="00290C85"/>
    <w:rsid w:val="00290EC5"/>
    <w:rsid w:val="00291A3E"/>
    <w:rsid w:val="002969A6"/>
    <w:rsid w:val="002A06D3"/>
    <w:rsid w:val="002A3492"/>
    <w:rsid w:val="002A54B3"/>
    <w:rsid w:val="002A611B"/>
    <w:rsid w:val="002A6361"/>
    <w:rsid w:val="002A6518"/>
    <w:rsid w:val="002B100E"/>
    <w:rsid w:val="002B41F3"/>
    <w:rsid w:val="002B60E3"/>
    <w:rsid w:val="002B65A0"/>
    <w:rsid w:val="002B6A3D"/>
    <w:rsid w:val="002B7913"/>
    <w:rsid w:val="002C1CA1"/>
    <w:rsid w:val="002C1EFC"/>
    <w:rsid w:val="002C3AC4"/>
    <w:rsid w:val="002C54E8"/>
    <w:rsid w:val="002D0B3E"/>
    <w:rsid w:val="002D2825"/>
    <w:rsid w:val="002D3437"/>
    <w:rsid w:val="002D39F2"/>
    <w:rsid w:val="002D3AAE"/>
    <w:rsid w:val="002D46E1"/>
    <w:rsid w:val="002E051A"/>
    <w:rsid w:val="002E0EC3"/>
    <w:rsid w:val="002E133E"/>
    <w:rsid w:val="002E187F"/>
    <w:rsid w:val="002E4D26"/>
    <w:rsid w:val="002E5A29"/>
    <w:rsid w:val="002F0747"/>
    <w:rsid w:val="002F0B0C"/>
    <w:rsid w:val="002F1B7D"/>
    <w:rsid w:val="002F369C"/>
    <w:rsid w:val="002F7005"/>
    <w:rsid w:val="002F79DB"/>
    <w:rsid w:val="0030185C"/>
    <w:rsid w:val="00302E3A"/>
    <w:rsid w:val="0030349F"/>
    <w:rsid w:val="00306924"/>
    <w:rsid w:val="003076E9"/>
    <w:rsid w:val="00307F02"/>
    <w:rsid w:val="0031048A"/>
    <w:rsid w:val="003128A4"/>
    <w:rsid w:val="00312CA5"/>
    <w:rsid w:val="00312FCB"/>
    <w:rsid w:val="0031357D"/>
    <w:rsid w:val="00315893"/>
    <w:rsid w:val="00316A8A"/>
    <w:rsid w:val="0032086B"/>
    <w:rsid w:val="00320C12"/>
    <w:rsid w:val="00323702"/>
    <w:rsid w:val="00323B55"/>
    <w:rsid w:val="00324AED"/>
    <w:rsid w:val="00325C83"/>
    <w:rsid w:val="0033054D"/>
    <w:rsid w:val="0033389E"/>
    <w:rsid w:val="003342A5"/>
    <w:rsid w:val="00336410"/>
    <w:rsid w:val="003411A1"/>
    <w:rsid w:val="00342D34"/>
    <w:rsid w:val="0034487B"/>
    <w:rsid w:val="003471C5"/>
    <w:rsid w:val="00350A56"/>
    <w:rsid w:val="00351BD4"/>
    <w:rsid w:val="003555C7"/>
    <w:rsid w:val="00356603"/>
    <w:rsid w:val="003567F9"/>
    <w:rsid w:val="00363C42"/>
    <w:rsid w:val="003667F7"/>
    <w:rsid w:val="00370FAF"/>
    <w:rsid w:val="0037628D"/>
    <w:rsid w:val="00380A7D"/>
    <w:rsid w:val="003828F4"/>
    <w:rsid w:val="00383FBC"/>
    <w:rsid w:val="00383FC4"/>
    <w:rsid w:val="00384559"/>
    <w:rsid w:val="003871B7"/>
    <w:rsid w:val="00387611"/>
    <w:rsid w:val="003911A9"/>
    <w:rsid w:val="0039662A"/>
    <w:rsid w:val="003A0647"/>
    <w:rsid w:val="003A448D"/>
    <w:rsid w:val="003A6A89"/>
    <w:rsid w:val="003A7E24"/>
    <w:rsid w:val="003B0765"/>
    <w:rsid w:val="003B3C7A"/>
    <w:rsid w:val="003B5D53"/>
    <w:rsid w:val="003B6003"/>
    <w:rsid w:val="003B684C"/>
    <w:rsid w:val="003B7074"/>
    <w:rsid w:val="003C1928"/>
    <w:rsid w:val="003C2570"/>
    <w:rsid w:val="003C5B51"/>
    <w:rsid w:val="003C6D3A"/>
    <w:rsid w:val="003D1246"/>
    <w:rsid w:val="003D29A2"/>
    <w:rsid w:val="003D2E67"/>
    <w:rsid w:val="003D4DD2"/>
    <w:rsid w:val="003D592D"/>
    <w:rsid w:val="003E17B1"/>
    <w:rsid w:val="003E2631"/>
    <w:rsid w:val="003E5F6B"/>
    <w:rsid w:val="003E70A8"/>
    <w:rsid w:val="003E7A81"/>
    <w:rsid w:val="003F161F"/>
    <w:rsid w:val="003F7F48"/>
    <w:rsid w:val="00400350"/>
    <w:rsid w:val="00402034"/>
    <w:rsid w:val="0040250A"/>
    <w:rsid w:val="00402C0C"/>
    <w:rsid w:val="004037AF"/>
    <w:rsid w:val="00403A35"/>
    <w:rsid w:val="00403BE2"/>
    <w:rsid w:val="00410E43"/>
    <w:rsid w:val="00415B01"/>
    <w:rsid w:val="0041760B"/>
    <w:rsid w:val="004176D2"/>
    <w:rsid w:val="00423513"/>
    <w:rsid w:val="00427ECD"/>
    <w:rsid w:val="00430149"/>
    <w:rsid w:val="004308E8"/>
    <w:rsid w:val="00430A5E"/>
    <w:rsid w:val="00434E2D"/>
    <w:rsid w:val="004364E5"/>
    <w:rsid w:val="004374F5"/>
    <w:rsid w:val="00442841"/>
    <w:rsid w:val="00451548"/>
    <w:rsid w:val="004518FC"/>
    <w:rsid w:val="00454FDD"/>
    <w:rsid w:val="004564B7"/>
    <w:rsid w:val="00456866"/>
    <w:rsid w:val="00465034"/>
    <w:rsid w:val="004661A0"/>
    <w:rsid w:val="00466D50"/>
    <w:rsid w:val="00467722"/>
    <w:rsid w:val="00467C08"/>
    <w:rsid w:val="00472482"/>
    <w:rsid w:val="0047297F"/>
    <w:rsid w:val="0048163C"/>
    <w:rsid w:val="00482A05"/>
    <w:rsid w:val="004855D0"/>
    <w:rsid w:val="00485AD0"/>
    <w:rsid w:val="00485B27"/>
    <w:rsid w:val="00486628"/>
    <w:rsid w:val="0048681F"/>
    <w:rsid w:val="00491371"/>
    <w:rsid w:val="00493033"/>
    <w:rsid w:val="0049586A"/>
    <w:rsid w:val="00495E6A"/>
    <w:rsid w:val="004965DE"/>
    <w:rsid w:val="00496DDF"/>
    <w:rsid w:val="004974AF"/>
    <w:rsid w:val="004A068A"/>
    <w:rsid w:val="004A5228"/>
    <w:rsid w:val="004A671D"/>
    <w:rsid w:val="004A6955"/>
    <w:rsid w:val="004B0708"/>
    <w:rsid w:val="004B10A8"/>
    <w:rsid w:val="004B29F3"/>
    <w:rsid w:val="004B3363"/>
    <w:rsid w:val="004B362A"/>
    <w:rsid w:val="004B3B0C"/>
    <w:rsid w:val="004B4326"/>
    <w:rsid w:val="004B45F1"/>
    <w:rsid w:val="004B4A10"/>
    <w:rsid w:val="004C6452"/>
    <w:rsid w:val="004D0845"/>
    <w:rsid w:val="004D34BB"/>
    <w:rsid w:val="004D38DD"/>
    <w:rsid w:val="004D3927"/>
    <w:rsid w:val="004D4D58"/>
    <w:rsid w:val="004D72CD"/>
    <w:rsid w:val="004E207D"/>
    <w:rsid w:val="004E3184"/>
    <w:rsid w:val="004E69AB"/>
    <w:rsid w:val="004F0A96"/>
    <w:rsid w:val="004F1B55"/>
    <w:rsid w:val="004F3CB0"/>
    <w:rsid w:val="004F5F6A"/>
    <w:rsid w:val="004F7353"/>
    <w:rsid w:val="00500286"/>
    <w:rsid w:val="00500D1B"/>
    <w:rsid w:val="00505AC3"/>
    <w:rsid w:val="00506B1F"/>
    <w:rsid w:val="00506C3F"/>
    <w:rsid w:val="0051296F"/>
    <w:rsid w:val="005139DA"/>
    <w:rsid w:val="00514DC4"/>
    <w:rsid w:val="00517A9E"/>
    <w:rsid w:val="00520DDC"/>
    <w:rsid w:val="00520F5A"/>
    <w:rsid w:val="00521C33"/>
    <w:rsid w:val="00522E26"/>
    <w:rsid w:val="00523EE2"/>
    <w:rsid w:val="00527F26"/>
    <w:rsid w:val="005312F2"/>
    <w:rsid w:val="00533CF7"/>
    <w:rsid w:val="0053466B"/>
    <w:rsid w:val="0053754C"/>
    <w:rsid w:val="00544C37"/>
    <w:rsid w:val="005561C1"/>
    <w:rsid w:val="005641C3"/>
    <w:rsid w:val="0056462D"/>
    <w:rsid w:val="005664BB"/>
    <w:rsid w:val="00566ADF"/>
    <w:rsid w:val="0057015B"/>
    <w:rsid w:val="00570A14"/>
    <w:rsid w:val="005741A5"/>
    <w:rsid w:val="00574A30"/>
    <w:rsid w:val="00574EE5"/>
    <w:rsid w:val="00575B2D"/>
    <w:rsid w:val="00575B54"/>
    <w:rsid w:val="00577AFC"/>
    <w:rsid w:val="0058136A"/>
    <w:rsid w:val="00581E2E"/>
    <w:rsid w:val="005821B9"/>
    <w:rsid w:val="00584427"/>
    <w:rsid w:val="00584FB8"/>
    <w:rsid w:val="00586049"/>
    <w:rsid w:val="00586774"/>
    <w:rsid w:val="005869C9"/>
    <w:rsid w:val="00586A61"/>
    <w:rsid w:val="00586FB5"/>
    <w:rsid w:val="0058755E"/>
    <w:rsid w:val="005917FC"/>
    <w:rsid w:val="00591D14"/>
    <w:rsid w:val="0059367C"/>
    <w:rsid w:val="00593A51"/>
    <w:rsid w:val="0059582C"/>
    <w:rsid w:val="00595DCD"/>
    <w:rsid w:val="005963DC"/>
    <w:rsid w:val="00597329"/>
    <w:rsid w:val="005A2CA4"/>
    <w:rsid w:val="005A2D25"/>
    <w:rsid w:val="005A5F4E"/>
    <w:rsid w:val="005A6143"/>
    <w:rsid w:val="005A6EBF"/>
    <w:rsid w:val="005B1163"/>
    <w:rsid w:val="005B14A4"/>
    <w:rsid w:val="005B192A"/>
    <w:rsid w:val="005B3723"/>
    <w:rsid w:val="005B3907"/>
    <w:rsid w:val="005B578E"/>
    <w:rsid w:val="005B5B06"/>
    <w:rsid w:val="005B7398"/>
    <w:rsid w:val="005C0370"/>
    <w:rsid w:val="005C1B89"/>
    <w:rsid w:val="005C27D2"/>
    <w:rsid w:val="005C3F33"/>
    <w:rsid w:val="005C6260"/>
    <w:rsid w:val="005D381A"/>
    <w:rsid w:val="005D672C"/>
    <w:rsid w:val="005D675F"/>
    <w:rsid w:val="005E129F"/>
    <w:rsid w:val="005E295C"/>
    <w:rsid w:val="005E3783"/>
    <w:rsid w:val="005E459F"/>
    <w:rsid w:val="005E5E96"/>
    <w:rsid w:val="005E6FA2"/>
    <w:rsid w:val="005F3E42"/>
    <w:rsid w:val="005F45F0"/>
    <w:rsid w:val="00600DCA"/>
    <w:rsid w:val="006071B8"/>
    <w:rsid w:val="006105FF"/>
    <w:rsid w:val="00610D5E"/>
    <w:rsid w:val="00611E11"/>
    <w:rsid w:val="006206C8"/>
    <w:rsid w:val="0062080E"/>
    <w:rsid w:val="006232CD"/>
    <w:rsid w:val="00623DA2"/>
    <w:rsid w:val="00624925"/>
    <w:rsid w:val="00627E7E"/>
    <w:rsid w:val="00630C6F"/>
    <w:rsid w:val="00633E42"/>
    <w:rsid w:val="00634DFE"/>
    <w:rsid w:val="00640613"/>
    <w:rsid w:val="00640E0B"/>
    <w:rsid w:val="00641D61"/>
    <w:rsid w:val="00644311"/>
    <w:rsid w:val="00645E10"/>
    <w:rsid w:val="0064744A"/>
    <w:rsid w:val="0065107C"/>
    <w:rsid w:val="00651B35"/>
    <w:rsid w:val="00651CEE"/>
    <w:rsid w:val="006531C7"/>
    <w:rsid w:val="00653F86"/>
    <w:rsid w:val="0065447E"/>
    <w:rsid w:val="00654993"/>
    <w:rsid w:val="00655012"/>
    <w:rsid w:val="00655FC0"/>
    <w:rsid w:val="00662113"/>
    <w:rsid w:val="00663AA5"/>
    <w:rsid w:val="00671C4C"/>
    <w:rsid w:val="00674378"/>
    <w:rsid w:val="00674BEC"/>
    <w:rsid w:val="0067678E"/>
    <w:rsid w:val="00676AF9"/>
    <w:rsid w:val="00681925"/>
    <w:rsid w:val="00682706"/>
    <w:rsid w:val="00686C25"/>
    <w:rsid w:val="00692B72"/>
    <w:rsid w:val="006938EF"/>
    <w:rsid w:val="00694BBE"/>
    <w:rsid w:val="00694E8F"/>
    <w:rsid w:val="006976DB"/>
    <w:rsid w:val="006A1402"/>
    <w:rsid w:val="006A3E87"/>
    <w:rsid w:val="006A41D4"/>
    <w:rsid w:val="006B2C2A"/>
    <w:rsid w:val="006B323B"/>
    <w:rsid w:val="006B34ED"/>
    <w:rsid w:val="006B5051"/>
    <w:rsid w:val="006B506F"/>
    <w:rsid w:val="006B6F98"/>
    <w:rsid w:val="006C25EA"/>
    <w:rsid w:val="006C5BF3"/>
    <w:rsid w:val="006C5DA7"/>
    <w:rsid w:val="006C780E"/>
    <w:rsid w:val="006D42A5"/>
    <w:rsid w:val="006D4831"/>
    <w:rsid w:val="006E120C"/>
    <w:rsid w:val="006E3997"/>
    <w:rsid w:val="006E4796"/>
    <w:rsid w:val="006E6521"/>
    <w:rsid w:val="006E783B"/>
    <w:rsid w:val="006F04D1"/>
    <w:rsid w:val="006F3205"/>
    <w:rsid w:val="006F4911"/>
    <w:rsid w:val="006F6274"/>
    <w:rsid w:val="00700620"/>
    <w:rsid w:val="00703403"/>
    <w:rsid w:val="0071142D"/>
    <w:rsid w:val="00715AA4"/>
    <w:rsid w:val="00725656"/>
    <w:rsid w:val="00726E90"/>
    <w:rsid w:val="00731CDE"/>
    <w:rsid w:val="00733BE9"/>
    <w:rsid w:val="0073516B"/>
    <w:rsid w:val="00736287"/>
    <w:rsid w:val="00743127"/>
    <w:rsid w:val="00743A25"/>
    <w:rsid w:val="00744AC3"/>
    <w:rsid w:val="00745F4F"/>
    <w:rsid w:val="00745FC4"/>
    <w:rsid w:val="00746EAE"/>
    <w:rsid w:val="0075078D"/>
    <w:rsid w:val="007532D1"/>
    <w:rsid w:val="007604E5"/>
    <w:rsid w:val="00763C13"/>
    <w:rsid w:val="00765CC5"/>
    <w:rsid w:val="00765D14"/>
    <w:rsid w:val="00771A7D"/>
    <w:rsid w:val="00772846"/>
    <w:rsid w:val="00780657"/>
    <w:rsid w:val="0078487F"/>
    <w:rsid w:val="007861CB"/>
    <w:rsid w:val="00786DA4"/>
    <w:rsid w:val="00787046"/>
    <w:rsid w:val="0079240D"/>
    <w:rsid w:val="007A040D"/>
    <w:rsid w:val="007A4A3B"/>
    <w:rsid w:val="007A4CE0"/>
    <w:rsid w:val="007A6111"/>
    <w:rsid w:val="007A6807"/>
    <w:rsid w:val="007A6BA8"/>
    <w:rsid w:val="007A6C40"/>
    <w:rsid w:val="007B17E7"/>
    <w:rsid w:val="007B49BB"/>
    <w:rsid w:val="007B64FC"/>
    <w:rsid w:val="007C40FF"/>
    <w:rsid w:val="007C6DDC"/>
    <w:rsid w:val="007C7595"/>
    <w:rsid w:val="007D00FA"/>
    <w:rsid w:val="007D0737"/>
    <w:rsid w:val="007D0A5F"/>
    <w:rsid w:val="007D5C8B"/>
    <w:rsid w:val="007D6BCF"/>
    <w:rsid w:val="007F682F"/>
    <w:rsid w:val="007F68DF"/>
    <w:rsid w:val="00801B0B"/>
    <w:rsid w:val="00803E4A"/>
    <w:rsid w:val="00805A34"/>
    <w:rsid w:val="00805F5F"/>
    <w:rsid w:val="0080601C"/>
    <w:rsid w:val="00806240"/>
    <w:rsid w:val="00807E21"/>
    <w:rsid w:val="00810393"/>
    <w:rsid w:val="00814EF8"/>
    <w:rsid w:val="008160C4"/>
    <w:rsid w:val="008212CB"/>
    <w:rsid w:val="00821774"/>
    <w:rsid w:val="00822CBE"/>
    <w:rsid w:val="00824609"/>
    <w:rsid w:val="0082624E"/>
    <w:rsid w:val="00830214"/>
    <w:rsid w:val="0083064D"/>
    <w:rsid w:val="00833C32"/>
    <w:rsid w:val="00833F80"/>
    <w:rsid w:val="00834631"/>
    <w:rsid w:val="00834879"/>
    <w:rsid w:val="0083580D"/>
    <w:rsid w:val="00835959"/>
    <w:rsid w:val="00837544"/>
    <w:rsid w:val="00837A25"/>
    <w:rsid w:val="008413CD"/>
    <w:rsid w:val="00841967"/>
    <w:rsid w:val="00843322"/>
    <w:rsid w:val="00845C72"/>
    <w:rsid w:val="00845D9C"/>
    <w:rsid w:val="00850DBF"/>
    <w:rsid w:val="008516C6"/>
    <w:rsid w:val="00853936"/>
    <w:rsid w:val="008556B6"/>
    <w:rsid w:val="008651B7"/>
    <w:rsid w:val="0086572A"/>
    <w:rsid w:val="00866269"/>
    <w:rsid w:val="008676C9"/>
    <w:rsid w:val="008704AE"/>
    <w:rsid w:val="00877141"/>
    <w:rsid w:val="00877552"/>
    <w:rsid w:val="00880CA9"/>
    <w:rsid w:val="008867F2"/>
    <w:rsid w:val="008872BB"/>
    <w:rsid w:val="00891278"/>
    <w:rsid w:val="008916F9"/>
    <w:rsid w:val="00891880"/>
    <w:rsid w:val="00892780"/>
    <w:rsid w:val="00892815"/>
    <w:rsid w:val="008A3D61"/>
    <w:rsid w:val="008A3DAE"/>
    <w:rsid w:val="008A5A5D"/>
    <w:rsid w:val="008B0445"/>
    <w:rsid w:val="008B0C90"/>
    <w:rsid w:val="008B5257"/>
    <w:rsid w:val="008B5561"/>
    <w:rsid w:val="008B5DA4"/>
    <w:rsid w:val="008B7DA3"/>
    <w:rsid w:val="008C23CC"/>
    <w:rsid w:val="008C2D5A"/>
    <w:rsid w:val="008C3DFC"/>
    <w:rsid w:val="008C7EB7"/>
    <w:rsid w:val="008C7EEC"/>
    <w:rsid w:val="008D3AB1"/>
    <w:rsid w:val="008D430E"/>
    <w:rsid w:val="008E12F2"/>
    <w:rsid w:val="008E6BD5"/>
    <w:rsid w:val="008F052C"/>
    <w:rsid w:val="008F0A48"/>
    <w:rsid w:val="008F2DA5"/>
    <w:rsid w:val="008F58FF"/>
    <w:rsid w:val="008F7A20"/>
    <w:rsid w:val="0090005C"/>
    <w:rsid w:val="00901274"/>
    <w:rsid w:val="00904F86"/>
    <w:rsid w:val="009051F2"/>
    <w:rsid w:val="009144B9"/>
    <w:rsid w:val="00923612"/>
    <w:rsid w:val="00932DAE"/>
    <w:rsid w:val="00940F71"/>
    <w:rsid w:val="009453FC"/>
    <w:rsid w:val="00946250"/>
    <w:rsid w:val="00946482"/>
    <w:rsid w:val="00947573"/>
    <w:rsid w:val="00951648"/>
    <w:rsid w:val="00951676"/>
    <w:rsid w:val="00951682"/>
    <w:rsid w:val="00955CE0"/>
    <w:rsid w:val="0095723C"/>
    <w:rsid w:val="00957426"/>
    <w:rsid w:val="00961BC4"/>
    <w:rsid w:val="009625BB"/>
    <w:rsid w:val="00963E7E"/>
    <w:rsid w:val="00964EB4"/>
    <w:rsid w:val="00965F5B"/>
    <w:rsid w:val="0096756D"/>
    <w:rsid w:val="00971B26"/>
    <w:rsid w:val="00972054"/>
    <w:rsid w:val="00973ADC"/>
    <w:rsid w:val="00976E91"/>
    <w:rsid w:val="009770E7"/>
    <w:rsid w:val="00985C23"/>
    <w:rsid w:val="009869BC"/>
    <w:rsid w:val="009878D8"/>
    <w:rsid w:val="00987BCA"/>
    <w:rsid w:val="0099001E"/>
    <w:rsid w:val="00990CD0"/>
    <w:rsid w:val="00991B1D"/>
    <w:rsid w:val="00991D10"/>
    <w:rsid w:val="00991D28"/>
    <w:rsid w:val="009923C5"/>
    <w:rsid w:val="009A4B38"/>
    <w:rsid w:val="009A54FB"/>
    <w:rsid w:val="009A7D0B"/>
    <w:rsid w:val="009B01E4"/>
    <w:rsid w:val="009B1112"/>
    <w:rsid w:val="009B4A82"/>
    <w:rsid w:val="009C386B"/>
    <w:rsid w:val="009C4B4A"/>
    <w:rsid w:val="009C4BF4"/>
    <w:rsid w:val="009C6F2B"/>
    <w:rsid w:val="009D376A"/>
    <w:rsid w:val="009D6867"/>
    <w:rsid w:val="009D7C7E"/>
    <w:rsid w:val="009E528C"/>
    <w:rsid w:val="009E5CC1"/>
    <w:rsid w:val="009E7024"/>
    <w:rsid w:val="009E7FF1"/>
    <w:rsid w:val="009F1F9B"/>
    <w:rsid w:val="009F4874"/>
    <w:rsid w:val="009F5CA8"/>
    <w:rsid w:val="00A00979"/>
    <w:rsid w:val="00A00FA7"/>
    <w:rsid w:val="00A0296F"/>
    <w:rsid w:val="00A02A13"/>
    <w:rsid w:val="00A06FE7"/>
    <w:rsid w:val="00A07D07"/>
    <w:rsid w:val="00A1162E"/>
    <w:rsid w:val="00A123D1"/>
    <w:rsid w:val="00A123EF"/>
    <w:rsid w:val="00A135D2"/>
    <w:rsid w:val="00A13ADA"/>
    <w:rsid w:val="00A16844"/>
    <w:rsid w:val="00A21A13"/>
    <w:rsid w:val="00A26816"/>
    <w:rsid w:val="00A27D03"/>
    <w:rsid w:val="00A30EC6"/>
    <w:rsid w:val="00A31522"/>
    <w:rsid w:val="00A37D6B"/>
    <w:rsid w:val="00A427F1"/>
    <w:rsid w:val="00A44792"/>
    <w:rsid w:val="00A45429"/>
    <w:rsid w:val="00A52BE3"/>
    <w:rsid w:val="00A54613"/>
    <w:rsid w:val="00A5552F"/>
    <w:rsid w:val="00A55F96"/>
    <w:rsid w:val="00A60081"/>
    <w:rsid w:val="00A67512"/>
    <w:rsid w:val="00A707E8"/>
    <w:rsid w:val="00A7104F"/>
    <w:rsid w:val="00A726BB"/>
    <w:rsid w:val="00A738C1"/>
    <w:rsid w:val="00A76FB8"/>
    <w:rsid w:val="00A85FA5"/>
    <w:rsid w:val="00A86BEC"/>
    <w:rsid w:val="00A86C05"/>
    <w:rsid w:val="00A91614"/>
    <w:rsid w:val="00A947D4"/>
    <w:rsid w:val="00A949EF"/>
    <w:rsid w:val="00AA028B"/>
    <w:rsid w:val="00AA1651"/>
    <w:rsid w:val="00AA1BAE"/>
    <w:rsid w:val="00AA375B"/>
    <w:rsid w:val="00AA3BEB"/>
    <w:rsid w:val="00AA4A33"/>
    <w:rsid w:val="00AA5710"/>
    <w:rsid w:val="00AB042A"/>
    <w:rsid w:val="00AB2B30"/>
    <w:rsid w:val="00AB4A2C"/>
    <w:rsid w:val="00AB6DC5"/>
    <w:rsid w:val="00AC2370"/>
    <w:rsid w:val="00AC6A91"/>
    <w:rsid w:val="00AD086C"/>
    <w:rsid w:val="00AD2FF2"/>
    <w:rsid w:val="00AD3487"/>
    <w:rsid w:val="00AD49C6"/>
    <w:rsid w:val="00AD5BD4"/>
    <w:rsid w:val="00AE0E93"/>
    <w:rsid w:val="00AE1112"/>
    <w:rsid w:val="00AE6B74"/>
    <w:rsid w:val="00AE715A"/>
    <w:rsid w:val="00AE7FF1"/>
    <w:rsid w:val="00AF0404"/>
    <w:rsid w:val="00AF3DD2"/>
    <w:rsid w:val="00AF4D76"/>
    <w:rsid w:val="00AF5157"/>
    <w:rsid w:val="00AF7513"/>
    <w:rsid w:val="00B011F9"/>
    <w:rsid w:val="00B03D11"/>
    <w:rsid w:val="00B06061"/>
    <w:rsid w:val="00B06CF3"/>
    <w:rsid w:val="00B127D9"/>
    <w:rsid w:val="00B15518"/>
    <w:rsid w:val="00B16E65"/>
    <w:rsid w:val="00B17D55"/>
    <w:rsid w:val="00B21476"/>
    <w:rsid w:val="00B22780"/>
    <w:rsid w:val="00B242A9"/>
    <w:rsid w:val="00B26D2D"/>
    <w:rsid w:val="00B33383"/>
    <w:rsid w:val="00B35CB7"/>
    <w:rsid w:val="00B362D5"/>
    <w:rsid w:val="00B41167"/>
    <w:rsid w:val="00B42557"/>
    <w:rsid w:val="00B46974"/>
    <w:rsid w:val="00B5191A"/>
    <w:rsid w:val="00B57E4A"/>
    <w:rsid w:val="00B63A9A"/>
    <w:rsid w:val="00B6766D"/>
    <w:rsid w:val="00B73DDC"/>
    <w:rsid w:val="00B75FA5"/>
    <w:rsid w:val="00B777FF"/>
    <w:rsid w:val="00B809F7"/>
    <w:rsid w:val="00B81945"/>
    <w:rsid w:val="00B8381D"/>
    <w:rsid w:val="00B864AD"/>
    <w:rsid w:val="00B91BE8"/>
    <w:rsid w:val="00B94CB7"/>
    <w:rsid w:val="00B957D1"/>
    <w:rsid w:val="00B95F3B"/>
    <w:rsid w:val="00BA1025"/>
    <w:rsid w:val="00BA5C4A"/>
    <w:rsid w:val="00BA6BF0"/>
    <w:rsid w:val="00BA700F"/>
    <w:rsid w:val="00BB31BE"/>
    <w:rsid w:val="00BB4E2C"/>
    <w:rsid w:val="00BB53C1"/>
    <w:rsid w:val="00BC01E1"/>
    <w:rsid w:val="00BC0EBA"/>
    <w:rsid w:val="00BC2244"/>
    <w:rsid w:val="00BC24EB"/>
    <w:rsid w:val="00BC2F54"/>
    <w:rsid w:val="00BC346D"/>
    <w:rsid w:val="00BC6A10"/>
    <w:rsid w:val="00BC6C78"/>
    <w:rsid w:val="00BC791D"/>
    <w:rsid w:val="00BD5132"/>
    <w:rsid w:val="00BD5EAF"/>
    <w:rsid w:val="00BD6E2C"/>
    <w:rsid w:val="00BE4516"/>
    <w:rsid w:val="00BE53FC"/>
    <w:rsid w:val="00BE5AF4"/>
    <w:rsid w:val="00BE6A06"/>
    <w:rsid w:val="00BE7A63"/>
    <w:rsid w:val="00BF1162"/>
    <w:rsid w:val="00BF1DEA"/>
    <w:rsid w:val="00BF2643"/>
    <w:rsid w:val="00BF321A"/>
    <w:rsid w:val="00BF3510"/>
    <w:rsid w:val="00BF5784"/>
    <w:rsid w:val="00BF5B31"/>
    <w:rsid w:val="00BF5E70"/>
    <w:rsid w:val="00BF6F16"/>
    <w:rsid w:val="00BF75A5"/>
    <w:rsid w:val="00C00CD2"/>
    <w:rsid w:val="00C01DD4"/>
    <w:rsid w:val="00C023C0"/>
    <w:rsid w:val="00C02A8D"/>
    <w:rsid w:val="00C037E2"/>
    <w:rsid w:val="00C06026"/>
    <w:rsid w:val="00C06474"/>
    <w:rsid w:val="00C103C9"/>
    <w:rsid w:val="00C10733"/>
    <w:rsid w:val="00C14A4A"/>
    <w:rsid w:val="00C14C3E"/>
    <w:rsid w:val="00C14DA2"/>
    <w:rsid w:val="00C16914"/>
    <w:rsid w:val="00C1713E"/>
    <w:rsid w:val="00C17A10"/>
    <w:rsid w:val="00C22432"/>
    <w:rsid w:val="00C23018"/>
    <w:rsid w:val="00C2460F"/>
    <w:rsid w:val="00C31AD9"/>
    <w:rsid w:val="00C31EFB"/>
    <w:rsid w:val="00C32138"/>
    <w:rsid w:val="00C3317C"/>
    <w:rsid w:val="00C33567"/>
    <w:rsid w:val="00C347F5"/>
    <w:rsid w:val="00C35B3B"/>
    <w:rsid w:val="00C368A0"/>
    <w:rsid w:val="00C3707B"/>
    <w:rsid w:val="00C511A2"/>
    <w:rsid w:val="00C52117"/>
    <w:rsid w:val="00C5699A"/>
    <w:rsid w:val="00C60DA5"/>
    <w:rsid w:val="00C6150E"/>
    <w:rsid w:val="00C61B03"/>
    <w:rsid w:val="00C657BC"/>
    <w:rsid w:val="00C70331"/>
    <w:rsid w:val="00C72927"/>
    <w:rsid w:val="00C7372A"/>
    <w:rsid w:val="00C7380D"/>
    <w:rsid w:val="00C746DD"/>
    <w:rsid w:val="00C75138"/>
    <w:rsid w:val="00C80612"/>
    <w:rsid w:val="00C864E3"/>
    <w:rsid w:val="00C868C9"/>
    <w:rsid w:val="00C87DFD"/>
    <w:rsid w:val="00C904FE"/>
    <w:rsid w:val="00C92303"/>
    <w:rsid w:val="00C951B0"/>
    <w:rsid w:val="00C95B33"/>
    <w:rsid w:val="00C9741D"/>
    <w:rsid w:val="00CA382B"/>
    <w:rsid w:val="00CA491A"/>
    <w:rsid w:val="00CA5550"/>
    <w:rsid w:val="00CB2A38"/>
    <w:rsid w:val="00CB2E9E"/>
    <w:rsid w:val="00CB6CE4"/>
    <w:rsid w:val="00CB7ADA"/>
    <w:rsid w:val="00CC1FEE"/>
    <w:rsid w:val="00CC4207"/>
    <w:rsid w:val="00CC78FC"/>
    <w:rsid w:val="00CC7A1B"/>
    <w:rsid w:val="00CD230F"/>
    <w:rsid w:val="00CD493A"/>
    <w:rsid w:val="00CD4D04"/>
    <w:rsid w:val="00CD6397"/>
    <w:rsid w:val="00CD6506"/>
    <w:rsid w:val="00CD723B"/>
    <w:rsid w:val="00CD7A98"/>
    <w:rsid w:val="00CE5228"/>
    <w:rsid w:val="00CF1412"/>
    <w:rsid w:val="00CF1987"/>
    <w:rsid w:val="00CF1E6B"/>
    <w:rsid w:val="00CF72CB"/>
    <w:rsid w:val="00D0106D"/>
    <w:rsid w:val="00D03B17"/>
    <w:rsid w:val="00D04943"/>
    <w:rsid w:val="00D056A5"/>
    <w:rsid w:val="00D05C50"/>
    <w:rsid w:val="00D075FA"/>
    <w:rsid w:val="00D13673"/>
    <w:rsid w:val="00D14CE4"/>
    <w:rsid w:val="00D17899"/>
    <w:rsid w:val="00D21355"/>
    <w:rsid w:val="00D21C83"/>
    <w:rsid w:val="00D34AFE"/>
    <w:rsid w:val="00D4423F"/>
    <w:rsid w:val="00D515B7"/>
    <w:rsid w:val="00D54C45"/>
    <w:rsid w:val="00D55D61"/>
    <w:rsid w:val="00D6003D"/>
    <w:rsid w:val="00D60094"/>
    <w:rsid w:val="00D622CB"/>
    <w:rsid w:val="00D63027"/>
    <w:rsid w:val="00D650C0"/>
    <w:rsid w:val="00D70967"/>
    <w:rsid w:val="00D70D62"/>
    <w:rsid w:val="00D72301"/>
    <w:rsid w:val="00D72CFC"/>
    <w:rsid w:val="00D760FA"/>
    <w:rsid w:val="00D77473"/>
    <w:rsid w:val="00D804FC"/>
    <w:rsid w:val="00D838DE"/>
    <w:rsid w:val="00D91EF0"/>
    <w:rsid w:val="00D95C03"/>
    <w:rsid w:val="00D95E97"/>
    <w:rsid w:val="00DA21B5"/>
    <w:rsid w:val="00DA2B85"/>
    <w:rsid w:val="00DA31F3"/>
    <w:rsid w:val="00DA4443"/>
    <w:rsid w:val="00DB1F29"/>
    <w:rsid w:val="00DB4C62"/>
    <w:rsid w:val="00DB51BA"/>
    <w:rsid w:val="00DB6B51"/>
    <w:rsid w:val="00DB73B4"/>
    <w:rsid w:val="00DB76F1"/>
    <w:rsid w:val="00DB77FD"/>
    <w:rsid w:val="00DC0B50"/>
    <w:rsid w:val="00DC196A"/>
    <w:rsid w:val="00DC7309"/>
    <w:rsid w:val="00DC7F1E"/>
    <w:rsid w:val="00DD1E75"/>
    <w:rsid w:val="00DD31A7"/>
    <w:rsid w:val="00DE0F5A"/>
    <w:rsid w:val="00DE1EC3"/>
    <w:rsid w:val="00DE25FB"/>
    <w:rsid w:val="00DE3813"/>
    <w:rsid w:val="00DE503F"/>
    <w:rsid w:val="00DF1441"/>
    <w:rsid w:val="00DF172A"/>
    <w:rsid w:val="00DF1D1C"/>
    <w:rsid w:val="00DF3590"/>
    <w:rsid w:val="00DF6378"/>
    <w:rsid w:val="00E020DB"/>
    <w:rsid w:val="00E041B4"/>
    <w:rsid w:val="00E0726C"/>
    <w:rsid w:val="00E11BC4"/>
    <w:rsid w:val="00E131F2"/>
    <w:rsid w:val="00E1798A"/>
    <w:rsid w:val="00E21E5F"/>
    <w:rsid w:val="00E21F74"/>
    <w:rsid w:val="00E2466D"/>
    <w:rsid w:val="00E25E12"/>
    <w:rsid w:val="00E25F85"/>
    <w:rsid w:val="00E2735E"/>
    <w:rsid w:val="00E31442"/>
    <w:rsid w:val="00E32FFB"/>
    <w:rsid w:val="00E331B3"/>
    <w:rsid w:val="00E35556"/>
    <w:rsid w:val="00E36025"/>
    <w:rsid w:val="00E36336"/>
    <w:rsid w:val="00E36C33"/>
    <w:rsid w:val="00E41B57"/>
    <w:rsid w:val="00E4501E"/>
    <w:rsid w:val="00E45D5A"/>
    <w:rsid w:val="00E47E2D"/>
    <w:rsid w:val="00E47F6F"/>
    <w:rsid w:val="00E524A8"/>
    <w:rsid w:val="00E555C7"/>
    <w:rsid w:val="00E570B4"/>
    <w:rsid w:val="00E57B55"/>
    <w:rsid w:val="00E63752"/>
    <w:rsid w:val="00E63F78"/>
    <w:rsid w:val="00E67D83"/>
    <w:rsid w:val="00E76FF8"/>
    <w:rsid w:val="00E77AA9"/>
    <w:rsid w:val="00E8454C"/>
    <w:rsid w:val="00E85A0A"/>
    <w:rsid w:val="00E85F98"/>
    <w:rsid w:val="00E87705"/>
    <w:rsid w:val="00E93EC0"/>
    <w:rsid w:val="00E97B1E"/>
    <w:rsid w:val="00EA2EB7"/>
    <w:rsid w:val="00EA4126"/>
    <w:rsid w:val="00EA5F66"/>
    <w:rsid w:val="00EA635F"/>
    <w:rsid w:val="00EA680C"/>
    <w:rsid w:val="00EB0FDF"/>
    <w:rsid w:val="00EB1D5D"/>
    <w:rsid w:val="00EB43AF"/>
    <w:rsid w:val="00EB4D7A"/>
    <w:rsid w:val="00EC133F"/>
    <w:rsid w:val="00EC4D66"/>
    <w:rsid w:val="00EC7418"/>
    <w:rsid w:val="00EC7716"/>
    <w:rsid w:val="00EC7A75"/>
    <w:rsid w:val="00ED0263"/>
    <w:rsid w:val="00ED053C"/>
    <w:rsid w:val="00ED1728"/>
    <w:rsid w:val="00ED224E"/>
    <w:rsid w:val="00ED58A4"/>
    <w:rsid w:val="00ED5E4C"/>
    <w:rsid w:val="00ED6669"/>
    <w:rsid w:val="00ED7925"/>
    <w:rsid w:val="00EE1BA2"/>
    <w:rsid w:val="00EE6614"/>
    <w:rsid w:val="00EE6B6D"/>
    <w:rsid w:val="00EF03EB"/>
    <w:rsid w:val="00EF2275"/>
    <w:rsid w:val="00EF23B2"/>
    <w:rsid w:val="00EF2D0E"/>
    <w:rsid w:val="00EF61F0"/>
    <w:rsid w:val="00F00343"/>
    <w:rsid w:val="00F01171"/>
    <w:rsid w:val="00F01D93"/>
    <w:rsid w:val="00F04B20"/>
    <w:rsid w:val="00F053A2"/>
    <w:rsid w:val="00F10036"/>
    <w:rsid w:val="00F12693"/>
    <w:rsid w:val="00F16C90"/>
    <w:rsid w:val="00F17FF4"/>
    <w:rsid w:val="00F207E2"/>
    <w:rsid w:val="00F20DE6"/>
    <w:rsid w:val="00F21A64"/>
    <w:rsid w:val="00F224DE"/>
    <w:rsid w:val="00F24988"/>
    <w:rsid w:val="00F25261"/>
    <w:rsid w:val="00F25BB5"/>
    <w:rsid w:val="00F2713A"/>
    <w:rsid w:val="00F27720"/>
    <w:rsid w:val="00F32D49"/>
    <w:rsid w:val="00F407A7"/>
    <w:rsid w:val="00F40F78"/>
    <w:rsid w:val="00F423AF"/>
    <w:rsid w:val="00F42833"/>
    <w:rsid w:val="00F458CC"/>
    <w:rsid w:val="00F4605A"/>
    <w:rsid w:val="00F46922"/>
    <w:rsid w:val="00F4769B"/>
    <w:rsid w:val="00F52C64"/>
    <w:rsid w:val="00F535CC"/>
    <w:rsid w:val="00F539A5"/>
    <w:rsid w:val="00F54B82"/>
    <w:rsid w:val="00F55CEC"/>
    <w:rsid w:val="00F55F2A"/>
    <w:rsid w:val="00F560A3"/>
    <w:rsid w:val="00F56FE0"/>
    <w:rsid w:val="00F60506"/>
    <w:rsid w:val="00F632DF"/>
    <w:rsid w:val="00F64B9D"/>
    <w:rsid w:val="00F67ABD"/>
    <w:rsid w:val="00F67E69"/>
    <w:rsid w:val="00F72CB6"/>
    <w:rsid w:val="00F77FED"/>
    <w:rsid w:val="00F82081"/>
    <w:rsid w:val="00F87074"/>
    <w:rsid w:val="00F87156"/>
    <w:rsid w:val="00F915E3"/>
    <w:rsid w:val="00F946A5"/>
    <w:rsid w:val="00F94746"/>
    <w:rsid w:val="00F9592A"/>
    <w:rsid w:val="00FA462B"/>
    <w:rsid w:val="00FA50A0"/>
    <w:rsid w:val="00FA52CD"/>
    <w:rsid w:val="00FA5FBD"/>
    <w:rsid w:val="00FA66F1"/>
    <w:rsid w:val="00FB1C67"/>
    <w:rsid w:val="00FB4151"/>
    <w:rsid w:val="00FC145D"/>
    <w:rsid w:val="00FC4525"/>
    <w:rsid w:val="00FC472A"/>
    <w:rsid w:val="00FC5CB5"/>
    <w:rsid w:val="00FC6613"/>
    <w:rsid w:val="00FC6FA6"/>
    <w:rsid w:val="00FD4B3E"/>
    <w:rsid w:val="00FD4DA2"/>
    <w:rsid w:val="00FD74FC"/>
    <w:rsid w:val="00FE2B8E"/>
    <w:rsid w:val="00FE3E08"/>
    <w:rsid w:val="00FE5453"/>
    <w:rsid w:val="00FE684D"/>
    <w:rsid w:val="00FF016E"/>
    <w:rsid w:val="00FF2516"/>
    <w:rsid w:val="00FF3AB2"/>
    <w:rsid w:val="00FF5271"/>
    <w:rsid w:val="00FF60AF"/>
    <w:rsid w:val="00FF7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6"/>
    <w:pPr>
      <w:spacing w:after="0" w:line="240" w:lineRule="auto"/>
    </w:pPr>
    <w:rPr>
      <w:rFonts w:ascii="Times" w:eastAsia="Times New Roman" w:hAnsi="Times" w:cs="Times New Roman"/>
      <w:szCs w:val="20"/>
    </w:rPr>
  </w:style>
  <w:style w:type="paragraph" w:styleId="Heading1">
    <w:name w:val="heading 1"/>
    <w:basedOn w:val="Normal"/>
    <w:next w:val="Normal"/>
    <w:link w:val="Heading1Char"/>
    <w:uiPriority w:val="9"/>
    <w:unhideWhenUsed/>
    <w:rsid w:val="00F20D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4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D2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B26D2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59"/>
    <w:pPr>
      <w:ind w:left="720"/>
      <w:contextualSpacing/>
    </w:pPr>
  </w:style>
  <w:style w:type="table" w:styleId="TableGrid">
    <w:name w:val="Table Grid"/>
    <w:basedOn w:val="TableNormal"/>
    <w:uiPriority w:val="59"/>
    <w:rsid w:val="00F20D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20DE6"/>
    <w:rPr>
      <w:sz w:val="16"/>
      <w:szCs w:val="16"/>
    </w:rPr>
  </w:style>
  <w:style w:type="paragraph" w:styleId="CommentText">
    <w:name w:val="annotation text"/>
    <w:basedOn w:val="Normal"/>
    <w:link w:val="CommentTextChar"/>
    <w:uiPriority w:val="99"/>
    <w:rsid w:val="00F20DE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76FB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20DE6"/>
    <w:rPr>
      <w:rFonts w:ascii="Tahoma" w:hAnsi="Tahoma" w:cs="Tahoma"/>
      <w:sz w:val="16"/>
      <w:szCs w:val="16"/>
    </w:rPr>
  </w:style>
  <w:style w:type="character" w:customStyle="1" w:styleId="BalloonTextChar">
    <w:name w:val="Balloon Text Char"/>
    <w:basedOn w:val="DefaultParagraphFont"/>
    <w:link w:val="BalloonText"/>
    <w:uiPriority w:val="99"/>
    <w:semiHidden/>
    <w:rsid w:val="00F20DE6"/>
    <w:rPr>
      <w:rFonts w:ascii="Tahoma" w:eastAsia="Times New Roman" w:hAnsi="Tahoma" w:cs="Tahoma"/>
      <w:sz w:val="16"/>
      <w:szCs w:val="16"/>
    </w:rPr>
  </w:style>
  <w:style w:type="table" w:customStyle="1" w:styleId="TableGrid3">
    <w:name w:val="Table Grid3"/>
    <w:basedOn w:val="TableNormal"/>
    <w:next w:val="TableGrid"/>
    <w:uiPriority w:val="59"/>
    <w:rsid w:val="00451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F20DE6"/>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unhideWhenUsed/>
    <w:rsid w:val="005E129F"/>
    <w:rPr>
      <w:sz w:val="20"/>
    </w:rPr>
  </w:style>
  <w:style w:type="character" w:customStyle="1" w:styleId="FootnoteTextChar">
    <w:name w:val="Footnote Text Char"/>
    <w:basedOn w:val="DefaultParagraphFont"/>
    <w:link w:val="FootnoteText"/>
    <w:uiPriority w:val="99"/>
    <w:rsid w:val="005E129F"/>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5E129F"/>
    <w:rPr>
      <w:vertAlign w:val="superscript"/>
    </w:rPr>
  </w:style>
  <w:style w:type="character" w:customStyle="1" w:styleId="element-citation">
    <w:name w:val="element-citation"/>
    <w:basedOn w:val="DefaultParagraphFont"/>
    <w:rsid w:val="005E129F"/>
  </w:style>
  <w:style w:type="character" w:customStyle="1" w:styleId="ref-journal">
    <w:name w:val="ref-journal"/>
    <w:basedOn w:val="DefaultParagraphFont"/>
    <w:rsid w:val="005E129F"/>
  </w:style>
  <w:style w:type="character" w:customStyle="1" w:styleId="ref-vol">
    <w:name w:val="ref-vol"/>
    <w:basedOn w:val="DefaultParagraphFont"/>
    <w:rsid w:val="005E129F"/>
  </w:style>
  <w:style w:type="paragraph" w:styleId="CommentSubject">
    <w:name w:val="annotation subject"/>
    <w:basedOn w:val="CommentText"/>
    <w:next w:val="CommentText"/>
    <w:link w:val="CommentSubjectChar"/>
    <w:semiHidden/>
    <w:rsid w:val="00F20DE6"/>
    <w:rPr>
      <w:b/>
      <w:bCs/>
    </w:rPr>
  </w:style>
  <w:style w:type="character" w:customStyle="1" w:styleId="CommentSubjectChar">
    <w:name w:val="Comment Subject Char"/>
    <w:basedOn w:val="CommentTextChar"/>
    <w:link w:val="CommentSubject"/>
    <w:semiHidden/>
    <w:rsid w:val="0022460E"/>
    <w:rPr>
      <w:rFonts w:ascii="Calibri" w:eastAsia="Calibri" w:hAnsi="Calibri" w:cs="Times New Roman"/>
      <w:b/>
      <w:bCs/>
      <w:sz w:val="20"/>
      <w:szCs w:val="20"/>
    </w:rPr>
  </w:style>
  <w:style w:type="paragraph" w:customStyle="1" w:styleId="Level2Heading">
    <w:name w:val="Level2Heading"/>
    <w:qFormat/>
    <w:rsid w:val="00F20DE6"/>
    <w:pPr>
      <w:keepNext/>
      <w:spacing w:before="240" w:after="60" w:line="240" w:lineRule="auto"/>
      <w:outlineLvl w:val="2"/>
    </w:pPr>
    <w:rPr>
      <w:rFonts w:eastAsia="Times New Roman" w:cs="Times New Roman"/>
      <w:b/>
      <w:bCs/>
      <w:sz w:val="32"/>
      <w:szCs w:val="24"/>
    </w:rPr>
  </w:style>
  <w:style w:type="paragraph" w:customStyle="1" w:styleId="Level1Heading">
    <w:name w:val="Level1Heading"/>
    <w:link w:val="Level1HeadingChar"/>
    <w:qFormat/>
    <w:rsid w:val="00F20DE6"/>
    <w:pPr>
      <w:keepNext/>
      <w:spacing w:before="240" w:after="60" w:line="240" w:lineRule="auto"/>
      <w:outlineLvl w:val="1"/>
    </w:pPr>
    <w:rPr>
      <w:rFonts w:ascii="Arial" w:eastAsia="Times New Roman" w:hAnsi="Arial" w:cs="Times New Roman"/>
      <w:b/>
      <w:bCs/>
      <w:sz w:val="32"/>
      <w:szCs w:val="24"/>
    </w:rPr>
  </w:style>
  <w:style w:type="paragraph" w:customStyle="1" w:styleId="ParagraphIndent">
    <w:name w:val="ParagraphIndent"/>
    <w:qFormat/>
    <w:rsid w:val="00F20DE6"/>
    <w:pPr>
      <w:spacing w:after="0" w:line="240" w:lineRule="auto"/>
      <w:ind w:firstLine="360"/>
    </w:pPr>
    <w:rPr>
      <w:rFonts w:eastAsia="Calibri" w:cs="Times New Roman"/>
      <w:color w:val="000000"/>
      <w:szCs w:val="24"/>
    </w:rPr>
  </w:style>
  <w:style w:type="paragraph" w:customStyle="1" w:styleId="Level3Heading">
    <w:name w:val="Level3Heading"/>
    <w:qFormat/>
    <w:rsid w:val="00F20DE6"/>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F20DE6"/>
    <w:pPr>
      <w:keepNext/>
      <w:spacing w:before="240" w:after="0" w:line="240" w:lineRule="auto"/>
      <w:outlineLvl w:val="4"/>
    </w:pPr>
    <w:rPr>
      <w:rFonts w:eastAsia="Times New Roman" w:cs="Times New Roman"/>
      <w:b/>
      <w:bCs/>
      <w:sz w:val="28"/>
      <w:szCs w:val="24"/>
    </w:rPr>
  </w:style>
  <w:style w:type="paragraph" w:customStyle="1" w:styleId="ChapterHeading">
    <w:name w:val="ChapterHeading"/>
    <w:qFormat/>
    <w:rsid w:val="00F20DE6"/>
    <w:pPr>
      <w:keepNext/>
      <w:spacing w:after="60" w:line="240" w:lineRule="auto"/>
      <w:jc w:val="center"/>
      <w:outlineLvl w:val="0"/>
    </w:pPr>
    <w:rPr>
      <w:rFonts w:ascii="Arial" w:eastAsia="Times New Roman" w:hAnsi="Arial" w:cs="Times New Roman"/>
      <w:b/>
      <w:bCs/>
      <w:sz w:val="36"/>
      <w:szCs w:val="24"/>
    </w:rPr>
  </w:style>
  <w:style w:type="character" w:customStyle="1" w:styleId="Heading2Char">
    <w:name w:val="Heading 2 Char"/>
    <w:basedOn w:val="DefaultParagraphFont"/>
    <w:link w:val="Heading2"/>
    <w:uiPriority w:val="9"/>
    <w:rsid w:val="00E4501E"/>
    <w:rPr>
      <w:rFonts w:asciiTheme="majorHAnsi" w:eastAsiaTheme="majorEastAsia" w:hAnsiTheme="majorHAnsi" w:cstheme="majorBidi"/>
      <w:b/>
      <w:bCs/>
      <w:color w:val="4F81BD" w:themeColor="accent1"/>
      <w:sz w:val="26"/>
      <w:szCs w:val="26"/>
    </w:rPr>
  </w:style>
  <w:style w:type="paragraph" w:customStyle="1" w:styleId="text">
    <w:name w:val="text"/>
    <w:basedOn w:val="Normal"/>
    <w:uiPriority w:val="99"/>
    <w:rsid w:val="00255AE9"/>
    <w:pPr>
      <w:spacing w:before="120"/>
      <w:ind w:firstLine="720"/>
    </w:pPr>
    <w:rPr>
      <w:rFonts w:ascii="Arial" w:hAnsi="Arial"/>
      <w:szCs w:val="24"/>
    </w:rPr>
  </w:style>
  <w:style w:type="paragraph" w:customStyle="1" w:styleId="HeadingI">
    <w:name w:val="Heading I"/>
    <w:basedOn w:val="Normal"/>
    <w:uiPriority w:val="99"/>
    <w:rsid w:val="00255AE9"/>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uiPriority w:val="99"/>
    <w:rsid w:val="00255AE9"/>
    <w:pPr>
      <w:keepNext/>
      <w:tabs>
        <w:tab w:val="left" w:pos="1080"/>
      </w:tabs>
      <w:spacing w:before="240"/>
      <w:ind w:left="1080" w:hanging="360"/>
    </w:pPr>
    <w:rPr>
      <w:rFonts w:ascii="Arial (W1)" w:hAnsi="Arial (W1)"/>
      <w:b/>
      <w:szCs w:val="24"/>
    </w:rPr>
  </w:style>
  <w:style w:type="character" w:customStyle="1" w:styleId="Level1HeadingChar">
    <w:name w:val="Level1Heading Char"/>
    <w:link w:val="Level1Heading"/>
    <w:rsid w:val="00255AE9"/>
    <w:rPr>
      <w:rFonts w:ascii="Arial" w:eastAsia="Times New Roman" w:hAnsi="Arial" w:cs="Times New Roman"/>
      <w:b/>
      <w:bCs/>
      <w:sz w:val="32"/>
      <w:szCs w:val="24"/>
    </w:rPr>
  </w:style>
  <w:style w:type="table" w:customStyle="1" w:styleId="TableGrid4">
    <w:name w:val="Table Grid4"/>
    <w:basedOn w:val="TableNormal"/>
    <w:next w:val="TableGrid"/>
    <w:rsid w:val="00CD49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DE6"/>
    <w:rPr>
      <w:rFonts w:ascii="Cambria" w:eastAsia="Times New Roman" w:hAnsi="Cambria" w:cs="Times New Roman"/>
      <w:b/>
      <w:bCs/>
      <w:kern w:val="32"/>
      <w:sz w:val="32"/>
      <w:szCs w:val="32"/>
    </w:rPr>
  </w:style>
  <w:style w:type="paragraph" w:customStyle="1" w:styleId="ParagraphNoIndent">
    <w:name w:val="ParagraphNoIndent"/>
    <w:link w:val="ParagraphNoIndentChar"/>
    <w:qFormat/>
    <w:rsid w:val="00F20DE6"/>
    <w:pPr>
      <w:spacing w:after="0" w:line="240" w:lineRule="auto"/>
    </w:pPr>
    <w:rPr>
      <w:rFonts w:eastAsia="Times New Roman" w:cs="Times New Roman"/>
      <w:bCs/>
      <w:szCs w:val="24"/>
    </w:rPr>
  </w:style>
  <w:style w:type="paragraph" w:customStyle="1" w:styleId="ReportType">
    <w:name w:val="ReportType"/>
    <w:qFormat/>
    <w:rsid w:val="00F20DE6"/>
    <w:pPr>
      <w:spacing w:after="0" w:line="240" w:lineRule="auto"/>
    </w:pPr>
    <w:rPr>
      <w:rFonts w:eastAsia="Times New Roman" w:cs="Times New Roman"/>
      <w:b/>
      <w:bCs/>
      <w:i/>
      <w:sz w:val="36"/>
      <w:szCs w:val="36"/>
    </w:rPr>
  </w:style>
  <w:style w:type="paragraph" w:customStyle="1" w:styleId="NumberLine">
    <w:name w:val="NumberLine"/>
    <w:qFormat/>
    <w:rsid w:val="00F20DE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0DE6"/>
    <w:pPr>
      <w:spacing w:after="0" w:line="240" w:lineRule="auto"/>
    </w:pPr>
    <w:rPr>
      <w:rFonts w:ascii="Arial" w:eastAsia="Times New Roman" w:hAnsi="Arial" w:cs="Times New Roman"/>
      <w:b/>
      <w:bCs/>
      <w:sz w:val="36"/>
      <w:szCs w:val="36"/>
    </w:rPr>
  </w:style>
  <w:style w:type="paragraph" w:customStyle="1" w:styleId="PageNumber">
    <w:name w:val="PageNumber"/>
    <w:qFormat/>
    <w:rsid w:val="00F20DE6"/>
    <w:pPr>
      <w:spacing w:after="0" w:line="240" w:lineRule="auto"/>
      <w:jc w:val="center"/>
    </w:pPr>
    <w:rPr>
      <w:rFonts w:eastAsia="Calibri" w:cs="Times New Roman"/>
      <w:szCs w:val="24"/>
    </w:rPr>
  </w:style>
  <w:style w:type="paragraph" w:customStyle="1" w:styleId="FrontMatterHead">
    <w:name w:val="FrontMatterHead"/>
    <w:qFormat/>
    <w:rsid w:val="00F20DE6"/>
    <w:pPr>
      <w:keepNext/>
      <w:spacing w:before="240" w:after="60" w:line="240" w:lineRule="auto"/>
    </w:pPr>
    <w:rPr>
      <w:rFonts w:ascii="Arial" w:eastAsia="Calibri" w:hAnsi="Arial" w:cs="Arial"/>
      <w:b/>
      <w:sz w:val="32"/>
      <w:szCs w:val="32"/>
    </w:rPr>
  </w:style>
  <w:style w:type="table" w:customStyle="1" w:styleId="AHRQ1">
    <w:name w:val="AHRQ1"/>
    <w:basedOn w:val="TableGrid"/>
    <w:rsid w:val="00F20DE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F20DE6"/>
    <w:rPr>
      <w:rFonts w:ascii="Times New Roman" w:hAnsi="Times New Roman"/>
      <w:szCs w:val="24"/>
      <w:lang w:val="en-CA"/>
    </w:rPr>
  </w:style>
  <w:style w:type="paragraph" w:styleId="TOC2">
    <w:name w:val="toc 2"/>
    <w:basedOn w:val="Normal"/>
    <w:next w:val="Normal"/>
    <w:autoRedefine/>
    <w:uiPriority w:val="39"/>
    <w:rsid w:val="0049586A"/>
    <w:pPr>
      <w:tabs>
        <w:tab w:val="right" w:leader="dot" w:pos="9350"/>
      </w:tabs>
      <w:ind w:left="245"/>
    </w:pPr>
    <w:rPr>
      <w:rFonts w:ascii="Times New Roman" w:hAnsi="Times New Roman"/>
      <w:szCs w:val="24"/>
      <w:lang w:val="en-CA"/>
    </w:rPr>
  </w:style>
  <w:style w:type="paragraph" w:customStyle="1" w:styleId="KeyQuestion">
    <w:name w:val="KeyQuestion"/>
    <w:rsid w:val="00F20DE6"/>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0DE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0DE6"/>
    <w:pPr>
      <w:spacing w:after="240" w:line="240" w:lineRule="auto"/>
    </w:pPr>
    <w:rPr>
      <w:rFonts w:eastAsia="Times New Roman" w:cs="Times New Roman"/>
      <w:bCs/>
      <w:sz w:val="18"/>
      <w:szCs w:val="24"/>
    </w:rPr>
  </w:style>
  <w:style w:type="paragraph" w:customStyle="1" w:styleId="Reference">
    <w:name w:val="Reference"/>
    <w:qFormat/>
    <w:rsid w:val="00F20DE6"/>
    <w:pPr>
      <w:keepLines/>
      <w:spacing w:before="120" w:after="120" w:line="240" w:lineRule="auto"/>
      <w:ind w:left="720" w:hanging="720"/>
    </w:pPr>
    <w:rPr>
      <w:rFonts w:eastAsia="Times New Roman" w:cs="Times New Roman"/>
      <w:bCs/>
      <w:sz w:val="20"/>
      <w:szCs w:val="24"/>
    </w:rPr>
  </w:style>
  <w:style w:type="paragraph" w:styleId="Header">
    <w:name w:val="header"/>
    <w:basedOn w:val="Normal"/>
    <w:link w:val="HeaderChar"/>
    <w:uiPriority w:val="99"/>
    <w:unhideWhenUsed/>
    <w:rsid w:val="00F20DE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0DE6"/>
    <w:rPr>
      <w:rFonts w:ascii="Calibri" w:eastAsia="Calibri" w:hAnsi="Calibri" w:cs="Times New Roman"/>
      <w:sz w:val="22"/>
    </w:rPr>
  </w:style>
  <w:style w:type="paragraph" w:customStyle="1" w:styleId="Level5Heading">
    <w:name w:val="Level5Heading"/>
    <w:qFormat/>
    <w:rsid w:val="00F20DE6"/>
    <w:pPr>
      <w:keepNext/>
      <w:spacing w:before="240" w:after="0" w:line="240" w:lineRule="auto"/>
      <w:outlineLvl w:val="5"/>
    </w:pPr>
    <w:rPr>
      <w:rFonts w:ascii="Arial" w:eastAsia="Times New Roman" w:hAnsi="Arial" w:cs="Times New Roman"/>
      <w:b/>
      <w:bCs/>
      <w:szCs w:val="24"/>
    </w:rPr>
  </w:style>
  <w:style w:type="paragraph" w:customStyle="1" w:styleId="PreparedForText">
    <w:name w:val="PreparedForText"/>
    <w:qFormat/>
    <w:rsid w:val="00F20DE6"/>
    <w:pPr>
      <w:spacing w:after="0" w:line="240" w:lineRule="auto"/>
    </w:pPr>
    <w:rPr>
      <w:rFonts w:eastAsia="Times New Roman" w:cs="Times New Roman"/>
      <w:bCs/>
      <w:szCs w:val="24"/>
    </w:rPr>
  </w:style>
  <w:style w:type="paragraph" w:customStyle="1" w:styleId="ParagraphNoIndentBold">
    <w:name w:val="ParagraphNoIndentBold"/>
    <w:qFormat/>
    <w:rsid w:val="00F20DE6"/>
    <w:pPr>
      <w:spacing w:after="0" w:line="240" w:lineRule="auto"/>
    </w:pPr>
    <w:rPr>
      <w:rFonts w:eastAsia="Times New Roman" w:cs="Times New Roman"/>
      <w:b/>
      <w:bCs/>
      <w:szCs w:val="24"/>
    </w:rPr>
  </w:style>
  <w:style w:type="paragraph" w:customStyle="1" w:styleId="ContractNumber">
    <w:name w:val="ContractNumber"/>
    <w:next w:val="ParagraphNoIndent"/>
    <w:qFormat/>
    <w:rsid w:val="00F20DE6"/>
    <w:pPr>
      <w:spacing w:after="0" w:line="240" w:lineRule="auto"/>
    </w:pPr>
    <w:rPr>
      <w:rFonts w:eastAsia="Times New Roman" w:cs="Times New Roman"/>
      <w:b/>
      <w:bCs/>
      <w:szCs w:val="24"/>
    </w:rPr>
  </w:style>
  <w:style w:type="paragraph" w:customStyle="1" w:styleId="PreparedByText">
    <w:name w:val="PreparedByText"/>
    <w:qFormat/>
    <w:rsid w:val="00F20DE6"/>
    <w:pPr>
      <w:spacing w:after="0" w:line="240" w:lineRule="auto"/>
    </w:pPr>
    <w:rPr>
      <w:rFonts w:eastAsia="Times New Roman" w:cs="Times New Roman"/>
      <w:bCs/>
      <w:szCs w:val="24"/>
    </w:rPr>
  </w:style>
  <w:style w:type="paragraph" w:customStyle="1" w:styleId="Investigators">
    <w:name w:val="Investigators"/>
    <w:qFormat/>
    <w:rsid w:val="00F20DE6"/>
    <w:pPr>
      <w:spacing w:after="0" w:line="240" w:lineRule="auto"/>
    </w:pPr>
    <w:rPr>
      <w:rFonts w:eastAsia="Times New Roman" w:cs="Times New Roman"/>
      <w:bCs/>
      <w:szCs w:val="24"/>
    </w:rPr>
  </w:style>
  <w:style w:type="paragraph" w:customStyle="1" w:styleId="PublicationNumberDate">
    <w:name w:val="PublicationNumberDate"/>
    <w:qFormat/>
    <w:rsid w:val="00F20DE6"/>
    <w:pPr>
      <w:spacing w:after="0" w:line="240" w:lineRule="auto"/>
    </w:pPr>
    <w:rPr>
      <w:rFonts w:eastAsia="Times New Roman" w:cs="Times New Roman"/>
      <w:b/>
      <w:bCs/>
      <w:szCs w:val="24"/>
    </w:rPr>
  </w:style>
  <w:style w:type="paragraph" w:customStyle="1" w:styleId="SuggestedCitation">
    <w:name w:val="SuggestedCitation"/>
    <w:qFormat/>
    <w:rsid w:val="00F20DE6"/>
    <w:pPr>
      <w:spacing w:after="0" w:line="240" w:lineRule="auto"/>
    </w:pPr>
    <w:rPr>
      <w:rFonts w:eastAsia="Times New Roman" w:cs="Times New Roman"/>
      <w:bCs/>
      <w:szCs w:val="24"/>
    </w:rPr>
  </w:style>
  <w:style w:type="paragraph" w:customStyle="1" w:styleId="Contents">
    <w:name w:val="Contents"/>
    <w:qFormat/>
    <w:rsid w:val="00F20DE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0DE6"/>
    <w:pPr>
      <w:keepNext/>
      <w:spacing w:before="240" w:after="0" w:line="240" w:lineRule="auto"/>
    </w:pPr>
    <w:rPr>
      <w:rFonts w:eastAsia="Times New Roman" w:cs="Times New Roman"/>
      <w:b/>
      <w:bCs/>
      <w:szCs w:val="28"/>
    </w:rPr>
  </w:style>
  <w:style w:type="paragraph" w:customStyle="1" w:styleId="TableColumnHead">
    <w:name w:val="TableColumnHead"/>
    <w:qFormat/>
    <w:rsid w:val="00F20DE6"/>
    <w:pPr>
      <w:spacing w:after="0" w:line="240" w:lineRule="auto"/>
      <w:jc w:val="center"/>
    </w:pPr>
    <w:rPr>
      <w:rFonts w:ascii="Arial" w:eastAsia="Calibri" w:hAnsi="Arial" w:cs="Arial"/>
      <w:b/>
      <w:bCs/>
      <w:sz w:val="18"/>
      <w:szCs w:val="18"/>
    </w:rPr>
  </w:style>
  <w:style w:type="paragraph" w:customStyle="1" w:styleId="TableSubhead">
    <w:name w:val="TableSubhead"/>
    <w:qFormat/>
    <w:rsid w:val="00F20DE6"/>
    <w:pPr>
      <w:spacing w:after="0" w:line="240" w:lineRule="auto"/>
    </w:pPr>
    <w:rPr>
      <w:rFonts w:ascii="Arial" w:eastAsia="Calibri" w:hAnsi="Arial" w:cs="Arial"/>
      <w:b/>
      <w:i/>
      <w:sz w:val="18"/>
      <w:szCs w:val="18"/>
    </w:rPr>
  </w:style>
  <w:style w:type="paragraph" w:customStyle="1" w:styleId="TableText">
    <w:name w:val="TableText"/>
    <w:link w:val="TableTextChar"/>
    <w:qFormat/>
    <w:rsid w:val="00F20DE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F20DE6"/>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F20DE6"/>
    <w:rPr>
      <w:rFonts w:ascii="Calibri" w:eastAsia="Calibri" w:hAnsi="Calibri" w:cs="Times New Roman"/>
      <w:sz w:val="22"/>
    </w:rPr>
  </w:style>
  <w:style w:type="paragraph" w:customStyle="1" w:styleId="Level6Heading">
    <w:name w:val="Level6Heading"/>
    <w:qFormat/>
    <w:rsid w:val="00F20DE6"/>
    <w:pPr>
      <w:keepNext/>
      <w:spacing w:before="240" w:after="0" w:line="240" w:lineRule="auto"/>
      <w:outlineLvl w:val="6"/>
    </w:pPr>
    <w:rPr>
      <w:rFonts w:eastAsia="Times New Roman" w:cs="Times New Roman"/>
      <w:b/>
      <w:bCs/>
      <w:szCs w:val="24"/>
    </w:rPr>
  </w:style>
  <w:style w:type="paragraph" w:customStyle="1" w:styleId="Level7Heading">
    <w:name w:val="Level7Heading"/>
    <w:qFormat/>
    <w:rsid w:val="00F20DE6"/>
    <w:pPr>
      <w:keepNext/>
      <w:spacing w:after="0" w:line="240" w:lineRule="auto"/>
    </w:pPr>
    <w:rPr>
      <w:rFonts w:eastAsia="Calibri" w:cs="Times New Roman"/>
      <w:b/>
      <w:color w:val="000000"/>
      <w:szCs w:val="24"/>
    </w:rPr>
  </w:style>
  <w:style w:type="paragraph" w:customStyle="1" w:styleId="Level8Heading">
    <w:name w:val="Level8Heading"/>
    <w:qFormat/>
    <w:rsid w:val="00F20DE6"/>
    <w:pPr>
      <w:keepNext/>
      <w:spacing w:after="0" w:line="240" w:lineRule="auto"/>
    </w:pPr>
    <w:rPr>
      <w:rFonts w:eastAsia="Times New Roman" w:cs="Times New Roman"/>
      <w:bCs/>
      <w:i/>
      <w:szCs w:val="24"/>
    </w:rPr>
  </w:style>
  <w:style w:type="paragraph" w:customStyle="1" w:styleId="Bullet1">
    <w:name w:val="Bullet1"/>
    <w:qFormat/>
    <w:rsid w:val="00F20DE6"/>
    <w:pPr>
      <w:numPr>
        <w:numId w:val="1"/>
      </w:numPr>
      <w:spacing w:after="0" w:line="240" w:lineRule="auto"/>
    </w:pPr>
    <w:rPr>
      <w:rFonts w:eastAsia="Times New Roman" w:cs="Times New Roman"/>
      <w:bCs/>
      <w:szCs w:val="24"/>
    </w:rPr>
  </w:style>
  <w:style w:type="paragraph" w:customStyle="1" w:styleId="Bullet20">
    <w:name w:val="Bullet2"/>
    <w:qFormat/>
    <w:rsid w:val="00F20DE6"/>
    <w:pPr>
      <w:numPr>
        <w:ilvl w:val="1"/>
        <w:numId w:val="1"/>
      </w:numPr>
      <w:spacing w:after="0" w:line="240" w:lineRule="auto"/>
      <w:ind w:left="1080"/>
    </w:pPr>
    <w:rPr>
      <w:rFonts w:eastAsia="Times New Roman" w:cs="Times New Roman"/>
      <w:bCs/>
      <w:szCs w:val="24"/>
    </w:rPr>
  </w:style>
  <w:style w:type="paragraph" w:customStyle="1" w:styleId="TableCenteredText">
    <w:name w:val="TableCenteredText"/>
    <w:qFormat/>
    <w:rsid w:val="00F20DE6"/>
    <w:pPr>
      <w:spacing w:after="0" w:line="240" w:lineRule="auto"/>
      <w:jc w:val="center"/>
    </w:pPr>
    <w:rPr>
      <w:rFonts w:ascii="Arial" w:eastAsia="Calibri" w:hAnsi="Arial" w:cs="Arial"/>
      <w:sz w:val="18"/>
      <w:szCs w:val="18"/>
    </w:rPr>
  </w:style>
  <w:style w:type="paragraph" w:customStyle="1" w:styleId="TableLeftText">
    <w:name w:val="TableLeftText"/>
    <w:qFormat/>
    <w:rsid w:val="00F20DE6"/>
    <w:pPr>
      <w:spacing w:after="0" w:line="240" w:lineRule="auto"/>
    </w:pPr>
    <w:rPr>
      <w:rFonts w:ascii="Arial" w:eastAsia="Calibri" w:hAnsi="Arial" w:cs="Arial"/>
      <w:sz w:val="18"/>
      <w:szCs w:val="18"/>
    </w:rPr>
  </w:style>
  <w:style w:type="paragraph" w:customStyle="1" w:styleId="TableBoldText">
    <w:name w:val="TableBoldText"/>
    <w:qFormat/>
    <w:rsid w:val="00F20DE6"/>
    <w:pPr>
      <w:spacing w:after="0" w:line="240" w:lineRule="auto"/>
    </w:pPr>
    <w:rPr>
      <w:rFonts w:ascii="Arial" w:eastAsia="Calibri" w:hAnsi="Arial" w:cs="Arial"/>
      <w:b/>
      <w:sz w:val="18"/>
      <w:szCs w:val="18"/>
    </w:rPr>
  </w:style>
  <w:style w:type="paragraph" w:customStyle="1" w:styleId="Studies1">
    <w:name w:val="Studies1"/>
    <w:qFormat/>
    <w:rsid w:val="00F20DE6"/>
    <w:pPr>
      <w:keepLines/>
      <w:spacing w:before="120" w:after="120" w:line="240" w:lineRule="auto"/>
    </w:pPr>
    <w:rPr>
      <w:rFonts w:eastAsia="Calibri" w:cs="Arial"/>
      <w:color w:val="000000"/>
      <w:szCs w:val="32"/>
    </w:rPr>
  </w:style>
  <w:style w:type="paragraph" w:customStyle="1" w:styleId="Studies2">
    <w:name w:val="Studies2"/>
    <w:qFormat/>
    <w:rsid w:val="00F20DE6"/>
    <w:pPr>
      <w:keepLines/>
      <w:numPr>
        <w:numId w:val="2"/>
      </w:numPr>
      <w:spacing w:before="120" w:after="120" w:line="240" w:lineRule="auto"/>
      <w:ind w:hanging="720"/>
    </w:pPr>
    <w:rPr>
      <w:rFonts w:eastAsia="Times" w:cs="Times New Roman"/>
      <w:color w:val="000000"/>
      <w:szCs w:val="24"/>
    </w:rPr>
  </w:style>
  <w:style w:type="paragraph" w:customStyle="1" w:styleId="NumberedList">
    <w:name w:val="NumberedList"/>
    <w:basedOn w:val="Bullet1"/>
    <w:qFormat/>
    <w:rsid w:val="00F20DE6"/>
    <w:pPr>
      <w:numPr>
        <w:numId w:val="3"/>
      </w:numPr>
      <w:ind w:left="720"/>
    </w:pPr>
  </w:style>
  <w:style w:type="paragraph" w:customStyle="1" w:styleId="ReportSubtitle">
    <w:name w:val="ReportSubtitle"/>
    <w:qFormat/>
    <w:rsid w:val="00F20DE6"/>
    <w:pPr>
      <w:spacing w:after="0" w:line="240" w:lineRule="auto"/>
    </w:pPr>
    <w:rPr>
      <w:rFonts w:ascii="Arial" w:eastAsia="Times New Roman" w:hAnsi="Arial" w:cs="Times New Roman"/>
      <w:b/>
      <w:bCs/>
      <w:szCs w:val="24"/>
    </w:rPr>
  </w:style>
  <w:style w:type="paragraph" w:customStyle="1" w:styleId="FrontMatterSubhead">
    <w:name w:val="FrontMatterSubhead"/>
    <w:qFormat/>
    <w:rsid w:val="00F20DE6"/>
    <w:pPr>
      <w:keepNext/>
      <w:spacing w:before="120" w:after="0" w:line="240" w:lineRule="auto"/>
    </w:pPr>
    <w:rPr>
      <w:rFonts w:ascii="Arial" w:eastAsia="Calibri" w:hAnsi="Arial" w:cs="Arial"/>
      <w:b/>
      <w:szCs w:val="32"/>
    </w:rPr>
  </w:style>
  <w:style w:type="character" w:styleId="Hyperlink">
    <w:name w:val="Hyperlink"/>
    <w:basedOn w:val="DefaultParagraphFont"/>
    <w:uiPriority w:val="99"/>
    <w:rsid w:val="00F20DE6"/>
    <w:rPr>
      <w:color w:val="0000FF"/>
      <w:u w:val="single"/>
    </w:rPr>
  </w:style>
  <w:style w:type="paragraph" w:customStyle="1" w:styleId="BodyText">
    <w:name w:val="BodyText"/>
    <w:basedOn w:val="Normal"/>
    <w:link w:val="BodyTextChar"/>
    <w:rsid w:val="00F20DE6"/>
    <w:pPr>
      <w:spacing w:after="120"/>
    </w:pPr>
    <w:rPr>
      <w:rFonts w:ascii="Times New Roman" w:hAnsi="Times New Roman"/>
      <w:szCs w:val="24"/>
    </w:rPr>
  </w:style>
  <w:style w:type="character" w:customStyle="1" w:styleId="BodyTextChar">
    <w:name w:val="BodyText Char"/>
    <w:basedOn w:val="DefaultParagraphFont"/>
    <w:link w:val="BodyText"/>
    <w:rsid w:val="00F20DE6"/>
    <w:rPr>
      <w:rFonts w:eastAsia="Times New Roman" w:cs="Times New Roman"/>
      <w:szCs w:val="24"/>
    </w:rPr>
  </w:style>
  <w:style w:type="paragraph" w:customStyle="1" w:styleId="TitlePageReportNumber">
    <w:name w:val="Title Page Report Number"/>
    <w:basedOn w:val="Normal"/>
    <w:rsid w:val="00F20DE6"/>
    <w:rPr>
      <w:rFonts w:ascii="Arial" w:eastAsia="Times" w:hAnsi="Arial"/>
      <w:b/>
      <w:sz w:val="28"/>
    </w:rPr>
  </w:style>
  <w:style w:type="paragraph" w:customStyle="1" w:styleId="Default">
    <w:name w:val="Default"/>
    <w:rsid w:val="00F20DE6"/>
    <w:pPr>
      <w:autoSpaceDE w:val="0"/>
      <w:autoSpaceDN w:val="0"/>
      <w:adjustRightInd w:val="0"/>
      <w:spacing w:after="0" w:line="240" w:lineRule="auto"/>
    </w:pPr>
    <w:rPr>
      <w:rFonts w:eastAsia="Times New Roman" w:cs="Times New Roman"/>
      <w:color w:val="000000"/>
      <w:szCs w:val="24"/>
    </w:rPr>
  </w:style>
  <w:style w:type="paragraph" w:customStyle="1" w:styleId="TableTextBullet">
    <w:name w:val="TableTextBullet"/>
    <w:basedOn w:val="TableText"/>
    <w:qFormat/>
    <w:rsid w:val="001D01EE"/>
    <w:pPr>
      <w:numPr>
        <w:numId w:val="4"/>
      </w:numPr>
      <w:ind w:left="228" w:hanging="228"/>
    </w:pPr>
  </w:style>
  <w:style w:type="paragraph" w:customStyle="1" w:styleId="footnote">
    <w:name w:val="footnote"/>
    <w:basedOn w:val="FootnoteText"/>
    <w:qFormat/>
    <w:rsid w:val="00E45D5A"/>
    <w:pPr>
      <w:spacing w:after="120"/>
    </w:pPr>
  </w:style>
  <w:style w:type="paragraph" w:customStyle="1" w:styleId="TableBullet">
    <w:name w:val="TableBullet"/>
    <w:basedOn w:val="Normal"/>
    <w:qFormat/>
    <w:rsid w:val="00991B1D"/>
    <w:pPr>
      <w:numPr>
        <w:numId w:val="5"/>
      </w:numPr>
      <w:ind w:left="187" w:hanging="187"/>
    </w:pPr>
    <w:rPr>
      <w:rFonts w:ascii="Arial" w:eastAsiaTheme="minorHAnsi" w:hAnsi="Arial" w:cstheme="minorBidi"/>
      <w:sz w:val="18"/>
      <w:szCs w:val="18"/>
    </w:rPr>
  </w:style>
  <w:style w:type="paragraph" w:styleId="Caption">
    <w:name w:val="caption"/>
    <w:basedOn w:val="Normal"/>
    <w:next w:val="Normal"/>
    <w:uiPriority w:val="35"/>
    <w:unhideWhenUsed/>
    <w:qFormat/>
    <w:rsid w:val="0010537A"/>
    <w:pPr>
      <w:spacing w:after="200"/>
    </w:pPr>
    <w:rPr>
      <w:b/>
      <w:bCs/>
      <w:color w:val="4F81BD" w:themeColor="accent1"/>
      <w:sz w:val="18"/>
      <w:szCs w:val="18"/>
    </w:rPr>
  </w:style>
  <w:style w:type="paragraph" w:customStyle="1" w:styleId="FigureTitle">
    <w:name w:val="FigureTitle"/>
    <w:basedOn w:val="TableTitle"/>
    <w:qFormat/>
    <w:rsid w:val="0010537A"/>
  </w:style>
  <w:style w:type="paragraph" w:customStyle="1" w:styleId="BulletBlank">
    <w:name w:val="BulletBlank"/>
    <w:basedOn w:val="Bullet1"/>
    <w:qFormat/>
    <w:rsid w:val="0010537A"/>
    <w:pPr>
      <w:numPr>
        <w:numId w:val="0"/>
      </w:numPr>
      <w:ind w:left="720" w:hanging="360"/>
    </w:pPr>
  </w:style>
  <w:style w:type="paragraph" w:customStyle="1" w:styleId="BulletBlank2">
    <w:name w:val="BulletBlank2"/>
    <w:basedOn w:val="BulletBlank"/>
    <w:qFormat/>
    <w:rsid w:val="0010537A"/>
    <w:pPr>
      <w:ind w:left="1080"/>
    </w:pPr>
  </w:style>
  <w:style w:type="character" w:customStyle="1" w:styleId="Heading8Char">
    <w:name w:val="Heading 8 Char"/>
    <w:basedOn w:val="DefaultParagraphFont"/>
    <w:link w:val="Heading8"/>
    <w:uiPriority w:val="9"/>
    <w:semiHidden/>
    <w:rsid w:val="00B26D2D"/>
    <w:rPr>
      <w:rFonts w:asciiTheme="majorHAnsi" w:eastAsiaTheme="majorEastAsia" w:hAnsiTheme="majorHAnsi" w:cstheme="majorBidi"/>
      <w:color w:val="404040" w:themeColor="text1" w:themeTint="BF"/>
      <w:sz w:val="20"/>
      <w:szCs w:val="20"/>
    </w:rPr>
  </w:style>
  <w:style w:type="paragraph" w:styleId="TOC5">
    <w:name w:val="toc 5"/>
    <w:basedOn w:val="Normal"/>
    <w:next w:val="Normal"/>
    <w:autoRedefine/>
    <w:uiPriority w:val="39"/>
    <w:unhideWhenUsed/>
    <w:rsid w:val="00B26D2D"/>
    <w:pPr>
      <w:tabs>
        <w:tab w:val="right" w:leader="dot" w:pos="9350"/>
      </w:tabs>
      <w:spacing w:after="100"/>
    </w:pPr>
    <w:rPr>
      <w:noProof/>
    </w:rPr>
  </w:style>
  <w:style w:type="paragraph" w:customStyle="1" w:styleId="CitationHeading">
    <w:name w:val="Citation Heading"/>
    <w:basedOn w:val="Normal"/>
    <w:next w:val="Normal"/>
    <w:rsid w:val="00B26D2D"/>
    <w:rPr>
      <w:rFonts w:ascii="Times New Roman" w:hAnsi="Times New Roman"/>
      <w:b/>
    </w:rPr>
  </w:style>
  <w:style w:type="paragraph" w:customStyle="1" w:styleId="OtherFrontmatterHeadings">
    <w:name w:val="Other Frontmatter Headings"/>
    <w:basedOn w:val="Normal"/>
    <w:rsid w:val="00B26D2D"/>
    <w:rPr>
      <w:rFonts w:ascii="Helvetica" w:hAnsi="Helvetica"/>
      <w:b/>
      <w:color w:val="000000"/>
      <w:sz w:val="32"/>
      <w:szCs w:val="32"/>
    </w:rPr>
  </w:style>
  <w:style w:type="paragraph" w:customStyle="1" w:styleId="Covers">
    <w:name w:val="Covers"/>
    <w:basedOn w:val="Normal"/>
    <w:semiHidden/>
    <w:rsid w:val="00B26D2D"/>
    <w:pPr>
      <w:jc w:val="right"/>
    </w:pPr>
    <w:rPr>
      <w:rFonts w:ascii="Times New Roman" w:hAnsi="Times New Roman"/>
      <w:b/>
      <w:sz w:val="36"/>
      <w:szCs w:val="24"/>
    </w:rPr>
  </w:style>
  <w:style w:type="paragraph" w:customStyle="1" w:styleId="ReportTitle0">
    <w:name w:val="Report Title"/>
    <w:basedOn w:val="Normal"/>
    <w:uiPriority w:val="99"/>
    <w:rsid w:val="00B26D2D"/>
    <w:rPr>
      <w:rFonts w:ascii="Arial" w:hAnsi="Arial" w:cs="Arial"/>
      <w:b/>
      <w:sz w:val="36"/>
      <w:szCs w:val="36"/>
    </w:rPr>
  </w:style>
  <w:style w:type="character" w:styleId="PageNumber0">
    <w:name w:val="page number"/>
    <w:rsid w:val="00B26D2D"/>
    <w:rPr>
      <w:rFonts w:cs="Times New Roman"/>
    </w:rPr>
  </w:style>
  <w:style w:type="paragraph" w:styleId="Title">
    <w:name w:val="Title"/>
    <w:basedOn w:val="Normal"/>
    <w:link w:val="TitleChar"/>
    <w:qFormat/>
    <w:rsid w:val="00B26D2D"/>
    <w:pPr>
      <w:jc w:val="center"/>
      <w:outlineLvl w:val="0"/>
    </w:pPr>
    <w:rPr>
      <w:b/>
      <w:sz w:val="40"/>
    </w:rPr>
  </w:style>
  <w:style w:type="character" w:customStyle="1" w:styleId="TitleChar">
    <w:name w:val="Title Char"/>
    <w:basedOn w:val="DefaultParagraphFont"/>
    <w:link w:val="Title"/>
    <w:rsid w:val="00B26D2D"/>
    <w:rPr>
      <w:rFonts w:ascii="Times" w:eastAsia="Times New Roman" w:hAnsi="Times" w:cs="Times New Roman"/>
      <w:b/>
      <w:sz w:val="40"/>
      <w:szCs w:val="20"/>
    </w:rPr>
  </w:style>
  <w:style w:type="paragraph" w:customStyle="1" w:styleId="TitlePageHeader">
    <w:name w:val="Title Page Header"/>
    <w:basedOn w:val="Normal"/>
    <w:next w:val="Normal"/>
    <w:rsid w:val="00B26D2D"/>
    <w:rPr>
      <w:b/>
      <w:i/>
      <w:sz w:val="32"/>
    </w:rPr>
  </w:style>
  <w:style w:type="paragraph" w:styleId="BodyText0">
    <w:name w:val="Body Text"/>
    <w:basedOn w:val="Normal"/>
    <w:link w:val="BodyTextChar0"/>
    <w:uiPriority w:val="99"/>
    <w:semiHidden/>
    <w:unhideWhenUsed/>
    <w:rsid w:val="00B26D2D"/>
    <w:pPr>
      <w:spacing w:after="120"/>
    </w:pPr>
  </w:style>
  <w:style w:type="character" w:customStyle="1" w:styleId="BodyTextChar0">
    <w:name w:val="Body Text Char"/>
    <w:basedOn w:val="DefaultParagraphFont"/>
    <w:link w:val="BodyText0"/>
    <w:uiPriority w:val="99"/>
    <w:semiHidden/>
    <w:rsid w:val="00B26D2D"/>
    <w:rPr>
      <w:rFonts w:ascii="Times" w:eastAsia="Times New Roman" w:hAnsi="Times" w:cs="Times New Roman"/>
      <w:szCs w:val="20"/>
    </w:rPr>
  </w:style>
  <w:style w:type="paragraph" w:styleId="BodyTextFirstIndent">
    <w:name w:val="Body Text First Indent"/>
    <w:basedOn w:val="Normal"/>
    <w:link w:val="BodyTextFirstIndentChar"/>
    <w:rsid w:val="00B26D2D"/>
    <w:pPr>
      <w:ind w:firstLine="360"/>
    </w:pPr>
    <w:rPr>
      <w:rFonts w:ascii="Times New Roman" w:hAnsi="Times New Roman"/>
      <w:szCs w:val="24"/>
    </w:rPr>
  </w:style>
  <w:style w:type="character" w:customStyle="1" w:styleId="BodyTextFirstIndentChar">
    <w:name w:val="Body Text First Indent Char"/>
    <w:basedOn w:val="BodyTextChar0"/>
    <w:link w:val="BodyTextFirstIndent"/>
    <w:rsid w:val="00B26D2D"/>
    <w:rPr>
      <w:rFonts w:ascii="Times" w:eastAsia="Times New Roman" w:hAnsi="Times" w:cs="Times New Roman"/>
      <w:szCs w:val="24"/>
    </w:rPr>
  </w:style>
  <w:style w:type="paragraph" w:customStyle="1" w:styleId="AHRQBODYTEXT">
    <w:name w:val="AHRQ BODY TEXT"/>
    <w:basedOn w:val="Normal"/>
    <w:link w:val="AHRQBODYTEXTChar"/>
    <w:rsid w:val="00B26D2D"/>
    <w:pPr>
      <w:ind w:firstLine="360"/>
    </w:pPr>
    <w:rPr>
      <w:rFonts w:ascii="Times New Roman" w:eastAsia="Times" w:hAnsi="Times New Roman"/>
    </w:rPr>
  </w:style>
  <w:style w:type="character" w:customStyle="1" w:styleId="AHRQBODYTEXTChar">
    <w:name w:val="AHRQ BODY TEXT Char"/>
    <w:link w:val="AHRQBODYTEXT"/>
    <w:rsid w:val="00B26D2D"/>
    <w:rPr>
      <w:rFonts w:eastAsia="Times" w:cs="Times New Roman"/>
      <w:szCs w:val="20"/>
    </w:rPr>
  </w:style>
  <w:style w:type="paragraph" w:styleId="NoSpacing">
    <w:name w:val="No Spacing"/>
    <w:qFormat/>
    <w:rsid w:val="00B26D2D"/>
    <w:pPr>
      <w:spacing w:after="0" w:line="240" w:lineRule="auto"/>
    </w:pPr>
    <w:rPr>
      <w:rFonts w:ascii="Calibri" w:eastAsia="Calibri" w:hAnsi="Calibri" w:cs="Arial"/>
      <w:sz w:val="22"/>
    </w:rPr>
  </w:style>
  <w:style w:type="paragraph" w:customStyle="1" w:styleId="bullet10">
    <w:name w:val="bullet1"/>
    <w:basedOn w:val="NoSpacing"/>
    <w:qFormat/>
    <w:rsid w:val="00B26D2D"/>
    <w:pPr>
      <w:numPr>
        <w:numId w:val="7"/>
      </w:numPr>
    </w:pPr>
    <w:rPr>
      <w:rFonts w:ascii="Times New Roman" w:hAnsi="Times New Roman"/>
      <w:bCs/>
      <w:sz w:val="24"/>
      <w:szCs w:val="28"/>
    </w:rPr>
  </w:style>
  <w:style w:type="paragraph" w:customStyle="1" w:styleId="bullet2">
    <w:name w:val="bullet2"/>
    <w:basedOn w:val="NoSpacing"/>
    <w:qFormat/>
    <w:rsid w:val="00B26D2D"/>
    <w:pPr>
      <w:numPr>
        <w:numId w:val="6"/>
      </w:numPr>
      <w:ind w:left="1080"/>
    </w:pPr>
    <w:rPr>
      <w:rFonts w:ascii="Times New Roman" w:hAnsi="Times New Roman"/>
      <w:sz w:val="24"/>
    </w:rPr>
  </w:style>
  <w:style w:type="paragraph" w:styleId="TOC3">
    <w:name w:val="toc 3"/>
    <w:basedOn w:val="Normal"/>
    <w:next w:val="Normal"/>
    <w:autoRedefine/>
    <w:uiPriority w:val="39"/>
    <w:rsid w:val="0049586A"/>
    <w:pPr>
      <w:tabs>
        <w:tab w:val="right" w:leader="dot" w:pos="9350"/>
      </w:tabs>
      <w:ind w:left="475"/>
    </w:pPr>
    <w:rPr>
      <w:rFonts w:ascii="Times New Roman" w:hAnsi="Times New Roman"/>
      <w:szCs w:val="24"/>
    </w:rPr>
  </w:style>
  <w:style w:type="character" w:customStyle="1" w:styleId="Heading3Char">
    <w:name w:val="Heading 3 Char"/>
    <w:basedOn w:val="DefaultParagraphFont"/>
    <w:link w:val="Heading3"/>
    <w:uiPriority w:val="9"/>
    <w:semiHidden/>
    <w:rsid w:val="00B26D2D"/>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4C6452"/>
    <w:rPr>
      <w:color w:val="800080" w:themeColor="followedHyperlink"/>
      <w:u w:val="single"/>
    </w:rPr>
  </w:style>
  <w:style w:type="character" w:styleId="Strong">
    <w:name w:val="Strong"/>
    <w:uiPriority w:val="22"/>
    <w:qFormat/>
    <w:rsid w:val="00F32D49"/>
    <w:rPr>
      <w:b/>
      <w:bCs/>
    </w:rPr>
  </w:style>
  <w:style w:type="paragraph" w:customStyle="1" w:styleId="AbstractText">
    <w:name w:val="AbstractText"/>
    <w:basedOn w:val="NormalWeb"/>
    <w:uiPriority w:val="99"/>
    <w:qFormat/>
    <w:rsid w:val="00F32D49"/>
  </w:style>
  <w:style w:type="paragraph" w:styleId="Revision">
    <w:name w:val="Revision"/>
    <w:hidden/>
    <w:uiPriority w:val="99"/>
    <w:semiHidden/>
    <w:rsid w:val="007C6DDC"/>
    <w:pPr>
      <w:spacing w:after="0" w:line="240" w:lineRule="auto"/>
    </w:pPr>
    <w:rPr>
      <w:rFonts w:ascii="Times" w:eastAsia="Times New Roman" w:hAnsi="Times" w:cs="Times New Roman"/>
      <w:szCs w:val="20"/>
    </w:rPr>
  </w:style>
  <w:style w:type="table" w:customStyle="1" w:styleId="AHRQ11">
    <w:name w:val="AHRQ11"/>
    <w:basedOn w:val="TableGrid"/>
    <w:rsid w:val="006B6F98"/>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character" w:styleId="Emphasis">
    <w:name w:val="Emphasis"/>
    <w:basedOn w:val="DefaultParagraphFont"/>
    <w:uiPriority w:val="99"/>
    <w:qFormat/>
    <w:rsid w:val="00D04943"/>
    <w:rPr>
      <w:i/>
      <w:iCs/>
    </w:rPr>
  </w:style>
  <w:style w:type="paragraph" w:customStyle="1" w:styleId="TableTitleContinued">
    <w:name w:val="TableTitleContinued"/>
    <w:basedOn w:val="TableTitle"/>
    <w:qFormat/>
    <w:rsid w:val="006B6F98"/>
  </w:style>
  <w:style w:type="table" w:customStyle="1" w:styleId="TableGrid5">
    <w:name w:val="Table Grid5"/>
    <w:basedOn w:val="TableNormal"/>
    <w:next w:val="TableGrid"/>
    <w:uiPriority w:val="59"/>
    <w:rsid w:val="003C5B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4E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71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3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67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1A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60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Blank">
    <w:name w:val="TableTextBulletBlank"/>
    <w:basedOn w:val="TableTextBullet"/>
    <w:qFormat/>
    <w:rsid w:val="00AB6DC5"/>
    <w:pPr>
      <w:numPr>
        <w:numId w:val="0"/>
      </w:numPr>
      <w:ind w:left="216" w:hanging="216"/>
    </w:pPr>
  </w:style>
  <w:style w:type="character" w:customStyle="1" w:styleId="st1">
    <w:name w:val="st1"/>
    <w:basedOn w:val="DefaultParagraphFont"/>
    <w:rsid w:val="00692B72"/>
  </w:style>
  <w:style w:type="paragraph" w:customStyle="1" w:styleId="Statements">
    <w:name w:val="Statements"/>
    <w:basedOn w:val="TitlePageReportNumber"/>
    <w:qFormat/>
    <w:rsid w:val="002A6518"/>
    <w:pPr>
      <w:spacing w:before="200"/>
    </w:pPr>
    <w:rPr>
      <w:sz w:val="24"/>
    </w:rPr>
  </w:style>
  <w:style w:type="paragraph" w:styleId="PlainText">
    <w:name w:val="Plain Text"/>
    <w:basedOn w:val="Normal"/>
    <w:link w:val="PlainTextChar"/>
    <w:uiPriority w:val="99"/>
    <w:rsid w:val="002A6518"/>
    <w:rPr>
      <w:rFonts w:ascii="Courier New" w:hAnsi="Courier New" w:cs="Courier New"/>
      <w:sz w:val="20"/>
    </w:rPr>
  </w:style>
  <w:style w:type="character" w:customStyle="1" w:styleId="PlainTextChar">
    <w:name w:val="Plain Text Char"/>
    <w:basedOn w:val="DefaultParagraphFont"/>
    <w:link w:val="PlainText"/>
    <w:uiPriority w:val="99"/>
    <w:rsid w:val="002A6518"/>
    <w:rPr>
      <w:rFonts w:ascii="Courier New" w:eastAsia="Times New Roman" w:hAnsi="Courier New" w:cs="Courier New"/>
      <w:sz w:val="20"/>
      <w:szCs w:val="20"/>
    </w:rPr>
  </w:style>
  <w:style w:type="character" w:customStyle="1" w:styleId="ft">
    <w:name w:val="ft"/>
    <w:basedOn w:val="DefaultParagraphFont"/>
    <w:rsid w:val="002A6518"/>
  </w:style>
  <w:style w:type="numbering" w:customStyle="1" w:styleId="NoList1">
    <w:name w:val="No List1"/>
    <w:next w:val="NoList"/>
    <w:uiPriority w:val="99"/>
    <w:semiHidden/>
    <w:unhideWhenUsed/>
    <w:rsid w:val="006938EF"/>
  </w:style>
  <w:style w:type="paragraph" w:customStyle="1" w:styleId="AppendixChapterHeading">
    <w:name w:val="AppendixChapterHeading"/>
    <w:basedOn w:val="ChapterHeading"/>
    <w:qFormat/>
    <w:rsid w:val="006938EF"/>
    <w:rPr>
      <w:rFonts w:eastAsia="Calibri"/>
    </w:rPr>
  </w:style>
  <w:style w:type="paragraph" w:customStyle="1" w:styleId="AppendixTableTitle">
    <w:name w:val="AppendixTableTitle"/>
    <w:basedOn w:val="Normal"/>
    <w:qFormat/>
    <w:rsid w:val="006938EF"/>
    <w:pPr>
      <w:keepNext/>
      <w:spacing w:before="240"/>
    </w:pPr>
    <w:rPr>
      <w:rFonts w:ascii="Arial" w:eastAsia="Calibri" w:hAnsi="Arial"/>
      <w:b/>
      <w:color w:val="000000"/>
      <w:sz w:val="20"/>
      <w:szCs w:val="24"/>
    </w:rPr>
  </w:style>
  <w:style w:type="paragraph" w:customStyle="1" w:styleId="EndNoteBibliographyTitle">
    <w:name w:val="EndNote Bibliography Title"/>
    <w:basedOn w:val="Normal"/>
    <w:link w:val="EndNoteBibliographyTitleChar"/>
    <w:rsid w:val="001337C4"/>
    <w:pPr>
      <w:jc w:val="center"/>
    </w:pPr>
    <w:rPr>
      <w:rFonts w:ascii="Times New Roman" w:hAnsi="Times New Roman"/>
      <w:noProof/>
    </w:rPr>
  </w:style>
  <w:style w:type="character" w:customStyle="1" w:styleId="TableTextChar">
    <w:name w:val="TableText Char"/>
    <w:basedOn w:val="DefaultParagraphFont"/>
    <w:link w:val="TableText"/>
    <w:rsid w:val="001337C4"/>
    <w:rPr>
      <w:rFonts w:ascii="Arial" w:eastAsia="Calibri" w:hAnsi="Arial" w:cs="Arial"/>
      <w:sz w:val="18"/>
      <w:szCs w:val="18"/>
    </w:rPr>
  </w:style>
  <w:style w:type="character" w:customStyle="1" w:styleId="EndNoteBibliographyTitleChar">
    <w:name w:val="EndNote Bibliography Title Char"/>
    <w:basedOn w:val="TableTextChar"/>
    <w:link w:val="EndNoteBibliographyTitle"/>
    <w:rsid w:val="001337C4"/>
    <w:rPr>
      <w:rFonts w:ascii="Arial" w:eastAsia="Times New Roman" w:hAnsi="Arial" w:cs="Times New Roman"/>
      <w:noProof/>
      <w:sz w:val="18"/>
      <w:szCs w:val="20"/>
    </w:rPr>
  </w:style>
  <w:style w:type="paragraph" w:customStyle="1" w:styleId="EndNoteBibliography">
    <w:name w:val="EndNote Bibliography"/>
    <w:basedOn w:val="Normal"/>
    <w:link w:val="EndNoteBibliographyChar"/>
    <w:rsid w:val="001337C4"/>
    <w:rPr>
      <w:rFonts w:ascii="Times New Roman" w:hAnsi="Times New Roman"/>
      <w:noProof/>
    </w:rPr>
  </w:style>
  <w:style w:type="character" w:customStyle="1" w:styleId="EndNoteBibliographyChar">
    <w:name w:val="EndNote Bibliography Char"/>
    <w:basedOn w:val="TableTextChar"/>
    <w:link w:val="EndNoteBibliography"/>
    <w:rsid w:val="001337C4"/>
    <w:rPr>
      <w:rFonts w:ascii="Arial" w:eastAsia="Times New Roman" w:hAnsi="Arial" w:cs="Times New Roman"/>
      <w:noProof/>
      <w:sz w:val="18"/>
      <w:szCs w:val="20"/>
    </w:rPr>
  </w:style>
  <w:style w:type="character" w:customStyle="1" w:styleId="ParagraphNoIndentChar">
    <w:name w:val="ParagraphNoIndent Char"/>
    <w:basedOn w:val="DefaultParagraphFont"/>
    <w:link w:val="ParagraphNoIndent"/>
    <w:locked/>
    <w:rsid w:val="00A123EF"/>
    <w:rPr>
      <w:rFonts w:eastAsia="Times New Roman" w:cs="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6"/>
    <w:pPr>
      <w:spacing w:after="0" w:line="240" w:lineRule="auto"/>
    </w:pPr>
    <w:rPr>
      <w:rFonts w:ascii="Times" w:eastAsia="Times New Roman" w:hAnsi="Times" w:cs="Times New Roman"/>
      <w:szCs w:val="20"/>
    </w:rPr>
  </w:style>
  <w:style w:type="paragraph" w:styleId="Heading1">
    <w:name w:val="heading 1"/>
    <w:basedOn w:val="Normal"/>
    <w:next w:val="Normal"/>
    <w:link w:val="Heading1Char"/>
    <w:uiPriority w:val="9"/>
    <w:unhideWhenUsed/>
    <w:rsid w:val="00F20D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45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6D2D"/>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B26D2D"/>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59"/>
    <w:pPr>
      <w:ind w:left="720"/>
      <w:contextualSpacing/>
    </w:pPr>
  </w:style>
  <w:style w:type="table" w:styleId="TableGrid">
    <w:name w:val="Table Grid"/>
    <w:basedOn w:val="TableNormal"/>
    <w:uiPriority w:val="59"/>
    <w:rsid w:val="00F20D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6F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20DE6"/>
    <w:rPr>
      <w:sz w:val="16"/>
      <w:szCs w:val="16"/>
    </w:rPr>
  </w:style>
  <w:style w:type="paragraph" w:styleId="CommentText">
    <w:name w:val="annotation text"/>
    <w:basedOn w:val="Normal"/>
    <w:link w:val="CommentTextChar"/>
    <w:uiPriority w:val="99"/>
    <w:rsid w:val="00F20DE6"/>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A76FB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20DE6"/>
    <w:rPr>
      <w:rFonts w:ascii="Tahoma" w:hAnsi="Tahoma" w:cs="Tahoma"/>
      <w:sz w:val="16"/>
      <w:szCs w:val="16"/>
    </w:rPr>
  </w:style>
  <w:style w:type="character" w:customStyle="1" w:styleId="BalloonTextChar">
    <w:name w:val="Balloon Text Char"/>
    <w:basedOn w:val="DefaultParagraphFont"/>
    <w:link w:val="BalloonText"/>
    <w:uiPriority w:val="99"/>
    <w:semiHidden/>
    <w:rsid w:val="00F20DE6"/>
    <w:rPr>
      <w:rFonts w:ascii="Tahoma" w:eastAsia="Times New Roman" w:hAnsi="Tahoma" w:cs="Tahoma"/>
      <w:sz w:val="16"/>
      <w:szCs w:val="16"/>
    </w:rPr>
  </w:style>
  <w:style w:type="table" w:customStyle="1" w:styleId="TableGrid3">
    <w:name w:val="Table Grid3"/>
    <w:basedOn w:val="TableNormal"/>
    <w:next w:val="TableGrid"/>
    <w:uiPriority w:val="59"/>
    <w:rsid w:val="00451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F20DE6"/>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unhideWhenUsed/>
    <w:rsid w:val="005E129F"/>
    <w:rPr>
      <w:sz w:val="20"/>
    </w:rPr>
  </w:style>
  <w:style w:type="character" w:customStyle="1" w:styleId="FootnoteTextChar">
    <w:name w:val="Footnote Text Char"/>
    <w:basedOn w:val="DefaultParagraphFont"/>
    <w:link w:val="FootnoteText"/>
    <w:uiPriority w:val="99"/>
    <w:rsid w:val="005E129F"/>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5E129F"/>
    <w:rPr>
      <w:vertAlign w:val="superscript"/>
    </w:rPr>
  </w:style>
  <w:style w:type="character" w:customStyle="1" w:styleId="element-citation">
    <w:name w:val="element-citation"/>
    <w:basedOn w:val="DefaultParagraphFont"/>
    <w:rsid w:val="005E129F"/>
  </w:style>
  <w:style w:type="character" w:customStyle="1" w:styleId="ref-journal">
    <w:name w:val="ref-journal"/>
    <w:basedOn w:val="DefaultParagraphFont"/>
    <w:rsid w:val="005E129F"/>
  </w:style>
  <w:style w:type="character" w:customStyle="1" w:styleId="ref-vol">
    <w:name w:val="ref-vol"/>
    <w:basedOn w:val="DefaultParagraphFont"/>
    <w:rsid w:val="005E129F"/>
  </w:style>
  <w:style w:type="paragraph" w:styleId="CommentSubject">
    <w:name w:val="annotation subject"/>
    <w:basedOn w:val="CommentText"/>
    <w:next w:val="CommentText"/>
    <w:link w:val="CommentSubjectChar"/>
    <w:semiHidden/>
    <w:rsid w:val="00F20DE6"/>
    <w:rPr>
      <w:b/>
      <w:bCs/>
    </w:rPr>
  </w:style>
  <w:style w:type="character" w:customStyle="1" w:styleId="CommentSubjectChar">
    <w:name w:val="Comment Subject Char"/>
    <w:basedOn w:val="CommentTextChar"/>
    <w:link w:val="CommentSubject"/>
    <w:semiHidden/>
    <w:rsid w:val="0022460E"/>
    <w:rPr>
      <w:rFonts w:ascii="Calibri" w:eastAsia="Calibri" w:hAnsi="Calibri" w:cs="Times New Roman"/>
      <w:b/>
      <w:bCs/>
      <w:sz w:val="20"/>
      <w:szCs w:val="20"/>
    </w:rPr>
  </w:style>
  <w:style w:type="paragraph" w:customStyle="1" w:styleId="Level2Heading">
    <w:name w:val="Level2Heading"/>
    <w:qFormat/>
    <w:rsid w:val="00F20DE6"/>
    <w:pPr>
      <w:keepNext/>
      <w:spacing w:before="240" w:after="60" w:line="240" w:lineRule="auto"/>
      <w:outlineLvl w:val="2"/>
    </w:pPr>
    <w:rPr>
      <w:rFonts w:eastAsia="Times New Roman" w:cs="Times New Roman"/>
      <w:b/>
      <w:bCs/>
      <w:sz w:val="32"/>
      <w:szCs w:val="24"/>
    </w:rPr>
  </w:style>
  <w:style w:type="paragraph" w:customStyle="1" w:styleId="Level1Heading">
    <w:name w:val="Level1Heading"/>
    <w:link w:val="Level1HeadingChar"/>
    <w:qFormat/>
    <w:rsid w:val="00F20DE6"/>
    <w:pPr>
      <w:keepNext/>
      <w:spacing w:before="240" w:after="60" w:line="240" w:lineRule="auto"/>
      <w:outlineLvl w:val="1"/>
    </w:pPr>
    <w:rPr>
      <w:rFonts w:ascii="Arial" w:eastAsia="Times New Roman" w:hAnsi="Arial" w:cs="Times New Roman"/>
      <w:b/>
      <w:bCs/>
      <w:sz w:val="32"/>
      <w:szCs w:val="24"/>
    </w:rPr>
  </w:style>
  <w:style w:type="paragraph" w:customStyle="1" w:styleId="ParagraphIndent">
    <w:name w:val="ParagraphIndent"/>
    <w:qFormat/>
    <w:rsid w:val="00F20DE6"/>
    <w:pPr>
      <w:spacing w:after="0" w:line="240" w:lineRule="auto"/>
      <w:ind w:firstLine="360"/>
    </w:pPr>
    <w:rPr>
      <w:rFonts w:eastAsia="Calibri" w:cs="Times New Roman"/>
      <w:color w:val="000000"/>
      <w:szCs w:val="24"/>
    </w:rPr>
  </w:style>
  <w:style w:type="paragraph" w:customStyle="1" w:styleId="Level3Heading">
    <w:name w:val="Level3Heading"/>
    <w:qFormat/>
    <w:rsid w:val="00F20DE6"/>
    <w:pPr>
      <w:keepNext/>
      <w:spacing w:before="240" w:after="0" w:line="240" w:lineRule="auto"/>
      <w:outlineLvl w:val="3"/>
    </w:pPr>
    <w:rPr>
      <w:rFonts w:ascii="Arial" w:eastAsia="Times New Roman" w:hAnsi="Arial" w:cs="Times New Roman"/>
      <w:b/>
      <w:bCs/>
      <w:sz w:val="28"/>
      <w:szCs w:val="24"/>
    </w:rPr>
  </w:style>
  <w:style w:type="paragraph" w:customStyle="1" w:styleId="Level4Heading">
    <w:name w:val="Level4Heading"/>
    <w:qFormat/>
    <w:rsid w:val="00F20DE6"/>
    <w:pPr>
      <w:keepNext/>
      <w:spacing w:before="240" w:after="0" w:line="240" w:lineRule="auto"/>
      <w:outlineLvl w:val="4"/>
    </w:pPr>
    <w:rPr>
      <w:rFonts w:eastAsia="Times New Roman" w:cs="Times New Roman"/>
      <w:b/>
      <w:bCs/>
      <w:sz w:val="28"/>
      <w:szCs w:val="24"/>
    </w:rPr>
  </w:style>
  <w:style w:type="paragraph" w:customStyle="1" w:styleId="ChapterHeading">
    <w:name w:val="ChapterHeading"/>
    <w:qFormat/>
    <w:rsid w:val="00F20DE6"/>
    <w:pPr>
      <w:keepNext/>
      <w:spacing w:after="60" w:line="240" w:lineRule="auto"/>
      <w:jc w:val="center"/>
      <w:outlineLvl w:val="0"/>
    </w:pPr>
    <w:rPr>
      <w:rFonts w:ascii="Arial" w:eastAsia="Times New Roman" w:hAnsi="Arial" w:cs="Times New Roman"/>
      <w:b/>
      <w:bCs/>
      <w:sz w:val="36"/>
      <w:szCs w:val="24"/>
    </w:rPr>
  </w:style>
  <w:style w:type="character" w:customStyle="1" w:styleId="Heading2Char">
    <w:name w:val="Heading 2 Char"/>
    <w:basedOn w:val="DefaultParagraphFont"/>
    <w:link w:val="Heading2"/>
    <w:uiPriority w:val="9"/>
    <w:rsid w:val="00E4501E"/>
    <w:rPr>
      <w:rFonts w:asciiTheme="majorHAnsi" w:eastAsiaTheme="majorEastAsia" w:hAnsiTheme="majorHAnsi" w:cstheme="majorBidi"/>
      <w:b/>
      <w:bCs/>
      <w:color w:val="4F81BD" w:themeColor="accent1"/>
      <w:sz w:val="26"/>
      <w:szCs w:val="26"/>
    </w:rPr>
  </w:style>
  <w:style w:type="paragraph" w:customStyle="1" w:styleId="text">
    <w:name w:val="text"/>
    <w:basedOn w:val="Normal"/>
    <w:uiPriority w:val="99"/>
    <w:rsid w:val="00255AE9"/>
    <w:pPr>
      <w:spacing w:before="120"/>
      <w:ind w:firstLine="720"/>
    </w:pPr>
    <w:rPr>
      <w:rFonts w:ascii="Arial" w:hAnsi="Arial"/>
      <w:szCs w:val="24"/>
    </w:rPr>
  </w:style>
  <w:style w:type="paragraph" w:customStyle="1" w:styleId="HeadingI">
    <w:name w:val="Heading I"/>
    <w:basedOn w:val="Normal"/>
    <w:uiPriority w:val="99"/>
    <w:rsid w:val="00255AE9"/>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uiPriority w:val="99"/>
    <w:rsid w:val="00255AE9"/>
    <w:pPr>
      <w:keepNext/>
      <w:tabs>
        <w:tab w:val="left" w:pos="1080"/>
      </w:tabs>
      <w:spacing w:before="240"/>
      <w:ind w:left="1080" w:hanging="360"/>
    </w:pPr>
    <w:rPr>
      <w:rFonts w:ascii="Arial (W1)" w:hAnsi="Arial (W1)"/>
      <w:b/>
      <w:szCs w:val="24"/>
    </w:rPr>
  </w:style>
  <w:style w:type="character" w:customStyle="1" w:styleId="Level1HeadingChar">
    <w:name w:val="Level1Heading Char"/>
    <w:link w:val="Level1Heading"/>
    <w:rsid w:val="00255AE9"/>
    <w:rPr>
      <w:rFonts w:ascii="Arial" w:eastAsia="Times New Roman" w:hAnsi="Arial" w:cs="Times New Roman"/>
      <w:b/>
      <w:bCs/>
      <w:sz w:val="32"/>
      <w:szCs w:val="24"/>
    </w:rPr>
  </w:style>
  <w:style w:type="table" w:customStyle="1" w:styleId="TableGrid4">
    <w:name w:val="Table Grid4"/>
    <w:basedOn w:val="TableNormal"/>
    <w:next w:val="TableGrid"/>
    <w:rsid w:val="00CD49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DE6"/>
    <w:rPr>
      <w:rFonts w:ascii="Cambria" w:eastAsia="Times New Roman" w:hAnsi="Cambria" w:cs="Times New Roman"/>
      <w:b/>
      <w:bCs/>
      <w:kern w:val="32"/>
      <w:sz w:val="32"/>
      <w:szCs w:val="32"/>
    </w:rPr>
  </w:style>
  <w:style w:type="paragraph" w:customStyle="1" w:styleId="ParagraphNoIndent">
    <w:name w:val="ParagraphNoIndent"/>
    <w:link w:val="ParagraphNoIndentChar"/>
    <w:qFormat/>
    <w:rsid w:val="00F20DE6"/>
    <w:pPr>
      <w:spacing w:after="0" w:line="240" w:lineRule="auto"/>
    </w:pPr>
    <w:rPr>
      <w:rFonts w:eastAsia="Times New Roman" w:cs="Times New Roman"/>
      <w:bCs/>
      <w:szCs w:val="24"/>
    </w:rPr>
  </w:style>
  <w:style w:type="paragraph" w:customStyle="1" w:styleId="ReportType">
    <w:name w:val="ReportType"/>
    <w:qFormat/>
    <w:rsid w:val="00F20DE6"/>
    <w:pPr>
      <w:spacing w:after="0" w:line="240" w:lineRule="auto"/>
    </w:pPr>
    <w:rPr>
      <w:rFonts w:eastAsia="Times New Roman" w:cs="Times New Roman"/>
      <w:b/>
      <w:bCs/>
      <w:i/>
      <w:sz w:val="36"/>
      <w:szCs w:val="36"/>
    </w:rPr>
  </w:style>
  <w:style w:type="paragraph" w:customStyle="1" w:styleId="NumberLine">
    <w:name w:val="NumberLine"/>
    <w:qFormat/>
    <w:rsid w:val="00F20DE6"/>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F20DE6"/>
    <w:pPr>
      <w:spacing w:after="0" w:line="240" w:lineRule="auto"/>
    </w:pPr>
    <w:rPr>
      <w:rFonts w:ascii="Arial" w:eastAsia="Times New Roman" w:hAnsi="Arial" w:cs="Times New Roman"/>
      <w:b/>
      <w:bCs/>
      <w:sz w:val="36"/>
      <w:szCs w:val="36"/>
    </w:rPr>
  </w:style>
  <w:style w:type="paragraph" w:customStyle="1" w:styleId="PageNumber">
    <w:name w:val="PageNumber"/>
    <w:qFormat/>
    <w:rsid w:val="00F20DE6"/>
    <w:pPr>
      <w:spacing w:after="0" w:line="240" w:lineRule="auto"/>
      <w:jc w:val="center"/>
    </w:pPr>
    <w:rPr>
      <w:rFonts w:eastAsia="Calibri" w:cs="Times New Roman"/>
      <w:szCs w:val="24"/>
    </w:rPr>
  </w:style>
  <w:style w:type="paragraph" w:customStyle="1" w:styleId="FrontMatterHead">
    <w:name w:val="FrontMatterHead"/>
    <w:qFormat/>
    <w:rsid w:val="00F20DE6"/>
    <w:pPr>
      <w:keepNext/>
      <w:spacing w:before="240" w:after="60" w:line="240" w:lineRule="auto"/>
    </w:pPr>
    <w:rPr>
      <w:rFonts w:ascii="Arial" w:eastAsia="Calibri" w:hAnsi="Arial" w:cs="Arial"/>
      <w:b/>
      <w:sz w:val="32"/>
      <w:szCs w:val="32"/>
    </w:rPr>
  </w:style>
  <w:style w:type="table" w:customStyle="1" w:styleId="AHRQ1">
    <w:name w:val="AHRQ1"/>
    <w:basedOn w:val="TableGrid"/>
    <w:rsid w:val="00F20DE6"/>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F20DE6"/>
    <w:rPr>
      <w:rFonts w:ascii="Times New Roman" w:hAnsi="Times New Roman"/>
      <w:szCs w:val="24"/>
      <w:lang w:val="en-CA"/>
    </w:rPr>
  </w:style>
  <w:style w:type="paragraph" w:styleId="TOC2">
    <w:name w:val="toc 2"/>
    <w:basedOn w:val="Normal"/>
    <w:next w:val="Normal"/>
    <w:autoRedefine/>
    <w:uiPriority w:val="39"/>
    <w:rsid w:val="0049586A"/>
    <w:pPr>
      <w:tabs>
        <w:tab w:val="right" w:leader="dot" w:pos="9350"/>
      </w:tabs>
      <w:ind w:left="245"/>
    </w:pPr>
    <w:rPr>
      <w:rFonts w:ascii="Times New Roman" w:hAnsi="Times New Roman"/>
      <w:szCs w:val="24"/>
      <w:lang w:val="en-CA"/>
    </w:rPr>
  </w:style>
  <w:style w:type="paragraph" w:customStyle="1" w:styleId="KeyQuestion">
    <w:name w:val="KeyQuestion"/>
    <w:rsid w:val="00F20DE6"/>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F20DE6"/>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F20DE6"/>
    <w:pPr>
      <w:spacing w:after="240" w:line="240" w:lineRule="auto"/>
    </w:pPr>
    <w:rPr>
      <w:rFonts w:eastAsia="Times New Roman" w:cs="Times New Roman"/>
      <w:bCs/>
      <w:sz w:val="18"/>
      <w:szCs w:val="24"/>
    </w:rPr>
  </w:style>
  <w:style w:type="paragraph" w:customStyle="1" w:styleId="Reference">
    <w:name w:val="Reference"/>
    <w:qFormat/>
    <w:rsid w:val="00F20DE6"/>
    <w:pPr>
      <w:keepLines/>
      <w:spacing w:before="120" w:after="120" w:line="240" w:lineRule="auto"/>
      <w:ind w:left="720" w:hanging="720"/>
    </w:pPr>
    <w:rPr>
      <w:rFonts w:eastAsia="Times New Roman" w:cs="Times New Roman"/>
      <w:bCs/>
      <w:sz w:val="20"/>
      <w:szCs w:val="24"/>
    </w:rPr>
  </w:style>
  <w:style w:type="paragraph" w:styleId="Header">
    <w:name w:val="header"/>
    <w:basedOn w:val="Normal"/>
    <w:link w:val="HeaderChar"/>
    <w:uiPriority w:val="99"/>
    <w:unhideWhenUsed/>
    <w:rsid w:val="00F20DE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20DE6"/>
    <w:rPr>
      <w:rFonts w:ascii="Calibri" w:eastAsia="Calibri" w:hAnsi="Calibri" w:cs="Times New Roman"/>
      <w:sz w:val="22"/>
    </w:rPr>
  </w:style>
  <w:style w:type="paragraph" w:customStyle="1" w:styleId="Level5Heading">
    <w:name w:val="Level5Heading"/>
    <w:qFormat/>
    <w:rsid w:val="00F20DE6"/>
    <w:pPr>
      <w:keepNext/>
      <w:spacing w:before="240" w:after="0" w:line="240" w:lineRule="auto"/>
      <w:outlineLvl w:val="5"/>
    </w:pPr>
    <w:rPr>
      <w:rFonts w:ascii="Arial" w:eastAsia="Times New Roman" w:hAnsi="Arial" w:cs="Times New Roman"/>
      <w:b/>
      <w:bCs/>
      <w:szCs w:val="24"/>
    </w:rPr>
  </w:style>
  <w:style w:type="paragraph" w:customStyle="1" w:styleId="PreparedForText">
    <w:name w:val="PreparedForText"/>
    <w:qFormat/>
    <w:rsid w:val="00F20DE6"/>
    <w:pPr>
      <w:spacing w:after="0" w:line="240" w:lineRule="auto"/>
    </w:pPr>
    <w:rPr>
      <w:rFonts w:eastAsia="Times New Roman" w:cs="Times New Roman"/>
      <w:bCs/>
      <w:szCs w:val="24"/>
    </w:rPr>
  </w:style>
  <w:style w:type="paragraph" w:customStyle="1" w:styleId="ParagraphNoIndentBold">
    <w:name w:val="ParagraphNoIndentBold"/>
    <w:qFormat/>
    <w:rsid w:val="00F20DE6"/>
    <w:pPr>
      <w:spacing w:after="0" w:line="240" w:lineRule="auto"/>
    </w:pPr>
    <w:rPr>
      <w:rFonts w:eastAsia="Times New Roman" w:cs="Times New Roman"/>
      <w:b/>
      <w:bCs/>
      <w:szCs w:val="24"/>
    </w:rPr>
  </w:style>
  <w:style w:type="paragraph" w:customStyle="1" w:styleId="ContractNumber">
    <w:name w:val="ContractNumber"/>
    <w:next w:val="ParagraphNoIndent"/>
    <w:qFormat/>
    <w:rsid w:val="00F20DE6"/>
    <w:pPr>
      <w:spacing w:after="0" w:line="240" w:lineRule="auto"/>
    </w:pPr>
    <w:rPr>
      <w:rFonts w:eastAsia="Times New Roman" w:cs="Times New Roman"/>
      <w:b/>
      <w:bCs/>
      <w:szCs w:val="24"/>
    </w:rPr>
  </w:style>
  <w:style w:type="paragraph" w:customStyle="1" w:styleId="PreparedByText">
    <w:name w:val="PreparedByText"/>
    <w:qFormat/>
    <w:rsid w:val="00F20DE6"/>
    <w:pPr>
      <w:spacing w:after="0" w:line="240" w:lineRule="auto"/>
    </w:pPr>
    <w:rPr>
      <w:rFonts w:eastAsia="Times New Roman" w:cs="Times New Roman"/>
      <w:bCs/>
      <w:szCs w:val="24"/>
    </w:rPr>
  </w:style>
  <w:style w:type="paragraph" w:customStyle="1" w:styleId="Investigators">
    <w:name w:val="Investigators"/>
    <w:qFormat/>
    <w:rsid w:val="00F20DE6"/>
    <w:pPr>
      <w:spacing w:after="0" w:line="240" w:lineRule="auto"/>
    </w:pPr>
    <w:rPr>
      <w:rFonts w:eastAsia="Times New Roman" w:cs="Times New Roman"/>
      <w:bCs/>
      <w:szCs w:val="24"/>
    </w:rPr>
  </w:style>
  <w:style w:type="paragraph" w:customStyle="1" w:styleId="PublicationNumberDate">
    <w:name w:val="PublicationNumberDate"/>
    <w:qFormat/>
    <w:rsid w:val="00F20DE6"/>
    <w:pPr>
      <w:spacing w:after="0" w:line="240" w:lineRule="auto"/>
    </w:pPr>
    <w:rPr>
      <w:rFonts w:eastAsia="Times New Roman" w:cs="Times New Roman"/>
      <w:b/>
      <w:bCs/>
      <w:szCs w:val="24"/>
    </w:rPr>
  </w:style>
  <w:style w:type="paragraph" w:customStyle="1" w:styleId="SuggestedCitation">
    <w:name w:val="SuggestedCitation"/>
    <w:qFormat/>
    <w:rsid w:val="00F20DE6"/>
    <w:pPr>
      <w:spacing w:after="0" w:line="240" w:lineRule="auto"/>
    </w:pPr>
    <w:rPr>
      <w:rFonts w:eastAsia="Times New Roman" w:cs="Times New Roman"/>
      <w:bCs/>
      <w:szCs w:val="24"/>
    </w:rPr>
  </w:style>
  <w:style w:type="paragraph" w:customStyle="1" w:styleId="Contents">
    <w:name w:val="Contents"/>
    <w:qFormat/>
    <w:rsid w:val="00F20DE6"/>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F20DE6"/>
    <w:pPr>
      <w:keepNext/>
      <w:spacing w:before="240" w:after="0" w:line="240" w:lineRule="auto"/>
    </w:pPr>
    <w:rPr>
      <w:rFonts w:eastAsia="Times New Roman" w:cs="Times New Roman"/>
      <w:b/>
      <w:bCs/>
      <w:szCs w:val="28"/>
    </w:rPr>
  </w:style>
  <w:style w:type="paragraph" w:customStyle="1" w:styleId="TableColumnHead">
    <w:name w:val="TableColumnHead"/>
    <w:qFormat/>
    <w:rsid w:val="00F20DE6"/>
    <w:pPr>
      <w:spacing w:after="0" w:line="240" w:lineRule="auto"/>
      <w:jc w:val="center"/>
    </w:pPr>
    <w:rPr>
      <w:rFonts w:ascii="Arial" w:eastAsia="Calibri" w:hAnsi="Arial" w:cs="Arial"/>
      <w:b/>
      <w:bCs/>
      <w:sz w:val="18"/>
      <w:szCs w:val="18"/>
    </w:rPr>
  </w:style>
  <w:style w:type="paragraph" w:customStyle="1" w:styleId="TableSubhead">
    <w:name w:val="TableSubhead"/>
    <w:qFormat/>
    <w:rsid w:val="00F20DE6"/>
    <w:pPr>
      <w:spacing w:after="0" w:line="240" w:lineRule="auto"/>
    </w:pPr>
    <w:rPr>
      <w:rFonts w:ascii="Arial" w:eastAsia="Calibri" w:hAnsi="Arial" w:cs="Arial"/>
      <w:b/>
      <w:i/>
      <w:sz w:val="18"/>
      <w:szCs w:val="18"/>
    </w:rPr>
  </w:style>
  <w:style w:type="paragraph" w:customStyle="1" w:styleId="TableText">
    <w:name w:val="TableText"/>
    <w:link w:val="TableTextChar"/>
    <w:qFormat/>
    <w:rsid w:val="00F20DE6"/>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F20DE6"/>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F20DE6"/>
    <w:rPr>
      <w:rFonts w:ascii="Calibri" w:eastAsia="Calibri" w:hAnsi="Calibri" w:cs="Times New Roman"/>
      <w:sz w:val="22"/>
    </w:rPr>
  </w:style>
  <w:style w:type="paragraph" w:customStyle="1" w:styleId="Level6Heading">
    <w:name w:val="Level6Heading"/>
    <w:qFormat/>
    <w:rsid w:val="00F20DE6"/>
    <w:pPr>
      <w:keepNext/>
      <w:spacing w:before="240" w:after="0" w:line="240" w:lineRule="auto"/>
      <w:outlineLvl w:val="6"/>
    </w:pPr>
    <w:rPr>
      <w:rFonts w:eastAsia="Times New Roman" w:cs="Times New Roman"/>
      <w:b/>
      <w:bCs/>
      <w:szCs w:val="24"/>
    </w:rPr>
  </w:style>
  <w:style w:type="paragraph" w:customStyle="1" w:styleId="Level7Heading">
    <w:name w:val="Level7Heading"/>
    <w:qFormat/>
    <w:rsid w:val="00F20DE6"/>
    <w:pPr>
      <w:keepNext/>
      <w:spacing w:after="0" w:line="240" w:lineRule="auto"/>
    </w:pPr>
    <w:rPr>
      <w:rFonts w:eastAsia="Calibri" w:cs="Times New Roman"/>
      <w:b/>
      <w:color w:val="000000"/>
      <w:szCs w:val="24"/>
    </w:rPr>
  </w:style>
  <w:style w:type="paragraph" w:customStyle="1" w:styleId="Level8Heading">
    <w:name w:val="Level8Heading"/>
    <w:qFormat/>
    <w:rsid w:val="00F20DE6"/>
    <w:pPr>
      <w:keepNext/>
      <w:spacing w:after="0" w:line="240" w:lineRule="auto"/>
    </w:pPr>
    <w:rPr>
      <w:rFonts w:eastAsia="Times New Roman" w:cs="Times New Roman"/>
      <w:bCs/>
      <w:i/>
      <w:szCs w:val="24"/>
    </w:rPr>
  </w:style>
  <w:style w:type="paragraph" w:customStyle="1" w:styleId="Bullet1">
    <w:name w:val="Bullet1"/>
    <w:qFormat/>
    <w:rsid w:val="00F20DE6"/>
    <w:pPr>
      <w:numPr>
        <w:numId w:val="1"/>
      </w:numPr>
      <w:spacing w:after="0" w:line="240" w:lineRule="auto"/>
    </w:pPr>
    <w:rPr>
      <w:rFonts w:eastAsia="Times New Roman" w:cs="Times New Roman"/>
      <w:bCs/>
      <w:szCs w:val="24"/>
    </w:rPr>
  </w:style>
  <w:style w:type="paragraph" w:customStyle="1" w:styleId="Bullet20">
    <w:name w:val="Bullet2"/>
    <w:qFormat/>
    <w:rsid w:val="00F20DE6"/>
    <w:pPr>
      <w:numPr>
        <w:ilvl w:val="1"/>
        <w:numId w:val="1"/>
      </w:numPr>
      <w:spacing w:after="0" w:line="240" w:lineRule="auto"/>
      <w:ind w:left="1080"/>
    </w:pPr>
    <w:rPr>
      <w:rFonts w:eastAsia="Times New Roman" w:cs="Times New Roman"/>
      <w:bCs/>
      <w:szCs w:val="24"/>
    </w:rPr>
  </w:style>
  <w:style w:type="paragraph" w:customStyle="1" w:styleId="TableCenteredText">
    <w:name w:val="TableCenteredText"/>
    <w:qFormat/>
    <w:rsid w:val="00F20DE6"/>
    <w:pPr>
      <w:spacing w:after="0" w:line="240" w:lineRule="auto"/>
      <w:jc w:val="center"/>
    </w:pPr>
    <w:rPr>
      <w:rFonts w:ascii="Arial" w:eastAsia="Calibri" w:hAnsi="Arial" w:cs="Arial"/>
      <w:sz w:val="18"/>
      <w:szCs w:val="18"/>
    </w:rPr>
  </w:style>
  <w:style w:type="paragraph" w:customStyle="1" w:styleId="TableLeftText">
    <w:name w:val="TableLeftText"/>
    <w:qFormat/>
    <w:rsid w:val="00F20DE6"/>
    <w:pPr>
      <w:spacing w:after="0" w:line="240" w:lineRule="auto"/>
    </w:pPr>
    <w:rPr>
      <w:rFonts w:ascii="Arial" w:eastAsia="Calibri" w:hAnsi="Arial" w:cs="Arial"/>
      <w:sz w:val="18"/>
      <w:szCs w:val="18"/>
    </w:rPr>
  </w:style>
  <w:style w:type="paragraph" w:customStyle="1" w:styleId="TableBoldText">
    <w:name w:val="TableBoldText"/>
    <w:qFormat/>
    <w:rsid w:val="00F20DE6"/>
    <w:pPr>
      <w:spacing w:after="0" w:line="240" w:lineRule="auto"/>
    </w:pPr>
    <w:rPr>
      <w:rFonts w:ascii="Arial" w:eastAsia="Calibri" w:hAnsi="Arial" w:cs="Arial"/>
      <w:b/>
      <w:sz w:val="18"/>
      <w:szCs w:val="18"/>
    </w:rPr>
  </w:style>
  <w:style w:type="paragraph" w:customStyle="1" w:styleId="Studies1">
    <w:name w:val="Studies1"/>
    <w:qFormat/>
    <w:rsid w:val="00F20DE6"/>
    <w:pPr>
      <w:keepLines/>
      <w:spacing w:before="120" w:after="120" w:line="240" w:lineRule="auto"/>
    </w:pPr>
    <w:rPr>
      <w:rFonts w:eastAsia="Calibri" w:cs="Arial"/>
      <w:color w:val="000000"/>
      <w:szCs w:val="32"/>
    </w:rPr>
  </w:style>
  <w:style w:type="paragraph" w:customStyle="1" w:styleId="Studies2">
    <w:name w:val="Studies2"/>
    <w:qFormat/>
    <w:rsid w:val="00F20DE6"/>
    <w:pPr>
      <w:keepLines/>
      <w:numPr>
        <w:numId w:val="2"/>
      </w:numPr>
      <w:spacing w:before="120" w:after="120" w:line="240" w:lineRule="auto"/>
      <w:ind w:hanging="720"/>
    </w:pPr>
    <w:rPr>
      <w:rFonts w:eastAsia="Times" w:cs="Times New Roman"/>
      <w:color w:val="000000"/>
      <w:szCs w:val="24"/>
    </w:rPr>
  </w:style>
  <w:style w:type="paragraph" w:customStyle="1" w:styleId="NumberedList">
    <w:name w:val="NumberedList"/>
    <w:basedOn w:val="Bullet1"/>
    <w:qFormat/>
    <w:rsid w:val="00F20DE6"/>
    <w:pPr>
      <w:numPr>
        <w:numId w:val="3"/>
      </w:numPr>
      <w:ind w:left="720"/>
    </w:pPr>
  </w:style>
  <w:style w:type="paragraph" w:customStyle="1" w:styleId="ReportSubtitle">
    <w:name w:val="ReportSubtitle"/>
    <w:qFormat/>
    <w:rsid w:val="00F20DE6"/>
    <w:pPr>
      <w:spacing w:after="0" w:line="240" w:lineRule="auto"/>
    </w:pPr>
    <w:rPr>
      <w:rFonts w:ascii="Arial" w:eastAsia="Times New Roman" w:hAnsi="Arial" w:cs="Times New Roman"/>
      <w:b/>
      <w:bCs/>
      <w:szCs w:val="24"/>
    </w:rPr>
  </w:style>
  <w:style w:type="paragraph" w:customStyle="1" w:styleId="FrontMatterSubhead">
    <w:name w:val="FrontMatterSubhead"/>
    <w:qFormat/>
    <w:rsid w:val="00F20DE6"/>
    <w:pPr>
      <w:keepNext/>
      <w:spacing w:before="120" w:after="0" w:line="240" w:lineRule="auto"/>
    </w:pPr>
    <w:rPr>
      <w:rFonts w:ascii="Arial" w:eastAsia="Calibri" w:hAnsi="Arial" w:cs="Arial"/>
      <w:b/>
      <w:szCs w:val="32"/>
    </w:rPr>
  </w:style>
  <w:style w:type="character" w:styleId="Hyperlink">
    <w:name w:val="Hyperlink"/>
    <w:basedOn w:val="DefaultParagraphFont"/>
    <w:uiPriority w:val="99"/>
    <w:rsid w:val="00F20DE6"/>
    <w:rPr>
      <w:color w:val="0000FF"/>
      <w:u w:val="single"/>
    </w:rPr>
  </w:style>
  <w:style w:type="paragraph" w:customStyle="1" w:styleId="BodyText">
    <w:name w:val="BodyText"/>
    <w:basedOn w:val="Normal"/>
    <w:link w:val="BodyTextChar"/>
    <w:rsid w:val="00F20DE6"/>
    <w:pPr>
      <w:spacing w:after="120"/>
    </w:pPr>
    <w:rPr>
      <w:rFonts w:ascii="Times New Roman" w:hAnsi="Times New Roman"/>
      <w:szCs w:val="24"/>
    </w:rPr>
  </w:style>
  <w:style w:type="character" w:customStyle="1" w:styleId="BodyTextChar">
    <w:name w:val="BodyText Char"/>
    <w:basedOn w:val="DefaultParagraphFont"/>
    <w:link w:val="BodyText"/>
    <w:rsid w:val="00F20DE6"/>
    <w:rPr>
      <w:rFonts w:eastAsia="Times New Roman" w:cs="Times New Roman"/>
      <w:szCs w:val="24"/>
    </w:rPr>
  </w:style>
  <w:style w:type="paragraph" w:customStyle="1" w:styleId="TitlePageReportNumber">
    <w:name w:val="Title Page Report Number"/>
    <w:basedOn w:val="Normal"/>
    <w:rsid w:val="00F20DE6"/>
    <w:rPr>
      <w:rFonts w:ascii="Arial" w:eastAsia="Times" w:hAnsi="Arial"/>
      <w:b/>
      <w:sz w:val="28"/>
    </w:rPr>
  </w:style>
  <w:style w:type="paragraph" w:customStyle="1" w:styleId="Default">
    <w:name w:val="Default"/>
    <w:rsid w:val="00F20DE6"/>
    <w:pPr>
      <w:autoSpaceDE w:val="0"/>
      <w:autoSpaceDN w:val="0"/>
      <w:adjustRightInd w:val="0"/>
      <w:spacing w:after="0" w:line="240" w:lineRule="auto"/>
    </w:pPr>
    <w:rPr>
      <w:rFonts w:eastAsia="Times New Roman" w:cs="Times New Roman"/>
      <w:color w:val="000000"/>
      <w:szCs w:val="24"/>
    </w:rPr>
  </w:style>
  <w:style w:type="paragraph" w:customStyle="1" w:styleId="TableTextBullet">
    <w:name w:val="TableTextBullet"/>
    <w:basedOn w:val="TableText"/>
    <w:qFormat/>
    <w:rsid w:val="001D01EE"/>
    <w:pPr>
      <w:numPr>
        <w:numId w:val="4"/>
      </w:numPr>
      <w:ind w:left="228" w:hanging="228"/>
    </w:pPr>
  </w:style>
  <w:style w:type="paragraph" w:customStyle="1" w:styleId="footnote">
    <w:name w:val="footnote"/>
    <w:basedOn w:val="FootnoteText"/>
    <w:qFormat/>
    <w:rsid w:val="00E45D5A"/>
    <w:pPr>
      <w:spacing w:after="120"/>
    </w:pPr>
  </w:style>
  <w:style w:type="paragraph" w:customStyle="1" w:styleId="TableBullet">
    <w:name w:val="TableBullet"/>
    <w:basedOn w:val="Normal"/>
    <w:qFormat/>
    <w:rsid w:val="00991B1D"/>
    <w:pPr>
      <w:numPr>
        <w:numId w:val="5"/>
      </w:numPr>
      <w:ind w:left="187" w:hanging="187"/>
    </w:pPr>
    <w:rPr>
      <w:rFonts w:ascii="Arial" w:eastAsiaTheme="minorHAnsi" w:hAnsi="Arial" w:cstheme="minorBidi"/>
      <w:sz w:val="18"/>
      <w:szCs w:val="18"/>
    </w:rPr>
  </w:style>
  <w:style w:type="paragraph" w:styleId="Caption">
    <w:name w:val="caption"/>
    <w:basedOn w:val="Normal"/>
    <w:next w:val="Normal"/>
    <w:uiPriority w:val="35"/>
    <w:unhideWhenUsed/>
    <w:qFormat/>
    <w:rsid w:val="0010537A"/>
    <w:pPr>
      <w:spacing w:after="200"/>
    </w:pPr>
    <w:rPr>
      <w:b/>
      <w:bCs/>
      <w:color w:val="4F81BD" w:themeColor="accent1"/>
      <w:sz w:val="18"/>
      <w:szCs w:val="18"/>
    </w:rPr>
  </w:style>
  <w:style w:type="paragraph" w:customStyle="1" w:styleId="FigureTitle">
    <w:name w:val="FigureTitle"/>
    <w:basedOn w:val="TableTitle"/>
    <w:qFormat/>
    <w:rsid w:val="0010537A"/>
  </w:style>
  <w:style w:type="paragraph" w:customStyle="1" w:styleId="BulletBlank">
    <w:name w:val="BulletBlank"/>
    <w:basedOn w:val="Bullet1"/>
    <w:qFormat/>
    <w:rsid w:val="0010537A"/>
    <w:pPr>
      <w:numPr>
        <w:numId w:val="0"/>
      </w:numPr>
      <w:ind w:left="720" w:hanging="360"/>
    </w:pPr>
  </w:style>
  <w:style w:type="paragraph" w:customStyle="1" w:styleId="BulletBlank2">
    <w:name w:val="BulletBlank2"/>
    <w:basedOn w:val="BulletBlank"/>
    <w:qFormat/>
    <w:rsid w:val="0010537A"/>
    <w:pPr>
      <w:ind w:left="1080"/>
    </w:pPr>
  </w:style>
  <w:style w:type="character" w:customStyle="1" w:styleId="Heading8Char">
    <w:name w:val="Heading 8 Char"/>
    <w:basedOn w:val="DefaultParagraphFont"/>
    <w:link w:val="Heading8"/>
    <w:uiPriority w:val="9"/>
    <w:semiHidden/>
    <w:rsid w:val="00B26D2D"/>
    <w:rPr>
      <w:rFonts w:asciiTheme="majorHAnsi" w:eastAsiaTheme="majorEastAsia" w:hAnsiTheme="majorHAnsi" w:cstheme="majorBidi"/>
      <w:color w:val="404040" w:themeColor="text1" w:themeTint="BF"/>
      <w:sz w:val="20"/>
      <w:szCs w:val="20"/>
    </w:rPr>
  </w:style>
  <w:style w:type="paragraph" w:styleId="TOC5">
    <w:name w:val="toc 5"/>
    <w:basedOn w:val="Normal"/>
    <w:next w:val="Normal"/>
    <w:autoRedefine/>
    <w:uiPriority w:val="39"/>
    <w:unhideWhenUsed/>
    <w:rsid w:val="00B26D2D"/>
    <w:pPr>
      <w:tabs>
        <w:tab w:val="right" w:leader="dot" w:pos="9350"/>
      </w:tabs>
      <w:spacing w:after="100"/>
    </w:pPr>
    <w:rPr>
      <w:noProof/>
    </w:rPr>
  </w:style>
  <w:style w:type="paragraph" w:customStyle="1" w:styleId="CitationHeading">
    <w:name w:val="Citation Heading"/>
    <w:basedOn w:val="Normal"/>
    <w:next w:val="Normal"/>
    <w:rsid w:val="00B26D2D"/>
    <w:rPr>
      <w:rFonts w:ascii="Times New Roman" w:hAnsi="Times New Roman"/>
      <w:b/>
    </w:rPr>
  </w:style>
  <w:style w:type="paragraph" w:customStyle="1" w:styleId="OtherFrontmatterHeadings">
    <w:name w:val="Other Frontmatter Headings"/>
    <w:basedOn w:val="Normal"/>
    <w:rsid w:val="00B26D2D"/>
    <w:rPr>
      <w:rFonts w:ascii="Helvetica" w:hAnsi="Helvetica"/>
      <w:b/>
      <w:color w:val="000000"/>
      <w:sz w:val="32"/>
      <w:szCs w:val="32"/>
    </w:rPr>
  </w:style>
  <w:style w:type="paragraph" w:customStyle="1" w:styleId="Covers">
    <w:name w:val="Covers"/>
    <w:basedOn w:val="Normal"/>
    <w:semiHidden/>
    <w:rsid w:val="00B26D2D"/>
    <w:pPr>
      <w:jc w:val="right"/>
    </w:pPr>
    <w:rPr>
      <w:rFonts w:ascii="Times New Roman" w:hAnsi="Times New Roman"/>
      <w:b/>
      <w:sz w:val="36"/>
      <w:szCs w:val="24"/>
    </w:rPr>
  </w:style>
  <w:style w:type="paragraph" w:customStyle="1" w:styleId="ReportTitle0">
    <w:name w:val="Report Title"/>
    <w:basedOn w:val="Normal"/>
    <w:uiPriority w:val="99"/>
    <w:rsid w:val="00B26D2D"/>
    <w:rPr>
      <w:rFonts w:ascii="Arial" w:hAnsi="Arial" w:cs="Arial"/>
      <w:b/>
      <w:sz w:val="36"/>
      <w:szCs w:val="36"/>
    </w:rPr>
  </w:style>
  <w:style w:type="character" w:styleId="PageNumber0">
    <w:name w:val="page number"/>
    <w:rsid w:val="00B26D2D"/>
    <w:rPr>
      <w:rFonts w:cs="Times New Roman"/>
    </w:rPr>
  </w:style>
  <w:style w:type="paragraph" w:styleId="Title">
    <w:name w:val="Title"/>
    <w:basedOn w:val="Normal"/>
    <w:link w:val="TitleChar"/>
    <w:qFormat/>
    <w:rsid w:val="00B26D2D"/>
    <w:pPr>
      <w:jc w:val="center"/>
      <w:outlineLvl w:val="0"/>
    </w:pPr>
    <w:rPr>
      <w:b/>
      <w:sz w:val="40"/>
    </w:rPr>
  </w:style>
  <w:style w:type="character" w:customStyle="1" w:styleId="TitleChar">
    <w:name w:val="Title Char"/>
    <w:basedOn w:val="DefaultParagraphFont"/>
    <w:link w:val="Title"/>
    <w:rsid w:val="00B26D2D"/>
    <w:rPr>
      <w:rFonts w:ascii="Times" w:eastAsia="Times New Roman" w:hAnsi="Times" w:cs="Times New Roman"/>
      <w:b/>
      <w:sz w:val="40"/>
      <w:szCs w:val="20"/>
    </w:rPr>
  </w:style>
  <w:style w:type="paragraph" w:customStyle="1" w:styleId="TitlePageHeader">
    <w:name w:val="Title Page Header"/>
    <w:basedOn w:val="Normal"/>
    <w:next w:val="Normal"/>
    <w:rsid w:val="00B26D2D"/>
    <w:rPr>
      <w:b/>
      <w:i/>
      <w:sz w:val="32"/>
    </w:rPr>
  </w:style>
  <w:style w:type="paragraph" w:styleId="BodyText0">
    <w:name w:val="Body Text"/>
    <w:basedOn w:val="Normal"/>
    <w:link w:val="BodyTextChar0"/>
    <w:uiPriority w:val="99"/>
    <w:semiHidden/>
    <w:unhideWhenUsed/>
    <w:rsid w:val="00B26D2D"/>
    <w:pPr>
      <w:spacing w:after="120"/>
    </w:pPr>
  </w:style>
  <w:style w:type="character" w:customStyle="1" w:styleId="BodyTextChar0">
    <w:name w:val="Body Text Char"/>
    <w:basedOn w:val="DefaultParagraphFont"/>
    <w:link w:val="BodyText0"/>
    <w:uiPriority w:val="99"/>
    <w:semiHidden/>
    <w:rsid w:val="00B26D2D"/>
    <w:rPr>
      <w:rFonts w:ascii="Times" w:eastAsia="Times New Roman" w:hAnsi="Times" w:cs="Times New Roman"/>
      <w:szCs w:val="20"/>
    </w:rPr>
  </w:style>
  <w:style w:type="paragraph" w:styleId="BodyTextFirstIndent">
    <w:name w:val="Body Text First Indent"/>
    <w:basedOn w:val="Normal"/>
    <w:link w:val="BodyTextFirstIndentChar"/>
    <w:rsid w:val="00B26D2D"/>
    <w:pPr>
      <w:ind w:firstLine="360"/>
    </w:pPr>
    <w:rPr>
      <w:rFonts w:ascii="Times New Roman" w:hAnsi="Times New Roman"/>
      <w:szCs w:val="24"/>
    </w:rPr>
  </w:style>
  <w:style w:type="character" w:customStyle="1" w:styleId="BodyTextFirstIndentChar">
    <w:name w:val="Body Text First Indent Char"/>
    <w:basedOn w:val="BodyTextChar0"/>
    <w:link w:val="BodyTextFirstIndent"/>
    <w:rsid w:val="00B26D2D"/>
    <w:rPr>
      <w:rFonts w:ascii="Times" w:eastAsia="Times New Roman" w:hAnsi="Times" w:cs="Times New Roman"/>
      <w:szCs w:val="24"/>
    </w:rPr>
  </w:style>
  <w:style w:type="paragraph" w:customStyle="1" w:styleId="AHRQBODYTEXT">
    <w:name w:val="AHRQ BODY TEXT"/>
    <w:basedOn w:val="Normal"/>
    <w:link w:val="AHRQBODYTEXTChar"/>
    <w:rsid w:val="00B26D2D"/>
    <w:pPr>
      <w:ind w:firstLine="360"/>
    </w:pPr>
    <w:rPr>
      <w:rFonts w:ascii="Times New Roman" w:eastAsia="Times" w:hAnsi="Times New Roman"/>
    </w:rPr>
  </w:style>
  <w:style w:type="character" w:customStyle="1" w:styleId="AHRQBODYTEXTChar">
    <w:name w:val="AHRQ BODY TEXT Char"/>
    <w:link w:val="AHRQBODYTEXT"/>
    <w:rsid w:val="00B26D2D"/>
    <w:rPr>
      <w:rFonts w:eastAsia="Times" w:cs="Times New Roman"/>
      <w:szCs w:val="20"/>
    </w:rPr>
  </w:style>
  <w:style w:type="paragraph" w:styleId="NoSpacing">
    <w:name w:val="No Spacing"/>
    <w:qFormat/>
    <w:rsid w:val="00B26D2D"/>
    <w:pPr>
      <w:spacing w:after="0" w:line="240" w:lineRule="auto"/>
    </w:pPr>
    <w:rPr>
      <w:rFonts w:ascii="Calibri" w:eastAsia="Calibri" w:hAnsi="Calibri" w:cs="Arial"/>
      <w:sz w:val="22"/>
    </w:rPr>
  </w:style>
  <w:style w:type="paragraph" w:customStyle="1" w:styleId="bullet10">
    <w:name w:val="bullet1"/>
    <w:basedOn w:val="NoSpacing"/>
    <w:qFormat/>
    <w:rsid w:val="00B26D2D"/>
    <w:pPr>
      <w:numPr>
        <w:numId w:val="7"/>
      </w:numPr>
    </w:pPr>
    <w:rPr>
      <w:rFonts w:ascii="Times New Roman" w:hAnsi="Times New Roman"/>
      <w:bCs/>
      <w:sz w:val="24"/>
      <w:szCs w:val="28"/>
    </w:rPr>
  </w:style>
  <w:style w:type="paragraph" w:customStyle="1" w:styleId="bullet2">
    <w:name w:val="bullet2"/>
    <w:basedOn w:val="NoSpacing"/>
    <w:qFormat/>
    <w:rsid w:val="00B26D2D"/>
    <w:pPr>
      <w:numPr>
        <w:numId w:val="6"/>
      </w:numPr>
      <w:ind w:left="1080"/>
    </w:pPr>
    <w:rPr>
      <w:rFonts w:ascii="Times New Roman" w:hAnsi="Times New Roman"/>
      <w:sz w:val="24"/>
    </w:rPr>
  </w:style>
  <w:style w:type="paragraph" w:styleId="TOC3">
    <w:name w:val="toc 3"/>
    <w:basedOn w:val="Normal"/>
    <w:next w:val="Normal"/>
    <w:autoRedefine/>
    <w:uiPriority w:val="39"/>
    <w:rsid w:val="0049586A"/>
    <w:pPr>
      <w:tabs>
        <w:tab w:val="right" w:leader="dot" w:pos="9350"/>
      </w:tabs>
      <w:ind w:left="475"/>
    </w:pPr>
    <w:rPr>
      <w:rFonts w:ascii="Times New Roman" w:hAnsi="Times New Roman"/>
      <w:szCs w:val="24"/>
    </w:rPr>
  </w:style>
  <w:style w:type="character" w:customStyle="1" w:styleId="Heading3Char">
    <w:name w:val="Heading 3 Char"/>
    <w:basedOn w:val="DefaultParagraphFont"/>
    <w:link w:val="Heading3"/>
    <w:uiPriority w:val="9"/>
    <w:semiHidden/>
    <w:rsid w:val="00B26D2D"/>
    <w:rPr>
      <w:rFonts w:asciiTheme="majorHAnsi" w:eastAsiaTheme="majorEastAsia" w:hAnsiTheme="majorHAnsi" w:cstheme="majorBidi"/>
      <w:b/>
      <w:bCs/>
      <w:color w:val="4F81BD" w:themeColor="accent1"/>
      <w:szCs w:val="20"/>
    </w:rPr>
  </w:style>
  <w:style w:type="character" w:styleId="FollowedHyperlink">
    <w:name w:val="FollowedHyperlink"/>
    <w:basedOn w:val="DefaultParagraphFont"/>
    <w:uiPriority w:val="99"/>
    <w:semiHidden/>
    <w:unhideWhenUsed/>
    <w:rsid w:val="004C6452"/>
    <w:rPr>
      <w:color w:val="800080" w:themeColor="followedHyperlink"/>
      <w:u w:val="single"/>
    </w:rPr>
  </w:style>
  <w:style w:type="character" w:styleId="Strong">
    <w:name w:val="Strong"/>
    <w:uiPriority w:val="22"/>
    <w:qFormat/>
    <w:rsid w:val="00F32D49"/>
    <w:rPr>
      <w:b/>
      <w:bCs/>
    </w:rPr>
  </w:style>
  <w:style w:type="paragraph" w:customStyle="1" w:styleId="AbstractText">
    <w:name w:val="AbstractText"/>
    <w:basedOn w:val="NormalWeb"/>
    <w:uiPriority w:val="99"/>
    <w:qFormat/>
    <w:rsid w:val="00F32D49"/>
  </w:style>
  <w:style w:type="paragraph" w:styleId="Revision">
    <w:name w:val="Revision"/>
    <w:hidden/>
    <w:uiPriority w:val="99"/>
    <w:semiHidden/>
    <w:rsid w:val="007C6DDC"/>
    <w:pPr>
      <w:spacing w:after="0" w:line="240" w:lineRule="auto"/>
    </w:pPr>
    <w:rPr>
      <w:rFonts w:ascii="Times" w:eastAsia="Times New Roman" w:hAnsi="Times" w:cs="Times New Roman"/>
      <w:szCs w:val="20"/>
    </w:rPr>
  </w:style>
  <w:style w:type="table" w:customStyle="1" w:styleId="AHRQ11">
    <w:name w:val="AHRQ11"/>
    <w:basedOn w:val="TableGrid"/>
    <w:rsid w:val="006B6F98"/>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character" w:styleId="Emphasis">
    <w:name w:val="Emphasis"/>
    <w:basedOn w:val="DefaultParagraphFont"/>
    <w:uiPriority w:val="99"/>
    <w:qFormat/>
    <w:rsid w:val="00D04943"/>
    <w:rPr>
      <w:i/>
      <w:iCs/>
    </w:rPr>
  </w:style>
  <w:style w:type="paragraph" w:customStyle="1" w:styleId="TableTitleContinued">
    <w:name w:val="TableTitleContinued"/>
    <w:basedOn w:val="TableTitle"/>
    <w:qFormat/>
    <w:rsid w:val="006B6F98"/>
  </w:style>
  <w:style w:type="table" w:customStyle="1" w:styleId="TableGrid5">
    <w:name w:val="Table Grid5"/>
    <w:basedOn w:val="TableNormal"/>
    <w:next w:val="TableGrid"/>
    <w:uiPriority w:val="59"/>
    <w:rsid w:val="003C5B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4E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71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3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67F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21A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600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Blank">
    <w:name w:val="TableTextBulletBlank"/>
    <w:basedOn w:val="TableTextBullet"/>
    <w:qFormat/>
    <w:rsid w:val="00AB6DC5"/>
    <w:pPr>
      <w:numPr>
        <w:numId w:val="0"/>
      </w:numPr>
      <w:ind w:left="216" w:hanging="216"/>
    </w:pPr>
  </w:style>
  <w:style w:type="character" w:customStyle="1" w:styleId="st1">
    <w:name w:val="st1"/>
    <w:basedOn w:val="DefaultParagraphFont"/>
    <w:rsid w:val="00692B72"/>
  </w:style>
  <w:style w:type="paragraph" w:customStyle="1" w:styleId="Statements">
    <w:name w:val="Statements"/>
    <w:basedOn w:val="TitlePageReportNumber"/>
    <w:qFormat/>
    <w:rsid w:val="002A6518"/>
    <w:pPr>
      <w:spacing w:before="200"/>
    </w:pPr>
    <w:rPr>
      <w:sz w:val="24"/>
    </w:rPr>
  </w:style>
  <w:style w:type="paragraph" w:styleId="PlainText">
    <w:name w:val="Plain Text"/>
    <w:basedOn w:val="Normal"/>
    <w:link w:val="PlainTextChar"/>
    <w:uiPriority w:val="99"/>
    <w:rsid w:val="002A6518"/>
    <w:rPr>
      <w:rFonts w:ascii="Courier New" w:hAnsi="Courier New" w:cs="Courier New"/>
      <w:sz w:val="20"/>
    </w:rPr>
  </w:style>
  <w:style w:type="character" w:customStyle="1" w:styleId="PlainTextChar">
    <w:name w:val="Plain Text Char"/>
    <w:basedOn w:val="DefaultParagraphFont"/>
    <w:link w:val="PlainText"/>
    <w:uiPriority w:val="99"/>
    <w:rsid w:val="002A6518"/>
    <w:rPr>
      <w:rFonts w:ascii="Courier New" w:eastAsia="Times New Roman" w:hAnsi="Courier New" w:cs="Courier New"/>
      <w:sz w:val="20"/>
      <w:szCs w:val="20"/>
    </w:rPr>
  </w:style>
  <w:style w:type="character" w:customStyle="1" w:styleId="ft">
    <w:name w:val="ft"/>
    <w:basedOn w:val="DefaultParagraphFont"/>
    <w:rsid w:val="002A6518"/>
  </w:style>
  <w:style w:type="numbering" w:customStyle="1" w:styleId="NoList1">
    <w:name w:val="No List1"/>
    <w:next w:val="NoList"/>
    <w:uiPriority w:val="99"/>
    <w:semiHidden/>
    <w:unhideWhenUsed/>
    <w:rsid w:val="006938EF"/>
  </w:style>
  <w:style w:type="paragraph" w:customStyle="1" w:styleId="AppendixChapterHeading">
    <w:name w:val="AppendixChapterHeading"/>
    <w:basedOn w:val="ChapterHeading"/>
    <w:qFormat/>
    <w:rsid w:val="006938EF"/>
    <w:rPr>
      <w:rFonts w:eastAsia="Calibri"/>
    </w:rPr>
  </w:style>
  <w:style w:type="paragraph" w:customStyle="1" w:styleId="AppendixTableTitle">
    <w:name w:val="AppendixTableTitle"/>
    <w:basedOn w:val="Normal"/>
    <w:qFormat/>
    <w:rsid w:val="006938EF"/>
    <w:pPr>
      <w:keepNext/>
      <w:spacing w:before="240"/>
    </w:pPr>
    <w:rPr>
      <w:rFonts w:ascii="Arial" w:eastAsia="Calibri" w:hAnsi="Arial"/>
      <w:b/>
      <w:color w:val="000000"/>
      <w:sz w:val="20"/>
      <w:szCs w:val="24"/>
    </w:rPr>
  </w:style>
  <w:style w:type="paragraph" w:customStyle="1" w:styleId="EndNoteBibliographyTitle">
    <w:name w:val="EndNote Bibliography Title"/>
    <w:basedOn w:val="Normal"/>
    <w:link w:val="EndNoteBibliographyTitleChar"/>
    <w:rsid w:val="001337C4"/>
    <w:pPr>
      <w:jc w:val="center"/>
    </w:pPr>
    <w:rPr>
      <w:rFonts w:ascii="Times New Roman" w:hAnsi="Times New Roman"/>
      <w:noProof/>
    </w:rPr>
  </w:style>
  <w:style w:type="character" w:customStyle="1" w:styleId="TableTextChar">
    <w:name w:val="TableText Char"/>
    <w:basedOn w:val="DefaultParagraphFont"/>
    <w:link w:val="TableText"/>
    <w:rsid w:val="001337C4"/>
    <w:rPr>
      <w:rFonts w:ascii="Arial" w:eastAsia="Calibri" w:hAnsi="Arial" w:cs="Arial"/>
      <w:sz w:val="18"/>
      <w:szCs w:val="18"/>
    </w:rPr>
  </w:style>
  <w:style w:type="character" w:customStyle="1" w:styleId="EndNoteBibliographyTitleChar">
    <w:name w:val="EndNote Bibliography Title Char"/>
    <w:basedOn w:val="TableTextChar"/>
    <w:link w:val="EndNoteBibliographyTitle"/>
    <w:rsid w:val="001337C4"/>
    <w:rPr>
      <w:rFonts w:ascii="Arial" w:eastAsia="Times New Roman" w:hAnsi="Arial" w:cs="Times New Roman"/>
      <w:noProof/>
      <w:sz w:val="18"/>
      <w:szCs w:val="20"/>
    </w:rPr>
  </w:style>
  <w:style w:type="paragraph" w:customStyle="1" w:styleId="EndNoteBibliography">
    <w:name w:val="EndNote Bibliography"/>
    <w:basedOn w:val="Normal"/>
    <w:link w:val="EndNoteBibliographyChar"/>
    <w:rsid w:val="001337C4"/>
    <w:rPr>
      <w:rFonts w:ascii="Times New Roman" w:hAnsi="Times New Roman"/>
      <w:noProof/>
    </w:rPr>
  </w:style>
  <w:style w:type="character" w:customStyle="1" w:styleId="EndNoteBibliographyChar">
    <w:name w:val="EndNote Bibliography Char"/>
    <w:basedOn w:val="TableTextChar"/>
    <w:link w:val="EndNoteBibliography"/>
    <w:rsid w:val="001337C4"/>
    <w:rPr>
      <w:rFonts w:ascii="Arial" w:eastAsia="Times New Roman" w:hAnsi="Arial" w:cs="Times New Roman"/>
      <w:noProof/>
      <w:sz w:val="18"/>
      <w:szCs w:val="20"/>
    </w:rPr>
  </w:style>
  <w:style w:type="character" w:customStyle="1" w:styleId="ParagraphNoIndentChar">
    <w:name w:val="ParagraphNoIndent Char"/>
    <w:basedOn w:val="DefaultParagraphFont"/>
    <w:link w:val="ParagraphNoIndent"/>
    <w:locked/>
    <w:rsid w:val="00A123EF"/>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4866">
      <w:bodyDiv w:val="1"/>
      <w:marLeft w:val="0"/>
      <w:marRight w:val="0"/>
      <w:marTop w:val="0"/>
      <w:marBottom w:val="0"/>
      <w:divBdr>
        <w:top w:val="none" w:sz="0" w:space="0" w:color="auto"/>
        <w:left w:val="none" w:sz="0" w:space="0" w:color="auto"/>
        <w:bottom w:val="none" w:sz="0" w:space="0" w:color="auto"/>
        <w:right w:val="none" w:sz="0" w:space="0" w:color="auto"/>
      </w:divBdr>
    </w:div>
    <w:div w:id="262106937">
      <w:bodyDiv w:val="1"/>
      <w:marLeft w:val="0"/>
      <w:marRight w:val="0"/>
      <w:marTop w:val="0"/>
      <w:marBottom w:val="0"/>
      <w:divBdr>
        <w:top w:val="none" w:sz="0" w:space="0" w:color="auto"/>
        <w:left w:val="none" w:sz="0" w:space="0" w:color="auto"/>
        <w:bottom w:val="none" w:sz="0" w:space="0" w:color="auto"/>
        <w:right w:val="none" w:sz="0" w:space="0" w:color="auto"/>
      </w:divBdr>
    </w:div>
    <w:div w:id="471483484">
      <w:bodyDiv w:val="1"/>
      <w:marLeft w:val="0"/>
      <w:marRight w:val="0"/>
      <w:marTop w:val="0"/>
      <w:marBottom w:val="0"/>
      <w:divBdr>
        <w:top w:val="none" w:sz="0" w:space="0" w:color="auto"/>
        <w:left w:val="none" w:sz="0" w:space="0" w:color="auto"/>
        <w:bottom w:val="none" w:sz="0" w:space="0" w:color="auto"/>
        <w:right w:val="none" w:sz="0" w:space="0" w:color="auto"/>
      </w:divBdr>
    </w:div>
    <w:div w:id="712119850">
      <w:bodyDiv w:val="1"/>
      <w:marLeft w:val="0"/>
      <w:marRight w:val="0"/>
      <w:marTop w:val="0"/>
      <w:marBottom w:val="0"/>
      <w:divBdr>
        <w:top w:val="none" w:sz="0" w:space="0" w:color="auto"/>
        <w:left w:val="none" w:sz="0" w:space="0" w:color="auto"/>
        <w:bottom w:val="none" w:sz="0" w:space="0" w:color="auto"/>
        <w:right w:val="none" w:sz="0" w:space="0" w:color="auto"/>
      </w:divBdr>
    </w:div>
    <w:div w:id="748234825">
      <w:bodyDiv w:val="1"/>
      <w:marLeft w:val="0"/>
      <w:marRight w:val="0"/>
      <w:marTop w:val="0"/>
      <w:marBottom w:val="0"/>
      <w:divBdr>
        <w:top w:val="none" w:sz="0" w:space="0" w:color="auto"/>
        <w:left w:val="none" w:sz="0" w:space="0" w:color="auto"/>
        <w:bottom w:val="none" w:sz="0" w:space="0" w:color="auto"/>
        <w:right w:val="none" w:sz="0" w:space="0" w:color="auto"/>
      </w:divBdr>
    </w:div>
    <w:div w:id="814175864">
      <w:bodyDiv w:val="1"/>
      <w:marLeft w:val="0"/>
      <w:marRight w:val="0"/>
      <w:marTop w:val="0"/>
      <w:marBottom w:val="0"/>
      <w:divBdr>
        <w:top w:val="none" w:sz="0" w:space="0" w:color="auto"/>
        <w:left w:val="none" w:sz="0" w:space="0" w:color="auto"/>
        <w:bottom w:val="none" w:sz="0" w:space="0" w:color="auto"/>
        <w:right w:val="none" w:sz="0" w:space="0" w:color="auto"/>
      </w:divBdr>
    </w:div>
    <w:div w:id="870992983">
      <w:bodyDiv w:val="1"/>
      <w:marLeft w:val="0"/>
      <w:marRight w:val="0"/>
      <w:marTop w:val="0"/>
      <w:marBottom w:val="0"/>
      <w:divBdr>
        <w:top w:val="none" w:sz="0" w:space="0" w:color="auto"/>
        <w:left w:val="none" w:sz="0" w:space="0" w:color="auto"/>
        <w:bottom w:val="none" w:sz="0" w:space="0" w:color="auto"/>
        <w:right w:val="none" w:sz="0" w:space="0" w:color="auto"/>
      </w:divBdr>
    </w:div>
    <w:div w:id="957031012">
      <w:bodyDiv w:val="1"/>
      <w:marLeft w:val="0"/>
      <w:marRight w:val="0"/>
      <w:marTop w:val="0"/>
      <w:marBottom w:val="0"/>
      <w:divBdr>
        <w:top w:val="none" w:sz="0" w:space="0" w:color="auto"/>
        <w:left w:val="none" w:sz="0" w:space="0" w:color="auto"/>
        <w:bottom w:val="none" w:sz="0" w:space="0" w:color="auto"/>
        <w:right w:val="none" w:sz="0" w:space="0" w:color="auto"/>
      </w:divBdr>
    </w:div>
    <w:div w:id="1020159376">
      <w:bodyDiv w:val="1"/>
      <w:marLeft w:val="0"/>
      <w:marRight w:val="0"/>
      <w:marTop w:val="0"/>
      <w:marBottom w:val="0"/>
      <w:divBdr>
        <w:top w:val="none" w:sz="0" w:space="0" w:color="auto"/>
        <w:left w:val="none" w:sz="0" w:space="0" w:color="auto"/>
        <w:bottom w:val="none" w:sz="0" w:space="0" w:color="auto"/>
        <w:right w:val="none" w:sz="0" w:space="0" w:color="auto"/>
      </w:divBdr>
      <w:divsChild>
        <w:div w:id="1253465880">
          <w:marLeft w:val="0"/>
          <w:marRight w:val="0"/>
          <w:marTop w:val="0"/>
          <w:marBottom w:val="0"/>
          <w:divBdr>
            <w:top w:val="none" w:sz="0" w:space="0" w:color="auto"/>
            <w:left w:val="none" w:sz="0" w:space="0" w:color="auto"/>
            <w:bottom w:val="none" w:sz="0" w:space="0" w:color="auto"/>
            <w:right w:val="none" w:sz="0" w:space="0" w:color="auto"/>
          </w:divBdr>
          <w:divsChild>
            <w:div w:id="714431546">
              <w:marLeft w:val="0"/>
              <w:marRight w:val="0"/>
              <w:marTop w:val="0"/>
              <w:marBottom w:val="0"/>
              <w:divBdr>
                <w:top w:val="none" w:sz="0" w:space="0" w:color="auto"/>
                <w:left w:val="none" w:sz="0" w:space="0" w:color="auto"/>
                <w:bottom w:val="none" w:sz="0" w:space="0" w:color="auto"/>
                <w:right w:val="none" w:sz="0" w:space="0" w:color="auto"/>
              </w:divBdr>
              <w:divsChild>
                <w:div w:id="1595015349">
                  <w:marLeft w:val="-225"/>
                  <w:marRight w:val="270"/>
                  <w:marTop w:val="0"/>
                  <w:marBottom w:val="0"/>
                  <w:divBdr>
                    <w:top w:val="none" w:sz="0" w:space="0" w:color="auto"/>
                    <w:left w:val="none" w:sz="0" w:space="0" w:color="auto"/>
                    <w:bottom w:val="none" w:sz="0" w:space="0" w:color="auto"/>
                    <w:right w:val="none" w:sz="0" w:space="0" w:color="auto"/>
                  </w:divBdr>
                  <w:divsChild>
                    <w:div w:id="1682899610">
                      <w:marLeft w:val="0"/>
                      <w:marRight w:val="0"/>
                      <w:marTop w:val="0"/>
                      <w:marBottom w:val="0"/>
                      <w:divBdr>
                        <w:top w:val="none" w:sz="0" w:space="0" w:color="auto"/>
                        <w:left w:val="none" w:sz="0" w:space="0" w:color="auto"/>
                        <w:bottom w:val="none" w:sz="0" w:space="0" w:color="auto"/>
                        <w:right w:val="none" w:sz="0" w:space="0" w:color="auto"/>
                      </w:divBdr>
                      <w:divsChild>
                        <w:div w:id="1694842777">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770959">
      <w:bodyDiv w:val="1"/>
      <w:marLeft w:val="0"/>
      <w:marRight w:val="0"/>
      <w:marTop w:val="0"/>
      <w:marBottom w:val="0"/>
      <w:divBdr>
        <w:top w:val="none" w:sz="0" w:space="0" w:color="auto"/>
        <w:left w:val="none" w:sz="0" w:space="0" w:color="auto"/>
        <w:bottom w:val="none" w:sz="0" w:space="0" w:color="auto"/>
        <w:right w:val="none" w:sz="0" w:space="0" w:color="auto"/>
      </w:divBdr>
    </w:div>
    <w:div w:id="1437021093">
      <w:bodyDiv w:val="1"/>
      <w:marLeft w:val="0"/>
      <w:marRight w:val="0"/>
      <w:marTop w:val="0"/>
      <w:marBottom w:val="0"/>
      <w:divBdr>
        <w:top w:val="none" w:sz="0" w:space="0" w:color="auto"/>
        <w:left w:val="none" w:sz="0" w:space="0" w:color="auto"/>
        <w:bottom w:val="none" w:sz="0" w:space="0" w:color="auto"/>
        <w:right w:val="none" w:sz="0" w:space="0" w:color="auto"/>
      </w:divBdr>
      <w:divsChild>
        <w:div w:id="1663312223">
          <w:marLeft w:val="0"/>
          <w:marRight w:val="1"/>
          <w:marTop w:val="0"/>
          <w:marBottom w:val="0"/>
          <w:divBdr>
            <w:top w:val="none" w:sz="0" w:space="0" w:color="auto"/>
            <w:left w:val="none" w:sz="0" w:space="0" w:color="auto"/>
            <w:bottom w:val="none" w:sz="0" w:space="0" w:color="auto"/>
            <w:right w:val="none" w:sz="0" w:space="0" w:color="auto"/>
          </w:divBdr>
          <w:divsChild>
            <w:div w:id="1752777382">
              <w:marLeft w:val="0"/>
              <w:marRight w:val="0"/>
              <w:marTop w:val="0"/>
              <w:marBottom w:val="0"/>
              <w:divBdr>
                <w:top w:val="none" w:sz="0" w:space="0" w:color="auto"/>
                <w:left w:val="none" w:sz="0" w:space="0" w:color="auto"/>
                <w:bottom w:val="none" w:sz="0" w:space="0" w:color="auto"/>
                <w:right w:val="none" w:sz="0" w:space="0" w:color="auto"/>
              </w:divBdr>
              <w:divsChild>
                <w:div w:id="1989355379">
                  <w:marLeft w:val="0"/>
                  <w:marRight w:val="1"/>
                  <w:marTop w:val="0"/>
                  <w:marBottom w:val="0"/>
                  <w:divBdr>
                    <w:top w:val="none" w:sz="0" w:space="0" w:color="auto"/>
                    <w:left w:val="none" w:sz="0" w:space="0" w:color="auto"/>
                    <w:bottom w:val="none" w:sz="0" w:space="0" w:color="auto"/>
                    <w:right w:val="none" w:sz="0" w:space="0" w:color="auto"/>
                  </w:divBdr>
                  <w:divsChild>
                    <w:div w:id="632291928">
                      <w:marLeft w:val="0"/>
                      <w:marRight w:val="0"/>
                      <w:marTop w:val="0"/>
                      <w:marBottom w:val="0"/>
                      <w:divBdr>
                        <w:top w:val="none" w:sz="0" w:space="0" w:color="auto"/>
                        <w:left w:val="none" w:sz="0" w:space="0" w:color="auto"/>
                        <w:bottom w:val="none" w:sz="0" w:space="0" w:color="auto"/>
                        <w:right w:val="none" w:sz="0" w:space="0" w:color="auto"/>
                      </w:divBdr>
                      <w:divsChild>
                        <w:div w:id="287519231">
                          <w:marLeft w:val="0"/>
                          <w:marRight w:val="0"/>
                          <w:marTop w:val="0"/>
                          <w:marBottom w:val="0"/>
                          <w:divBdr>
                            <w:top w:val="none" w:sz="0" w:space="0" w:color="auto"/>
                            <w:left w:val="none" w:sz="0" w:space="0" w:color="auto"/>
                            <w:bottom w:val="none" w:sz="0" w:space="0" w:color="auto"/>
                            <w:right w:val="none" w:sz="0" w:space="0" w:color="auto"/>
                          </w:divBdr>
                          <w:divsChild>
                            <w:div w:id="1746144197">
                              <w:marLeft w:val="0"/>
                              <w:marRight w:val="0"/>
                              <w:marTop w:val="120"/>
                              <w:marBottom w:val="360"/>
                              <w:divBdr>
                                <w:top w:val="none" w:sz="0" w:space="0" w:color="auto"/>
                                <w:left w:val="none" w:sz="0" w:space="0" w:color="auto"/>
                                <w:bottom w:val="none" w:sz="0" w:space="0" w:color="auto"/>
                                <w:right w:val="none" w:sz="0" w:space="0" w:color="auto"/>
                              </w:divBdr>
                              <w:divsChild>
                                <w:div w:id="565649289">
                                  <w:marLeft w:val="0"/>
                                  <w:marRight w:val="0"/>
                                  <w:marTop w:val="0"/>
                                  <w:marBottom w:val="0"/>
                                  <w:divBdr>
                                    <w:top w:val="none" w:sz="0" w:space="0" w:color="auto"/>
                                    <w:left w:val="none" w:sz="0" w:space="0" w:color="auto"/>
                                    <w:bottom w:val="none" w:sz="0" w:space="0" w:color="auto"/>
                                    <w:right w:val="none" w:sz="0" w:space="0" w:color="auto"/>
                                  </w:divBdr>
                                  <w:divsChild>
                                    <w:div w:id="185349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78445">
      <w:bodyDiv w:val="1"/>
      <w:marLeft w:val="0"/>
      <w:marRight w:val="0"/>
      <w:marTop w:val="0"/>
      <w:marBottom w:val="0"/>
      <w:divBdr>
        <w:top w:val="none" w:sz="0" w:space="0" w:color="auto"/>
        <w:left w:val="none" w:sz="0" w:space="0" w:color="auto"/>
        <w:bottom w:val="none" w:sz="0" w:space="0" w:color="auto"/>
        <w:right w:val="none" w:sz="0" w:space="0" w:color="auto"/>
      </w:divBdr>
      <w:divsChild>
        <w:div w:id="867721235">
          <w:marLeft w:val="0"/>
          <w:marRight w:val="1"/>
          <w:marTop w:val="0"/>
          <w:marBottom w:val="0"/>
          <w:divBdr>
            <w:top w:val="none" w:sz="0" w:space="0" w:color="auto"/>
            <w:left w:val="none" w:sz="0" w:space="0" w:color="auto"/>
            <w:bottom w:val="none" w:sz="0" w:space="0" w:color="auto"/>
            <w:right w:val="none" w:sz="0" w:space="0" w:color="auto"/>
          </w:divBdr>
          <w:divsChild>
            <w:div w:id="2110544437">
              <w:marLeft w:val="0"/>
              <w:marRight w:val="0"/>
              <w:marTop w:val="0"/>
              <w:marBottom w:val="0"/>
              <w:divBdr>
                <w:top w:val="none" w:sz="0" w:space="0" w:color="auto"/>
                <w:left w:val="none" w:sz="0" w:space="0" w:color="auto"/>
                <w:bottom w:val="none" w:sz="0" w:space="0" w:color="auto"/>
                <w:right w:val="none" w:sz="0" w:space="0" w:color="auto"/>
              </w:divBdr>
              <w:divsChild>
                <w:div w:id="904678672">
                  <w:marLeft w:val="0"/>
                  <w:marRight w:val="1"/>
                  <w:marTop w:val="0"/>
                  <w:marBottom w:val="0"/>
                  <w:divBdr>
                    <w:top w:val="none" w:sz="0" w:space="0" w:color="auto"/>
                    <w:left w:val="none" w:sz="0" w:space="0" w:color="auto"/>
                    <w:bottom w:val="none" w:sz="0" w:space="0" w:color="auto"/>
                    <w:right w:val="none" w:sz="0" w:space="0" w:color="auto"/>
                  </w:divBdr>
                  <w:divsChild>
                    <w:div w:id="1932008501">
                      <w:marLeft w:val="0"/>
                      <w:marRight w:val="0"/>
                      <w:marTop w:val="0"/>
                      <w:marBottom w:val="0"/>
                      <w:divBdr>
                        <w:top w:val="none" w:sz="0" w:space="0" w:color="auto"/>
                        <w:left w:val="none" w:sz="0" w:space="0" w:color="auto"/>
                        <w:bottom w:val="none" w:sz="0" w:space="0" w:color="auto"/>
                        <w:right w:val="none" w:sz="0" w:space="0" w:color="auto"/>
                      </w:divBdr>
                      <w:divsChild>
                        <w:div w:id="441343903">
                          <w:marLeft w:val="0"/>
                          <w:marRight w:val="0"/>
                          <w:marTop w:val="0"/>
                          <w:marBottom w:val="0"/>
                          <w:divBdr>
                            <w:top w:val="none" w:sz="0" w:space="0" w:color="auto"/>
                            <w:left w:val="none" w:sz="0" w:space="0" w:color="auto"/>
                            <w:bottom w:val="none" w:sz="0" w:space="0" w:color="auto"/>
                            <w:right w:val="none" w:sz="0" w:space="0" w:color="auto"/>
                          </w:divBdr>
                          <w:divsChild>
                            <w:div w:id="2142452474">
                              <w:marLeft w:val="0"/>
                              <w:marRight w:val="0"/>
                              <w:marTop w:val="120"/>
                              <w:marBottom w:val="360"/>
                              <w:divBdr>
                                <w:top w:val="none" w:sz="0" w:space="0" w:color="auto"/>
                                <w:left w:val="none" w:sz="0" w:space="0" w:color="auto"/>
                                <w:bottom w:val="none" w:sz="0" w:space="0" w:color="auto"/>
                                <w:right w:val="none" w:sz="0" w:space="0" w:color="auto"/>
                              </w:divBdr>
                              <w:divsChild>
                                <w:div w:id="583681779">
                                  <w:marLeft w:val="420"/>
                                  <w:marRight w:val="0"/>
                                  <w:marTop w:val="0"/>
                                  <w:marBottom w:val="0"/>
                                  <w:divBdr>
                                    <w:top w:val="none" w:sz="0" w:space="0" w:color="auto"/>
                                    <w:left w:val="none" w:sz="0" w:space="0" w:color="auto"/>
                                    <w:bottom w:val="none" w:sz="0" w:space="0" w:color="auto"/>
                                    <w:right w:val="none" w:sz="0" w:space="0" w:color="auto"/>
                                  </w:divBdr>
                                  <w:divsChild>
                                    <w:div w:id="1882396050">
                                      <w:marLeft w:val="0"/>
                                      <w:marRight w:val="0"/>
                                      <w:marTop w:val="0"/>
                                      <w:marBottom w:val="0"/>
                                      <w:divBdr>
                                        <w:top w:val="none" w:sz="0" w:space="0" w:color="auto"/>
                                        <w:left w:val="none" w:sz="0" w:space="0" w:color="auto"/>
                                        <w:bottom w:val="none" w:sz="0" w:space="0" w:color="auto"/>
                                        <w:right w:val="none" w:sz="0" w:space="0" w:color="auto"/>
                                      </w:divBdr>
                                      <w:divsChild>
                                        <w:div w:id="1616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745612">
      <w:bodyDiv w:val="1"/>
      <w:marLeft w:val="0"/>
      <w:marRight w:val="0"/>
      <w:marTop w:val="0"/>
      <w:marBottom w:val="0"/>
      <w:divBdr>
        <w:top w:val="none" w:sz="0" w:space="0" w:color="auto"/>
        <w:left w:val="none" w:sz="0" w:space="0" w:color="auto"/>
        <w:bottom w:val="none" w:sz="0" w:space="0" w:color="auto"/>
        <w:right w:val="none" w:sz="0" w:space="0" w:color="auto"/>
      </w:divBdr>
    </w:div>
    <w:div w:id="1630435126">
      <w:bodyDiv w:val="1"/>
      <w:marLeft w:val="0"/>
      <w:marRight w:val="0"/>
      <w:marTop w:val="0"/>
      <w:marBottom w:val="0"/>
      <w:divBdr>
        <w:top w:val="none" w:sz="0" w:space="0" w:color="auto"/>
        <w:left w:val="none" w:sz="0" w:space="0" w:color="auto"/>
        <w:bottom w:val="none" w:sz="0" w:space="0" w:color="auto"/>
        <w:right w:val="none" w:sz="0" w:space="0" w:color="auto"/>
      </w:divBdr>
    </w:div>
    <w:div w:id="1636373951">
      <w:bodyDiv w:val="1"/>
      <w:marLeft w:val="0"/>
      <w:marRight w:val="0"/>
      <w:marTop w:val="0"/>
      <w:marBottom w:val="0"/>
      <w:divBdr>
        <w:top w:val="none" w:sz="0" w:space="0" w:color="auto"/>
        <w:left w:val="none" w:sz="0" w:space="0" w:color="auto"/>
        <w:bottom w:val="none" w:sz="0" w:space="0" w:color="auto"/>
        <w:right w:val="none" w:sz="0" w:space="0" w:color="auto"/>
      </w:divBdr>
    </w:div>
    <w:div w:id="1710715144">
      <w:bodyDiv w:val="1"/>
      <w:marLeft w:val="0"/>
      <w:marRight w:val="0"/>
      <w:marTop w:val="0"/>
      <w:marBottom w:val="0"/>
      <w:divBdr>
        <w:top w:val="none" w:sz="0" w:space="0" w:color="auto"/>
        <w:left w:val="none" w:sz="0" w:space="0" w:color="auto"/>
        <w:bottom w:val="none" w:sz="0" w:space="0" w:color="auto"/>
        <w:right w:val="none" w:sz="0" w:space="0" w:color="auto"/>
      </w:divBdr>
    </w:div>
    <w:div w:id="1711343464">
      <w:bodyDiv w:val="1"/>
      <w:marLeft w:val="0"/>
      <w:marRight w:val="0"/>
      <w:marTop w:val="0"/>
      <w:marBottom w:val="0"/>
      <w:divBdr>
        <w:top w:val="none" w:sz="0" w:space="0" w:color="auto"/>
        <w:left w:val="none" w:sz="0" w:space="0" w:color="auto"/>
        <w:bottom w:val="none" w:sz="0" w:space="0" w:color="auto"/>
        <w:right w:val="none" w:sz="0" w:space="0" w:color="auto"/>
      </w:divBdr>
      <w:divsChild>
        <w:div w:id="46338509">
          <w:marLeft w:val="0"/>
          <w:marRight w:val="1"/>
          <w:marTop w:val="0"/>
          <w:marBottom w:val="0"/>
          <w:divBdr>
            <w:top w:val="none" w:sz="0" w:space="0" w:color="auto"/>
            <w:left w:val="none" w:sz="0" w:space="0" w:color="auto"/>
            <w:bottom w:val="none" w:sz="0" w:space="0" w:color="auto"/>
            <w:right w:val="none" w:sz="0" w:space="0" w:color="auto"/>
          </w:divBdr>
          <w:divsChild>
            <w:div w:id="991368200">
              <w:marLeft w:val="0"/>
              <w:marRight w:val="0"/>
              <w:marTop w:val="0"/>
              <w:marBottom w:val="0"/>
              <w:divBdr>
                <w:top w:val="none" w:sz="0" w:space="0" w:color="auto"/>
                <w:left w:val="none" w:sz="0" w:space="0" w:color="auto"/>
                <w:bottom w:val="none" w:sz="0" w:space="0" w:color="auto"/>
                <w:right w:val="none" w:sz="0" w:space="0" w:color="auto"/>
              </w:divBdr>
              <w:divsChild>
                <w:div w:id="136991871">
                  <w:marLeft w:val="0"/>
                  <w:marRight w:val="1"/>
                  <w:marTop w:val="0"/>
                  <w:marBottom w:val="0"/>
                  <w:divBdr>
                    <w:top w:val="none" w:sz="0" w:space="0" w:color="auto"/>
                    <w:left w:val="none" w:sz="0" w:space="0" w:color="auto"/>
                    <w:bottom w:val="none" w:sz="0" w:space="0" w:color="auto"/>
                    <w:right w:val="none" w:sz="0" w:space="0" w:color="auto"/>
                  </w:divBdr>
                  <w:divsChild>
                    <w:div w:id="1753240178">
                      <w:marLeft w:val="0"/>
                      <w:marRight w:val="0"/>
                      <w:marTop w:val="0"/>
                      <w:marBottom w:val="0"/>
                      <w:divBdr>
                        <w:top w:val="none" w:sz="0" w:space="0" w:color="auto"/>
                        <w:left w:val="none" w:sz="0" w:space="0" w:color="auto"/>
                        <w:bottom w:val="none" w:sz="0" w:space="0" w:color="auto"/>
                        <w:right w:val="none" w:sz="0" w:space="0" w:color="auto"/>
                      </w:divBdr>
                      <w:divsChild>
                        <w:div w:id="450518255">
                          <w:marLeft w:val="0"/>
                          <w:marRight w:val="0"/>
                          <w:marTop w:val="0"/>
                          <w:marBottom w:val="0"/>
                          <w:divBdr>
                            <w:top w:val="none" w:sz="0" w:space="0" w:color="auto"/>
                            <w:left w:val="none" w:sz="0" w:space="0" w:color="auto"/>
                            <w:bottom w:val="none" w:sz="0" w:space="0" w:color="auto"/>
                            <w:right w:val="none" w:sz="0" w:space="0" w:color="auto"/>
                          </w:divBdr>
                          <w:divsChild>
                            <w:div w:id="603348292">
                              <w:marLeft w:val="0"/>
                              <w:marRight w:val="0"/>
                              <w:marTop w:val="120"/>
                              <w:marBottom w:val="360"/>
                              <w:divBdr>
                                <w:top w:val="none" w:sz="0" w:space="0" w:color="auto"/>
                                <w:left w:val="none" w:sz="0" w:space="0" w:color="auto"/>
                                <w:bottom w:val="none" w:sz="0" w:space="0" w:color="auto"/>
                                <w:right w:val="none" w:sz="0" w:space="0" w:color="auto"/>
                              </w:divBdr>
                              <w:divsChild>
                                <w:div w:id="775952490">
                                  <w:marLeft w:val="420"/>
                                  <w:marRight w:val="0"/>
                                  <w:marTop w:val="0"/>
                                  <w:marBottom w:val="0"/>
                                  <w:divBdr>
                                    <w:top w:val="none" w:sz="0" w:space="0" w:color="auto"/>
                                    <w:left w:val="none" w:sz="0" w:space="0" w:color="auto"/>
                                    <w:bottom w:val="none" w:sz="0" w:space="0" w:color="auto"/>
                                    <w:right w:val="none" w:sz="0" w:space="0" w:color="auto"/>
                                  </w:divBdr>
                                  <w:divsChild>
                                    <w:div w:id="1839686354">
                                      <w:marLeft w:val="0"/>
                                      <w:marRight w:val="0"/>
                                      <w:marTop w:val="0"/>
                                      <w:marBottom w:val="0"/>
                                      <w:divBdr>
                                        <w:top w:val="none" w:sz="0" w:space="0" w:color="auto"/>
                                        <w:left w:val="none" w:sz="0" w:space="0" w:color="auto"/>
                                        <w:bottom w:val="none" w:sz="0" w:space="0" w:color="auto"/>
                                        <w:right w:val="none" w:sz="0" w:space="0" w:color="auto"/>
                                      </w:divBdr>
                                      <w:divsChild>
                                        <w:div w:id="6777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6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144E-F8E2-4416-9DAB-5BD0D318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5593</Words>
  <Characters>31881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SCMorton</dc:creator>
  <cp:lastModifiedBy>Swapnaja Chaynakhawa</cp:lastModifiedBy>
  <cp:revision>3</cp:revision>
  <cp:lastPrinted>2014-09-23T18:28:00Z</cp:lastPrinted>
  <dcterms:created xsi:type="dcterms:W3CDTF">2014-09-25T13:48:00Z</dcterms:created>
  <dcterms:modified xsi:type="dcterms:W3CDTF">2014-10-28T11:01:00Z</dcterms:modified>
</cp:coreProperties>
</file>