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1440"/>
        <w:gridCol w:w="1170"/>
        <w:gridCol w:w="1170"/>
        <w:gridCol w:w="1040"/>
        <w:gridCol w:w="940"/>
        <w:gridCol w:w="1174"/>
        <w:gridCol w:w="1027"/>
        <w:gridCol w:w="1309"/>
        <w:gridCol w:w="1440"/>
        <w:gridCol w:w="1620"/>
        <w:gridCol w:w="810"/>
      </w:tblGrid>
      <w:tr w:rsidR="00FB60DE" w:rsidRPr="00FB60DE" w:rsidTr="00FB60DE">
        <w:trPr>
          <w:trHeight w:val="980"/>
        </w:trPr>
        <w:tc>
          <w:tcPr>
            <w:tcW w:w="900" w:type="dxa"/>
            <w:shd w:val="clear" w:color="auto" w:fill="D9D9D9" w:themeFill="background1" w:themeFillShade="D9"/>
            <w:vAlign w:val="bottom"/>
            <w:hideMark/>
          </w:tcPr>
          <w:p w:rsidR="00FB60DE" w:rsidRPr="00FB60DE" w:rsidRDefault="00FB60DE" w:rsidP="00FB60DE">
            <w:pP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Study, year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  <w:hideMark/>
          </w:tcPr>
          <w:p w:rsidR="00FB60DE" w:rsidRPr="00FB60DE" w:rsidRDefault="00FB60DE" w:rsidP="00FB60DE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Representative spectrum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  <w:hideMark/>
          </w:tcPr>
          <w:p w:rsidR="00FB60DE" w:rsidRPr="00FB60DE" w:rsidRDefault="00FB60DE" w:rsidP="00FB60DE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Random or consecutive sample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  <w:hideMark/>
          </w:tcPr>
          <w:p w:rsidR="00FB60DE" w:rsidRPr="00FB60DE" w:rsidRDefault="00FB60DE" w:rsidP="00FB60DE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Screening test adequately described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bottom"/>
            <w:hideMark/>
          </w:tcPr>
          <w:p w:rsidR="00FB60DE" w:rsidRPr="00FB60DE" w:rsidRDefault="00FB60DE" w:rsidP="00FB60DE">
            <w:pPr>
              <w:ind w:left="-108" w:right="-58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Screening cutoffs predefined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bottom"/>
            <w:hideMark/>
          </w:tcPr>
          <w:p w:rsidR="00FB60DE" w:rsidRPr="00FB60DE" w:rsidRDefault="00FB60DE" w:rsidP="00FB60DE">
            <w:pPr>
              <w:ind w:left="-68" w:right="-108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Credible reference standard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bottom"/>
            <w:hideMark/>
          </w:tcPr>
          <w:p w:rsidR="00FB60DE" w:rsidRPr="00FB60DE" w:rsidRDefault="00FB60DE" w:rsidP="00FB60DE">
            <w:pPr>
              <w:ind w:left="-108" w:right="-104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Reference standard applied to all screened patients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bottom"/>
            <w:hideMark/>
          </w:tcPr>
          <w:p w:rsidR="00FB60DE" w:rsidRPr="00FB60DE" w:rsidRDefault="00FB60DE" w:rsidP="00FB60DE">
            <w:pPr>
              <w:ind w:left="-112" w:right="-157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Same reference standard applied to all patients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bottom"/>
            <w:hideMark/>
          </w:tcPr>
          <w:p w:rsidR="00FB60DE" w:rsidRPr="00FB60DE" w:rsidRDefault="00FB60DE" w:rsidP="00FB60DE">
            <w:pPr>
              <w:ind w:left="-59" w:right="-7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Reference standard and screening examination interpreted independently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  <w:hideMark/>
          </w:tcPr>
          <w:p w:rsidR="00FB60DE" w:rsidRPr="00FB60DE" w:rsidRDefault="00FB60DE" w:rsidP="00FB60DE">
            <w:pPr>
              <w:ind w:left="-108" w:right="-123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High rate of uninterpretable results or noncompliance with screening test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  <w:hideMark/>
          </w:tcPr>
          <w:p w:rsidR="00FB60DE" w:rsidRPr="00FB60DE" w:rsidRDefault="00FB60DE" w:rsidP="00FB60DE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Analysis includes patients with uninterpretable results or noncompliance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  <w:hideMark/>
          </w:tcPr>
          <w:p w:rsidR="00FB60DE" w:rsidRPr="00FB60DE" w:rsidRDefault="00FB60DE" w:rsidP="00FB60DE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Quality rating</w:t>
            </w:r>
          </w:p>
        </w:tc>
      </w:tr>
      <w:tr w:rsidR="00FB60DE" w:rsidRPr="00FB60DE" w:rsidTr="00FB60DE">
        <w:trPr>
          <w:trHeight w:val="458"/>
        </w:trPr>
        <w:tc>
          <w:tcPr>
            <w:tcW w:w="900" w:type="dxa"/>
            <w:shd w:val="clear" w:color="auto" w:fill="auto"/>
            <w:hideMark/>
          </w:tcPr>
          <w:p w:rsidR="00FB60DE" w:rsidRPr="00FB60DE" w:rsidRDefault="00FB60DE" w:rsidP="00FB60DE">
            <w:pPr>
              <w:ind w:right="-108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color w:val="000000"/>
                <w:sz w:val="18"/>
                <w:szCs w:val="18"/>
              </w:rPr>
              <w:t>Fixler and Laird, 1983</w:t>
            </w:r>
            <w:r w:rsidRPr="00FB60DE">
              <w:rPr>
                <w:rFonts w:ascii="Arial" w:eastAsia="Times New Roman" w:hAnsi="Arial"/>
                <w:color w:val="000000"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1440" w:type="dxa"/>
            <w:shd w:val="clear" w:color="auto" w:fill="auto"/>
            <w:hideMark/>
          </w:tcPr>
          <w:p w:rsidR="00FB60DE" w:rsidRPr="00FB60DE" w:rsidRDefault="00FB60DE" w:rsidP="00FB60DE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  <w:hideMark/>
          </w:tcPr>
          <w:p w:rsidR="00FB60DE" w:rsidRPr="00FB60DE" w:rsidRDefault="00FB60DE" w:rsidP="00FB60DE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  <w:hideMark/>
          </w:tcPr>
          <w:p w:rsidR="00FB60DE" w:rsidRPr="00FB60DE" w:rsidRDefault="00FB60DE" w:rsidP="00FB60DE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40" w:type="dxa"/>
            <w:shd w:val="clear" w:color="auto" w:fill="auto"/>
            <w:hideMark/>
          </w:tcPr>
          <w:p w:rsidR="00FB60DE" w:rsidRPr="00FB60DE" w:rsidRDefault="00FB60DE" w:rsidP="00FB60DE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40" w:type="dxa"/>
            <w:shd w:val="clear" w:color="auto" w:fill="auto"/>
            <w:hideMark/>
          </w:tcPr>
          <w:p w:rsidR="00FB60DE" w:rsidRPr="00FB60DE" w:rsidRDefault="00FB60DE" w:rsidP="00FB60DE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74" w:type="dxa"/>
            <w:shd w:val="clear" w:color="auto" w:fill="auto"/>
            <w:hideMark/>
          </w:tcPr>
          <w:p w:rsidR="00FB60DE" w:rsidRPr="00FB60DE" w:rsidRDefault="00FB60DE" w:rsidP="00FB60DE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27" w:type="dxa"/>
            <w:shd w:val="clear" w:color="auto" w:fill="auto"/>
            <w:hideMark/>
          </w:tcPr>
          <w:p w:rsidR="00FB60DE" w:rsidRPr="00FB60DE" w:rsidRDefault="00FB60DE" w:rsidP="00FB60DE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09" w:type="dxa"/>
            <w:shd w:val="clear" w:color="auto" w:fill="auto"/>
            <w:hideMark/>
          </w:tcPr>
          <w:p w:rsidR="00FB60DE" w:rsidRPr="00FB60DE" w:rsidRDefault="00FB60DE" w:rsidP="00FB60DE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  <w:shd w:val="clear" w:color="auto" w:fill="auto"/>
            <w:hideMark/>
          </w:tcPr>
          <w:p w:rsidR="00FB60DE" w:rsidRPr="00FB60DE" w:rsidRDefault="00FB60DE" w:rsidP="00FB60DE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620" w:type="dxa"/>
            <w:shd w:val="clear" w:color="auto" w:fill="auto"/>
            <w:hideMark/>
          </w:tcPr>
          <w:p w:rsidR="00FB60DE" w:rsidRPr="00FB60DE" w:rsidRDefault="00FB60DE" w:rsidP="00FB60DE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10" w:type="dxa"/>
            <w:shd w:val="clear" w:color="auto" w:fill="auto"/>
            <w:hideMark/>
          </w:tcPr>
          <w:p w:rsidR="00FB60DE" w:rsidRPr="00FB60DE" w:rsidRDefault="00FB60DE" w:rsidP="00FB60DE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color w:val="000000"/>
                <w:sz w:val="18"/>
                <w:szCs w:val="18"/>
              </w:rPr>
              <w:t>Fair</w:t>
            </w:r>
          </w:p>
        </w:tc>
      </w:tr>
      <w:tr w:rsidR="00FB60DE" w:rsidRPr="00FB60DE" w:rsidTr="00FB60DE">
        <w:trPr>
          <w:trHeight w:val="530"/>
        </w:trPr>
        <w:tc>
          <w:tcPr>
            <w:tcW w:w="900" w:type="dxa"/>
            <w:shd w:val="clear" w:color="auto" w:fill="auto"/>
            <w:hideMark/>
          </w:tcPr>
          <w:p w:rsidR="00FB60DE" w:rsidRPr="00FB60DE" w:rsidRDefault="00FB60DE" w:rsidP="00FB60DE">
            <w:pPr>
              <w:ind w:right="-108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color w:val="000000"/>
                <w:sz w:val="18"/>
                <w:szCs w:val="18"/>
              </w:rPr>
              <w:t>Stergiou et al, 2008</w:t>
            </w:r>
            <w:r w:rsidRPr="00FB60DE">
              <w:rPr>
                <w:rFonts w:ascii="Arial" w:eastAsia="Times New Roman" w:hAnsi="Arial"/>
                <w:color w:val="000000"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1440" w:type="dxa"/>
            <w:shd w:val="clear" w:color="auto" w:fill="auto"/>
            <w:hideMark/>
          </w:tcPr>
          <w:p w:rsidR="00FB60DE" w:rsidRPr="00FB60DE" w:rsidRDefault="00FB60DE" w:rsidP="00FB60DE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auto"/>
            <w:hideMark/>
          </w:tcPr>
          <w:p w:rsidR="00FB60DE" w:rsidRPr="00FB60DE" w:rsidRDefault="00FB60DE" w:rsidP="00FB60DE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auto"/>
            <w:hideMark/>
          </w:tcPr>
          <w:p w:rsidR="00FB60DE" w:rsidRPr="00FB60DE" w:rsidRDefault="00FB60DE" w:rsidP="00FB60DE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40" w:type="dxa"/>
            <w:shd w:val="clear" w:color="auto" w:fill="auto"/>
            <w:hideMark/>
          </w:tcPr>
          <w:p w:rsidR="00FB60DE" w:rsidRPr="00FB60DE" w:rsidRDefault="00FB60DE" w:rsidP="00FB60DE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40" w:type="dxa"/>
            <w:shd w:val="clear" w:color="auto" w:fill="auto"/>
            <w:hideMark/>
          </w:tcPr>
          <w:p w:rsidR="00FB60DE" w:rsidRPr="00FB60DE" w:rsidRDefault="00FB60DE" w:rsidP="00FB60DE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74" w:type="dxa"/>
            <w:shd w:val="clear" w:color="auto" w:fill="auto"/>
            <w:hideMark/>
          </w:tcPr>
          <w:p w:rsidR="00FB60DE" w:rsidRPr="00FB60DE" w:rsidRDefault="00FB60DE" w:rsidP="00FB60DE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27" w:type="dxa"/>
            <w:shd w:val="clear" w:color="auto" w:fill="auto"/>
            <w:hideMark/>
          </w:tcPr>
          <w:p w:rsidR="00FB60DE" w:rsidRPr="00FB60DE" w:rsidRDefault="00FB60DE" w:rsidP="00FB60DE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09" w:type="dxa"/>
            <w:shd w:val="clear" w:color="auto" w:fill="auto"/>
            <w:hideMark/>
          </w:tcPr>
          <w:p w:rsidR="00FB60DE" w:rsidRPr="00FB60DE" w:rsidRDefault="00FB60DE" w:rsidP="00FB60DE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  <w:shd w:val="clear" w:color="auto" w:fill="auto"/>
            <w:hideMark/>
          </w:tcPr>
          <w:p w:rsidR="00FB60DE" w:rsidRPr="00FB60DE" w:rsidRDefault="00FB60DE" w:rsidP="00FB60DE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620" w:type="dxa"/>
            <w:shd w:val="clear" w:color="auto" w:fill="auto"/>
            <w:hideMark/>
          </w:tcPr>
          <w:p w:rsidR="00FB60DE" w:rsidRPr="00FB60DE" w:rsidRDefault="00FB60DE" w:rsidP="00FB60DE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10" w:type="dxa"/>
            <w:shd w:val="clear" w:color="auto" w:fill="auto"/>
            <w:hideMark/>
          </w:tcPr>
          <w:p w:rsidR="00FB60DE" w:rsidRPr="00FB60DE" w:rsidRDefault="00FB60DE" w:rsidP="00FB60DE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FB60DE">
              <w:rPr>
                <w:rFonts w:ascii="Arial" w:eastAsia="Times New Roman" w:hAnsi="Arial"/>
                <w:color w:val="000000"/>
                <w:sz w:val="18"/>
                <w:szCs w:val="18"/>
              </w:rPr>
              <w:t>Fair</w:t>
            </w:r>
          </w:p>
        </w:tc>
      </w:tr>
    </w:tbl>
    <w:p w:rsidR="002B1C8A" w:rsidRDefault="002B1C8A"/>
    <w:sectPr w:rsidR="002B1C8A" w:rsidSect="00FB60DE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0DE" w:rsidRDefault="00FB60DE" w:rsidP="00FB60DE">
      <w:r>
        <w:separator/>
      </w:r>
    </w:p>
  </w:endnote>
  <w:endnote w:type="continuationSeparator" w:id="0">
    <w:p w:rsidR="00FB60DE" w:rsidRDefault="00FB60DE" w:rsidP="00FB6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0DE" w:rsidRDefault="00FB60DE" w:rsidP="00FB60DE">
    <w:pPr>
      <w:pStyle w:val="Footer"/>
      <w:tabs>
        <w:tab w:val="clear" w:pos="4680"/>
        <w:tab w:val="clear" w:pos="9360"/>
        <w:tab w:val="center" w:pos="6480"/>
        <w:tab w:val="right" w:pos="12960"/>
      </w:tabs>
    </w:pPr>
    <w:r w:rsidRPr="00712970">
      <w:rPr>
        <w:rFonts w:ascii="Arial" w:hAnsi="Arial"/>
        <w:sz w:val="16"/>
        <w:szCs w:val="16"/>
      </w:rPr>
      <w:t xml:space="preserve">Screening for Hypertension in Children and </w:t>
    </w:r>
    <w:r w:rsidRPr="008F2BC5">
      <w:rPr>
        <w:rFonts w:ascii="Arial" w:hAnsi="Arial"/>
        <w:sz w:val="16"/>
        <w:szCs w:val="16"/>
      </w:rPr>
      <w:t xml:space="preserve">Adolescents </w:t>
    </w:r>
    <w:r>
      <w:rPr>
        <w:rFonts w:ascii="Arial" w:hAnsi="Arial"/>
        <w:sz w:val="16"/>
        <w:szCs w:val="16"/>
      </w:rPr>
      <w:tab/>
    </w:r>
    <w:r w:rsidRPr="008F2BC5">
      <w:rPr>
        <w:rFonts w:ascii="Arial" w:hAnsi="Arial"/>
        <w:sz w:val="16"/>
        <w:szCs w:val="16"/>
      </w:rPr>
      <w:fldChar w:fldCharType="begin"/>
    </w:r>
    <w:r w:rsidRPr="008F2BC5">
      <w:rPr>
        <w:rFonts w:ascii="Arial" w:hAnsi="Arial"/>
        <w:sz w:val="16"/>
        <w:szCs w:val="16"/>
      </w:rPr>
      <w:instrText xml:space="preserve"> PAGE   \* MERGEFORMAT </w:instrText>
    </w:r>
    <w:r w:rsidRPr="008F2BC5">
      <w:rPr>
        <w:rFonts w:ascii="Arial" w:hAnsi="Arial"/>
        <w:sz w:val="16"/>
        <w:szCs w:val="16"/>
      </w:rPr>
      <w:fldChar w:fldCharType="separate"/>
    </w:r>
    <w:r w:rsidRPr="00FB60DE">
      <w:rPr>
        <w:rFonts w:ascii="Arial" w:hAnsi="Arial" w:cs="Times New Roman"/>
        <w:noProof/>
        <w:sz w:val="16"/>
        <w:szCs w:val="16"/>
      </w:rPr>
      <w:t>115</w:t>
    </w:r>
    <w:r w:rsidRPr="008F2BC5"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ab/>
      <w:t>Oregon Evidence-based Practice Center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0DE" w:rsidRDefault="00FB60DE" w:rsidP="00FB60DE">
      <w:r>
        <w:separator/>
      </w:r>
    </w:p>
  </w:footnote>
  <w:footnote w:type="continuationSeparator" w:id="0">
    <w:p w:rsidR="00FB60DE" w:rsidRDefault="00FB60DE" w:rsidP="00FB6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0DE" w:rsidRPr="00FB60DE" w:rsidRDefault="00FB60DE">
    <w:pPr>
      <w:pStyle w:val="Header"/>
      <w:rPr>
        <w:rFonts w:ascii="Arial" w:hAnsi="Arial"/>
        <w:b/>
        <w:sz w:val="20"/>
        <w:szCs w:val="20"/>
      </w:rPr>
    </w:pPr>
    <w:r w:rsidRPr="00FB60DE">
      <w:rPr>
        <w:rFonts w:ascii="Arial" w:hAnsi="Arial"/>
        <w:b/>
        <w:sz w:val="20"/>
        <w:szCs w:val="20"/>
      </w:rPr>
      <w:t>Appendix B2. Quality Assessment of Diagnostic Accuracy Studies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0DE"/>
    <w:rsid w:val="002B1C8A"/>
    <w:rsid w:val="005F19C7"/>
    <w:rsid w:val="006B6342"/>
    <w:rsid w:val="009317A8"/>
    <w:rsid w:val="00B913AC"/>
    <w:rsid w:val="00CB5C0F"/>
    <w:rsid w:val="00DA0139"/>
    <w:rsid w:val="00E52A71"/>
    <w:rsid w:val="00FB60DE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FB60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60D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B60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60DE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Company>DHHS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1</cp:revision>
  <dcterms:created xsi:type="dcterms:W3CDTF">2013-02-20T21:28:00Z</dcterms:created>
  <dcterms:modified xsi:type="dcterms:W3CDTF">2013-02-20T21:33:00Z</dcterms:modified>
</cp:coreProperties>
</file>