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1240"/>
        <w:gridCol w:w="1913"/>
        <w:gridCol w:w="1847"/>
        <w:gridCol w:w="1340"/>
        <w:gridCol w:w="6353"/>
      </w:tblGrid>
      <w:tr w:rsidR="006E1E3C" w:rsidRPr="006E1E3C" w:rsidTr="00632D28">
        <w:trPr>
          <w:trHeight w:val="170"/>
        </w:trPr>
        <w:tc>
          <w:tcPr>
            <w:tcW w:w="1000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6E1E3C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</w:t>
            </w: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year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6E1E3C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Type of study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632D28">
            <w:pPr>
              <w:ind w:left="-85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Location/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s</w:t>
            </w: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etting/</w:t>
            </w: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h</w:t>
            </w: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igh or low prevalence population (based on 0.1% prevalence rate)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632D28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Study duration/</w:t>
            </w: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="00632D28">
              <w:rPr>
                <w:rFonts w:ascii="Arial" w:eastAsia="Times New Roman" w:hAnsi="Arial"/>
                <w:b/>
                <w:bCs/>
                <w:sz w:val="16"/>
                <w:szCs w:val="16"/>
              </w:rPr>
              <w:t>f</w:t>
            </w: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ollowup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6E1E3C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Comparison groups</w:t>
            </w:r>
          </w:p>
        </w:tc>
        <w:tc>
          <w:tcPr>
            <w:tcW w:w="6353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632D28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Demographics/</w:t>
            </w:r>
            <w:r w:rsidR="00632D28">
              <w:rPr>
                <w:rFonts w:ascii="Arial" w:eastAsia="Times New Roman" w:hAnsi="Arial"/>
                <w:b/>
                <w:bCs/>
                <w:sz w:val="16"/>
                <w:szCs w:val="16"/>
              </w:rPr>
              <w:t>b</w:t>
            </w: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aseline disease</w:t>
            </w:r>
          </w:p>
        </w:tc>
      </w:tr>
      <w:tr w:rsidR="006E1E3C" w:rsidRPr="006E1E3C" w:rsidTr="00632D28">
        <w:trPr>
          <w:trHeight w:val="2303"/>
        </w:trPr>
        <w:tc>
          <w:tcPr>
            <w:tcW w:w="1000" w:type="dxa"/>
            <w:shd w:val="clear" w:color="auto" w:fill="auto"/>
            <w:hideMark/>
          </w:tcPr>
          <w:p w:rsidR="006E1E3C" w:rsidRPr="006E1E3C" w:rsidRDefault="006E1E3C" w:rsidP="006E1E3C">
            <w:pPr>
              <w:spacing w:after="240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Amaro et al, 2005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84</w:t>
            </w:r>
          </w:p>
        </w:tc>
        <w:tc>
          <w:tcPr>
            <w:tcW w:w="1240" w:type="dxa"/>
            <w:shd w:val="clear" w:color="auto" w:fill="auto"/>
            <w:hideMark/>
          </w:tcPr>
          <w:p w:rsidR="006E1E3C" w:rsidRPr="006E1E3C" w:rsidRDefault="006E1E3C" w:rsidP="006E1E3C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color w:val="000000"/>
                <w:sz w:val="16"/>
                <w:szCs w:val="16"/>
              </w:rPr>
              <w:t>Before-after observational</w:t>
            </w:r>
          </w:p>
        </w:tc>
        <w:tc>
          <w:tcPr>
            <w:tcW w:w="1913" w:type="dxa"/>
            <w:shd w:val="clear" w:color="auto" w:fill="auto"/>
            <w:hideMark/>
          </w:tcPr>
          <w:p w:rsidR="006E1E3C" w:rsidRPr="006E1E3C" w:rsidRDefault="006E1E3C" w:rsidP="00632D28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Massachusetts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HIV counseling and testing sites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 h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igh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risk sites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(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seroprevalence </w:t>
            </w:r>
            <w:r w:rsidRPr="006E1E3C">
              <w:rPr>
                <w:rFonts w:ascii="Arial" w:eastAsia="Times New Roman" w:hAnsi="Arial"/>
                <w:sz w:val="16"/>
                <w:szCs w:val="16"/>
                <w:u w:val="single"/>
              </w:rPr>
              <w:t>&gt;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2%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, low risk sites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(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seroprevalence &lt;2%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1847" w:type="dxa"/>
            <w:shd w:val="clear" w:color="auto" w:fill="auto"/>
            <w:hideMark/>
          </w:tcPr>
          <w:p w:rsidR="006E1E3C" w:rsidRPr="006E1E3C" w:rsidRDefault="006E1E3C" w:rsidP="00632D28">
            <w:pPr>
              <w:ind w:right="-61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May 1996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 xml:space="preserve">to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February 1997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3 months</w:t>
            </w:r>
          </w:p>
        </w:tc>
        <w:tc>
          <w:tcPr>
            <w:tcW w:w="1340" w:type="dxa"/>
            <w:shd w:val="clear" w:color="auto" w:fill="auto"/>
            <w:hideMark/>
          </w:tcPr>
          <w:p w:rsidR="006E1E3C" w:rsidRPr="006E1E3C" w:rsidRDefault="006E1E3C" w:rsidP="00632D28">
            <w:pPr>
              <w:spacing w:after="240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Before HIV test vs.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fter HIV test (3 months after testing)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</w:r>
          </w:p>
        </w:tc>
        <w:tc>
          <w:tcPr>
            <w:tcW w:w="6353" w:type="dxa"/>
            <w:shd w:val="clear" w:color="auto" w:fill="auto"/>
            <w:hideMark/>
          </w:tcPr>
          <w:p w:rsidR="006E1E3C" w:rsidRPr="006E1E3C" w:rsidRDefault="006E1E3C" w:rsidP="00632D28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48.9% male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6E1E3C">
              <w:rPr>
                <w:rFonts w:ascii="Arial" w:eastAsia="Times New Roman" w:hAnsi="Arial"/>
                <w:sz w:val="16"/>
                <w:szCs w:val="16"/>
                <w:u w:val="single"/>
              </w:rPr>
              <w:t>Males: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ean age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35.9 years (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 xml:space="preserve">SD,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9.74); 38.7% white, 31.7% black, 24.5%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H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ispanic, 5% other; 12.8% married, 4.0% same sex partner, 38.3% different sex partner, 44.2% not in special relatio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nship; 55.1% history of partner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HIV risk (sex partner in last 5 years who was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IDU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, had sex outside the relationship, was HIV positive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or had an STD)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2.9% exchanged sex for drugs (35% unknown); 32.5% history of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IDU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; 61.3% previous HIV test; 4.7% positive HIV test result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6E1E3C">
              <w:rPr>
                <w:rFonts w:ascii="Arial" w:eastAsia="Times New Roman" w:hAnsi="Arial"/>
                <w:sz w:val="16"/>
                <w:szCs w:val="16"/>
                <w:u w:val="single"/>
              </w:rPr>
              <w:t>Females:</w:t>
            </w: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mean age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31.5 years (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 xml:space="preserve">SD,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9.23); 53.2% white, 16.4% black, 22.0%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H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ispanic, 8% other; 11.5% married, 3.1% same sex partner, 47.9% different sex partner, 36.4% not in special relationship; 62.2% history of partner HIV risk (sex partner in last 5 years who was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IDU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, had sex outside the relationship, was HIV positive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or had an STD); 7.7% exchanged sex for drugs (35% unknown); 17.8% history of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IDU; 64.0% previous HIV test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; 1.0% positive HIV test result</w:t>
            </w:r>
          </w:p>
        </w:tc>
      </w:tr>
      <w:tr w:rsidR="006E1E3C" w:rsidRPr="006E1E3C" w:rsidTr="00632D28">
        <w:trPr>
          <w:trHeight w:val="2429"/>
        </w:trPr>
        <w:tc>
          <w:tcPr>
            <w:tcW w:w="1000" w:type="dxa"/>
            <w:shd w:val="clear" w:color="auto" w:fill="auto"/>
            <w:hideMark/>
          </w:tcPr>
          <w:p w:rsidR="006E1E3C" w:rsidRPr="006E1E3C" w:rsidRDefault="006E1E3C" w:rsidP="00632D28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Brogly et al, 2002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; Bruneau et al, 2001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88</w:t>
            </w:r>
          </w:p>
        </w:tc>
        <w:tc>
          <w:tcPr>
            <w:tcW w:w="1240" w:type="dxa"/>
            <w:shd w:val="clear" w:color="auto" w:fill="auto"/>
            <w:hideMark/>
          </w:tcPr>
          <w:p w:rsidR="006E1E3C" w:rsidRPr="006E1E3C" w:rsidRDefault="006E1E3C" w:rsidP="00632D28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color w:val="000000"/>
                <w:sz w:val="16"/>
                <w:szCs w:val="16"/>
              </w:rPr>
              <w:t>Before-after observational</w:t>
            </w:r>
          </w:p>
        </w:tc>
        <w:tc>
          <w:tcPr>
            <w:tcW w:w="1913" w:type="dxa"/>
            <w:shd w:val="clear" w:color="auto" w:fill="auto"/>
            <w:hideMark/>
          </w:tcPr>
          <w:p w:rsidR="006E1E3C" w:rsidRPr="006E1E3C" w:rsidRDefault="006E1E3C" w:rsidP="00632D28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Montreal, Canada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self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referral, hospital detox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ification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unit, IDU centers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 h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igh; prevalence in original study cohort 11.1% (Bruneau, 2001)</w:t>
            </w:r>
          </w:p>
        </w:tc>
        <w:tc>
          <w:tcPr>
            <w:tcW w:w="1847" w:type="dxa"/>
            <w:shd w:val="clear" w:color="auto" w:fill="auto"/>
            <w:hideMark/>
          </w:tcPr>
          <w:p w:rsidR="006E1E3C" w:rsidRPr="006E1E3C" w:rsidRDefault="006E1E3C" w:rsidP="005058DF">
            <w:pPr>
              <w:ind w:right="-61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January 1996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to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July 1999 (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ource cohort recruiting began 1988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Bruneau, 2001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 xml:space="preserve">]);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first followup visit planned at 3 months, subsequent every 6 months (although participants did not adhere to this schedule and eligibility changed to minimum of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month between time of HIV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positive notification and next study visit) </w:t>
            </w:r>
          </w:p>
        </w:tc>
        <w:tc>
          <w:tcPr>
            <w:tcW w:w="1340" w:type="dxa"/>
            <w:shd w:val="clear" w:color="auto" w:fill="auto"/>
            <w:hideMark/>
          </w:tcPr>
          <w:p w:rsidR="00632D28" w:rsidRDefault="006E1E3C" w:rsidP="00632D28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Before HIV diagnosis vs.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fter HIV diagnosis (at least 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month after diagnosis) </w:t>
            </w:r>
          </w:p>
          <w:p w:rsidR="00632D28" w:rsidRDefault="00632D28" w:rsidP="00632D28">
            <w:pPr>
              <w:rPr>
                <w:rFonts w:ascii="Arial" w:eastAsia="Times New Roman" w:hAnsi="Arial"/>
                <w:sz w:val="16"/>
                <w:szCs w:val="16"/>
              </w:rPr>
            </w:pPr>
          </w:p>
          <w:p w:rsidR="006E1E3C" w:rsidRPr="006E1E3C" w:rsidRDefault="006E1E3C" w:rsidP="005058D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Also ha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d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HIV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positive vs. HIV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negative group</w:t>
            </w:r>
          </w:p>
        </w:tc>
        <w:tc>
          <w:tcPr>
            <w:tcW w:w="6353" w:type="dxa"/>
            <w:shd w:val="clear" w:color="auto" w:fill="auto"/>
            <w:hideMark/>
          </w:tcPr>
          <w:p w:rsidR="006E1E3C" w:rsidRPr="006E1E3C" w:rsidRDefault="006E1E3C" w:rsidP="005058D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93% male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79% French speaking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mean and median age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38 years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6E1E3C">
              <w:rPr>
                <w:rFonts w:ascii="Arial" w:eastAsia="Times New Roman" w:hAnsi="Arial"/>
                <w:sz w:val="16"/>
                <w:szCs w:val="16"/>
                <w:u w:val="single"/>
              </w:rPr>
              <w:t>Comparing IDU who test positive for HIV vs. those who test negative</w:t>
            </w:r>
            <w:r w:rsidR="00632D28" w:rsidRPr="00632D28">
              <w:rPr>
                <w:rFonts w:ascii="Arial" w:eastAsia="Times New Roman" w:hAnsi="Arial"/>
                <w:sz w:val="16"/>
                <w:szCs w:val="16"/>
                <w:u w:val="single"/>
              </w:rPr>
              <w:t>: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  <w:t>Currently have no stable home: 56/2% vs. 36.5%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p=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.003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  <w:t>In drug treatment since last visit: 32.9% vs. 47.9%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p=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.025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  <w:t>Perceived current health status &gt;6 (1=very bad, 9=perfect): 43.8% vs. 62.1%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p=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.006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  <w:t>Mean (SD) number of cocaine injections per day in past 4 weeks: 7.9 (8.8) vs. 4.2 (6.3)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.001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  <w:t>Mean (SD) number of heroin injections per day in the past 4 weeks: 0.2 (0.5) vs. 0.6 (1.3)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p=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.040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  <w:t>Lent needles in past 4 weeks: 35.6% vs. 22.8%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p=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.031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  <w:t>Borrowed needles in past 4 weeks: 50.7% vs. 32.0%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p=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.004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  <w:t>Shared needles with an HIV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positive partner since last visit: 45.2% vs. 13.2%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</w:t>
            </w:r>
            <w:r w:rsidR="00632D28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.0111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  <w:t>Used needle exchange program to obtain clean needles in the past 3 months: 61.6% vs. 45.7%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p=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.018</w:t>
            </w:r>
          </w:p>
        </w:tc>
      </w:tr>
      <w:tr w:rsidR="006E1E3C" w:rsidRPr="006E1E3C" w:rsidTr="00632D28">
        <w:trPr>
          <w:trHeight w:val="10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C" w:rsidRPr="006E1E3C" w:rsidRDefault="006E1E3C" w:rsidP="006E1E3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Camoni et al, 2009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86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C" w:rsidRPr="006E1E3C" w:rsidRDefault="006E1E3C" w:rsidP="005058D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color w:val="000000"/>
                <w:sz w:val="16"/>
                <w:szCs w:val="16"/>
              </w:rPr>
              <w:t>Before-after observational (retrospective)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C" w:rsidRPr="006E1E3C" w:rsidRDefault="006E1E3C" w:rsidP="005058D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5 large cities in Italy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infectious disease and sexually transmitted infection clinics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; 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ot reported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C" w:rsidRPr="006E1E3C" w:rsidRDefault="006E1E3C" w:rsidP="005058D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2006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; 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ot applicable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C" w:rsidRPr="006E1E3C" w:rsidRDefault="006E1E3C" w:rsidP="005058DF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Before HIV diagnosis vs.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fter HIV diagnosis (at least 2 years after diagnosis)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C" w:rsidRPr="006E1E3C" w:rsidRDefault="006E1E3C" w:rsidP="005058DF">
            <w:pPr>
              <w:spacing w:after="240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65.5% male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median age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40 years (range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34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45)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85.2% Italian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HIV exposure category: 43.4% heterosexual contact, 27.2% homosexual contact, 20.6%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IDU;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52.5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%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clinical stage A upon enrol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l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ment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n=138/253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IDU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</w:tc>
      </w:tr>
      <w:tr w:rsidR="006E1E3C" w:rsidRPr="006E1E3C" w:rsidTr="00632D28">
        <w:trPr>
          <w:trHeight w:val="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C" w:rsidRPr="006E1E3C" w:rsidRDefault="006E1E3C" w:rsidP="006E1E3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Fox et al, 2009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C" w:rsidRPr="006E1E3C" w:rsidRDefault="006E1E3C" w:rsidP="005058DF">
            <w:pPr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color w:val="000000"/>
                <w:sz w:val="16"/>
                <w:szCs w:val="16"/>
              </w:rPr>
              <w:t>Before-after observational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C" w:rsidRPr="006E1E3C" w:rsidRDefault="006E1E3C" w:rsidP="005058DF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London,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 xml:space="preserve">UK;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HIV clinic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; 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ot reported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C" w:rsidRPr="006E1E3C" w:rsidRDefault="006E1E3C" w:rsidP="005058DF">
            <w:pPr>
              <w:ind w:right="-61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January 2002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to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January 2004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3 months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C" w:rsidRPr="006E1E3C" w:rsidRDefault="006E1E3C" w:rsidP="005058D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Before HIV diagnosis vs.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fter HIV diagnosis (at 12 weeks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±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5 days after diagnosis)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3C" w:rsidRPr="006E1E3C" w:rsidRDefault="006E1E3C" w:rsidP="005058D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96% Caucasian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1%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lack Caribbean, 2% Asian, 1% other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median age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33 years (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 xml:space="preserve">range,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20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59)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88% had seroconversion symptoms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26% had STD at HIV diagnosis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51% had unprotected insertive anal sex with casual partner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64% had unprotected receptive anal sex with casual partner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38% ever received payment for sex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10%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had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no casual sex partner in past 3 months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38%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had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1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5 casual sex partners in past 3 months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17%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had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6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10 casual sex partners in past 3 months, 35%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had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&gt;10 casual sex partners in past 3 months </w:t>
            </w:r>
          </w:p>
        </w:tc>
      </w:tr>
    </w:tbl>
    <w:p w:rsidR="002B1C8A" w:rsidRDefault="002B1C8A"/>
    <w:tbl>
      <w:tblPr>
        <w:tblW w:w="137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3060"/>
        <w:gridCol w:w="3330"/>
        <w:gridCol w:w="2160"/>
        <w:gridCol w:w="928"/>
        <w:gridCol w:w="1142"/>
        <w:gridCol w:w="2160"/>
      </w:tblGrid>
      <w:tr w:rsidR="006E1E3C" w:rsidRPr="006E1E3C" w:rsidTr="005058DF">
        <w:trPr>
          <w:trHeight w:val="323"/>
        </w:trPr>
        <w:tc>
          <w:tcPr>
            <w:tcW w:w="1003" w:type="dxa"/>
            <w:shd w:val="clear" w:color="auto" w:fill="D9D9D9" w:themeFill="background1" w:themeFillShade="D9"/>
            <w:vAlign w:val="bottom"/>
          </w:tcPr>
          <w:p w:rsidR="006E1E3C" w:rsidRPr="006E1E3C" w:rsidRDefault="006E1E3C" w:rsidP="005058DF">
            <w:pPr>
              <w:keepNext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lastRenderedPageBreak/>
              <w:t>Author,</w:t>
            </w: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year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5058DF">
            <w:pPr>
              <w:keepNext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5058DF">
            <w:pPr>
              <w:keepNext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Exclusion criteria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5058DF">
            <w:pPr>
              <w:keepNext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Number </w:t>
            </w:r>
            <w:r w:rsidR="005058DF"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screened/ eligible/enrolled/ withdrawals/% analyzed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5058DF">
            <w:pPr>
              <w:keepNext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Virologic response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5058DF">
            <w:pPr>
              <w:keepNext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CD4 count response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5058DF">
            <w:pPr>
              <w:keepNext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Adjusted variables </w:t>
            </w: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for statistical analysis</w:t>
            </w:r>
          </w:p>
        </w:tc>
      </w:tr>
      <w:tr w:rsidR="006E1E3C" w:rsidRPr="006E1E3C" w:rsidTr="005058DF">
        <w:trPr>
          <w:trHeight w:val="1943"/>
        </w:trPr>
        <w:tc>
          <w:tcPr>
            <w:tcW w:w="1003" w:type="dxa"/>
          </w:tcPr>
          <w:p w:rsidR="006E1E3C" w:rsidRPr="006E1E3C" w:rsidRDefault="006E1E3C" w:rsidP="001B223D">
            <w:pPr>
              <w:spacing w:after="240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Amaro et al, 2005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84</w:t>
            </w:r>
          </w:p>
        </w:tc>
        <w:tc>
          <w:tcPr>
            <w:tcW w:w="3060" w:type="dxa"/>
            <w:shd w:val="clear" w:color="auto" w:fill="auto"/>
            <w:hideMark/>
          </w:tcPr>
          <w:p w:rsidR="006E1E3C" w:rsidRPr="006E1E3C" w:rsidRDefault="006E1E3C" w:rsidP="005058D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Age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≥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18 years, speaker of English or Spanish, ability to give informed consent, attending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of 13 study sites</w:t>
            </w:r>
          </w:p>
        </w:tc>
        <w:tc>
          <w:tcPr>
            <w:tcW w:w="3330" w:type="dxa"/>
            <w:shd w:val="clear" w:color="auto" w:fill="auto"/>
            <w:hideMark/>
          </w:tcPr>
          <w:p w:rsidR="006E1E3C" w:rsidRPr="006E1E3C" w:rsidRDefault="006E1E3C" w:rsidP="006E1E3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Exclusively homosexual behavior</w:t>
            </w:r>
          </w:p>
        </w:tc>
        <w:tc>
          <w:tcPr>
            <w:tcW w:w="2160" w:type="dxa"/>
            <w:shd w:val="clear" w:color="auto" w:fill="auto"/>
            <w:hideMark/>
          </w:tcPr>
          <w:p w:rsidR="006E1E3C" w:rsidRPr="006E1E3C" w:rsidRDefault="006E1E3C" w:rsidP="005058DF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1286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e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ligible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939 (73%) enrolled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completed </w:t>
            </w:r>
            <w:r w:rsidR="005058DF" w:rsidRPr="006E1E3C">
              <w:rPr>
                <w:rFonts w:ascii="Arial" w:eastAsia="Times New Roman" w:hAnsi="Arial"/>
                <w:sz w:val="16"/>
                <w:szCs w:val="16"/>
              </w:rPr>
              <w:t>pretest questionnaire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672 completed </w:t>
            </w:r>
            <w:r w:rsidR="005058DF" w:rsidRPr="006E1E3C">
              <w:rPr>
                <w:rFonts w:ascii="Arial" w:eastAsia="Times New Roman" w:hAnsi="Arial"/>
                <w:sz w:val="16"/>
                <w:szCs w:val="16"/>
              </w:rPr>
              <w:t xml:space="preserve">posttest questionnaire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(72% followup rate)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560 analyzed overall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16 HIV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positive  </w:t>
            </w:r>
          </w:p>
        </w:tc>
        <w:tc>
          <w:tcPr>
            <w:tcW w:w="928" w:type="dxa"/>
            <w:shd w:val="clear" w:color="auto" w:fill="auto"/>
            <w:hideMark/>
          </w:tcPr>
          <w:p w:rsidR="006E1E3C" w:rsidRPr="006E1E3C" w:rsidRDefault="006E1E3C" w:rsidP="005058D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142" w:type="dxa"/>
            <w:shd w:val="clear" w:color="auto" w:fill="auto"/>
            <w:hideMark/>
          </w:tcPr>
          <w:p w:rsidR="006E1E3C" w:rsidRPr="006E1E3C" w:rsidRDefault="006E1E3C" w:rsidP="006E1E3C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2160" w:type="dxa"/>
            <w:shd w:val="clear" w:color="auto" w:fill="auto"/>
            <w:hideMark/>
          </w:tcPr>
          <w:p w:rsidR="006E1E3C" w:rsidRPr="006E1E3C" w:rsidRDefault="006E1E3C" w:rsidP="005058DF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Multinomial logistic regression analysis used to examine effects of HIV serostatus and counseling services, sociodemographic, behavioral predictors, on post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HIV test stage of change for condom use with main partners, stratified by stage of change and condom use at pretest</w:t>
            </w:r>
          </w:p>
        </w:tc>
      </w:tr>
      <w:tr w:rsidR="006E1E3C" w:rsidRPr="006E1E3C" w:rsidTr="006E1E3C">
        <w:trPr>
          <w:trHeight w:val="2303"/>
        </w:trPr>
        <w:tc>
          <w:tcPr>
            <w:tcW w:w="1003" w:type="dxa"/>
          </w:tcPr>
          <w:p w:rsidR="006E1E3C" w:rsidRPr="006E1E3C" w:rsidRDefault="006E1E3C" w:rsidP="001B223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Brogly et al, 2002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; Bruneau et al, 2001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88</w:t>
            </w:r>
          </w:p>
        </w:tc>
        <w:tc>
          <w:tcPr>
            <w:tcW w:w="3060" w:type="dxa"/>
            <w:shd w:val="clear" w:color="auto" w:fill="auto"/>
            <w:hideMark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Cohort eligibilty: </w:t>
            </w:r>
            <w:r w:rsidR="005058DF">
              <w:rPr>
                <w:rFonts w:ascii="Arial" w:eastAsia="Times New Roman" w:hAnsi="Arial"/>
                <w:sz w:val="16"/>
                <w:szCs w:val="16"/>
              </w:rPr>
              <w:t>ages ≥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14 years, residing in Montreal, having injected drugs in past 6 months, having provided informed consent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  <w:t>Current investigation: injected drugs in past 6 months, unaware of HIV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positive status at enrollment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/>
              <w:t xml:space="preserve">Current analysis: aware of HIV diagnosis for at least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month before study visit for those testing positive</w:t>
            </w:r>
          </w:p>
        </w:tc>
        <w:tc>
          <w:tcPr>
            <w:tcW w:w="3330" w:type="dxa"/>
            <w:shd w:val="clear" w:color="auto" w:fill="auto"/>
            <w:hideMark/>
          </w:tcPr>
          <w:p w:rsidR="006E1E3C" w:rsidRPr="006E1E3C" w:rsidRDefault="006E1E3C" w:rsidP="00270F1B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For particular behavior change analysis, only participants that were aware of their status for relevant amount of time were included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(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e.g.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those who knew of status for past 3 months included for behaviors covering past 3 months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and individuls had to be aware of HIV seropositivity for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 xml:space="preserve">a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min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imum of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70% of time period over which behavior change was assesed; only those who could augment or diminish behavior as measured by questionnaire were included; changes in sexual behavior assessed in male subjects only due to small number of females</w:t>
            </w:r>
          </w:p>
        </w:tc>
        <w:tc>
          <w:tcPr>
            <w:tcW w:w="2160" w:type="dxa"/>
            <w:shd w:val="clear" w:color="auto" w:fill="auto"/>
            <w:hideMark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103 HIV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positive eligible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73 HIV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positive analyzed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219 HIV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negative analyzed</w:t>
            </w:r>
          </w:p>
        </w:tc>
        <w:tc>
          <w:tcPr>
            <w:tcW w:w="928" w:type="dxa"/>
            <w:shd w:val="clear" w:color="auto" w:fill="auto"/>
            <w:hideMark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142" w:type="dxa"/>
            <w:shd w:val="clear" w:color="auto" w:fill="auto"/>
            <w:hideMark/>
          </w:tcPr>
          <w:p w:rsidR="006E1E3C" w:rsidRPr="006E1E3C" w:rsidRDefault="006E1E3C" w:rsidP="006E1E3C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2160" w:type="dxa"/>
            <w:shd w:val="clear" w:color="auto" w:fill="auto"/>
            <w:hideMark/>
          </w:tcPr>
          <w:p w:rsidR="006E1E3C" w:rsidRPr="006E1E3C" w:rsidRDefault="006E1E3C" w:rsidP="006E1E3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 adjustments</w:t>
            </w:r>
          </w:p>
        </w:tc>
      </w:tr>
      <w:tr w:rsidR="006E1E3C" w:rsidRPr="006E1E3C" w:rsidTr="00270F1B">
        <w:trPr>
          <w:trHeight w:val="575"/>
        </w:trPr>
        <w:tc>
          <w:tcPr>
            <w:tcW w:w="1003" w:type="dxa"/>
          </w:tcPr>
          <w:p w:rsidR="006E1E3C" w:rsidRPr="006E1E3C" w:rsidRDefault="006E1E3C" w:rsidP="001B223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Camoni et al, 2009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86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3060" w:type="dxa"/>
            <w:shd w:val="clear" w:color="auto" w:fill="auto"/>
            <w:hideMark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Age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6E1E3C">
              <w:rPr>
                <w:rFonts w:ascii="Arial" w:eastAsia="Times New Roman" w:hAnsi="Arial"/>
                <w:sz w:val="16"/>
                <w:szCs w:val="16"/>
                <w:u w:val="single"/>
              </w:rPr>
              <w:t>&gt;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18 years, diagnosed at least 2 years prior to study</w:t>
            </w:r>
          </w:p>
        </w:tc>
        <w:tc>
          <w:tcPr>
            <w:tcW w:w="3330" w:type="dxa"/>
            <w:shd w:val="clear" w:color="auto" w:fill="auto"/>
            <w:hideMark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2160" w:type="dxa"/>
            <w:shd w:val="clear" w:color="auto" w:fill="auto"/>
            <w:hideMark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497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e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ligible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487 enrolled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487 analyzed for sexual behavior, 253 analyzed for drug use behavior</w:t>
            </w:r>
          </w:p>
        </w:tc>
        <w:tc>
          <w:tcPr>
            <w:tcW w:w="928" w:type="dxa"/>
            <w:shd w:val="clear" w:color="auto" w:fill="auto"/>
            <w:hideMark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142" w:type="dxa"/>
            <w:shd w:val="clear" w:color="auto" w:fill="auto"/>
            <w:hideMark/>
          </w:tcPr>
          <w:p w:rsidR="006E1E3C" w:rsidRPr="006E1E3C" w:rsidRDefault="006E1E3C" w:rsidP="006E1E3C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2160" w:type="dxa"/>
            <w:shd w:val="clear" w:color="auto" w:fill="auto"/>
            <w:hideMark/>
          </w:tcPr>
          <w:p w:rsidR="006E1E3C" w:rsidRPr="006E1E3C" w:rsidRDefault="006E1E3C" w:rsidP="006E1E3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 adjustments</w:t>
            </w:r>
          </w:p>
        </w:tc>
      </w:tr>
      <w:tr w:rsidR="006E1E3C" w:rsidRPr="006E1E3C" w:rsidTr="006E1E3C">
        <w:trPr>
          <w:trHeight w:val="350"/>
        </w:trPr>
        <w:tc>
          <w:tcPr>
            <w:tcW w:w="1003" w:type="dxa"/>
          </w:tcPr>
          <w:p w:rsidR="006E1E3C" w:rsidRPr="006E1E3C" w:rsidRDefault="006E1E3C" w:rsidP="001B223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Fox et al, 2009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87</w:t>
            </w:r>
          </w:p>
        </w:tc>
        <w:tc>
          <w:tcPr>
            <w:tcW w:w="3060" w:type="dxa"/>
            <w:shd w:val="clear" w:color="auto" w:fill="auto"/>
            <w:hideMark/>
          </w:tcPr>
          <w:p w:rsidR="006E1E3C" w:rsidRPr="006E1E3C" w:rsidRDefault="006E1E3C" w:rsidP="006E1E3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Men who have sex with men, diagnosed with primary HIV infection</w:t>
            </w:r>
          </w:p>
        </w:tc>
        <w:tc>
          <w:tcPr>
            <w:tcW w:w="3330" w:type="dxa"/>
            <w:shd w:val="clear" w:color="auto" w:fill="auto"/>
            <w:hideMark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2160" w:type="dxa"/>
            <w:shd w:val="clear" w:color="auto" w:fill="auto"/>
            <w:hideMark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104 eligible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98 analyzed (100% followup)</w:t>
            </w:r>
          </w:p>
        </w:tc>
        <w:tc>
          <w:tcPr>
            <w:tcW w:w="928" w:type="dxa"/>
            <w:shd w:val="clear" w:color="auto" w:fill="auto"/>
            <w:hideMark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142" w:type="dxa"/>
            <w:shd w:val="clear" w:color="auto" w:fill="auto"/>
            <w:hideMark/>
          </w:tcPr>
          <w:p w:rsidR="006E1E3C" w:rsidRPr="006E1E3C" w:rsidRDefault="006E1E3C" w:rsidP="006E1E3C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2160" w:type="dxa"/>
            <w:shd w:val="clear" w:color="auto" w:fill="auto"/>
            <w:hideMark/>
          </w:tcPr>
          <w:p w:rsidR="006E1E3C" w:rsidRPr="006E1E3C" w:rsidRDefault="006E1E3C" w:rsidP="006E1E3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No adjustments </w:t>
            </w:r>
          </w:p>
        </w:tc>
      </w:tr>
    </w:tbl>
    <w:p w:rsidR="006E1E3C" w:rsidRDefault="006E1E3C"/>
    <w:tbl>
      <w:tblPr>
        <w:tblW w:w="137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8550"/>
        <w:gridCol w:w="2070"/>
        <w:gridCol w:w="1350"/>
        <w:gridCol w:w="810"/>
      </w:tblGrid>
      <w:tr w:rsidR="006E1E3C" w:rsidRPr="006E1E3C" w:rsidTr="00270F1B">
        <w:trPr>
          <w:trHeight w:val="224"/>
          <w:tblHeader/>
        </w:trPr>
        <w:tc>
          <w:tcPr>
            <w:tcW w:w="1003" w:type="dxa"/>
            <w:shd w:val="clear" w:color="auto" w:fill="D9D9D9" w:themeFill="background1" w:themeFillShade="D9"/>
            <w:vAlign w:val="bottom"/>
          </w:tcPr>
          <w:p w:rsidR="006E1E3C" w:rsidRPr="006E1E3C" w:rsidRDefault="006E1E3C" w:rsidP="001B223D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</w:t>
            </w: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year</w:t>
            </w:r>
          </w:p>
        </w:tc>
        <w:tc>
          <w:tcPr>
            <w:tcW w:w="8550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6E1E3C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6E1E3C">
            <w:pPr>
              <w:tabs>
                <w:tab w:val="left" w:pos="619"/>
              </w:tabs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Adverse events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270F1B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Funding source</w:t>
            </w: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and role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  <w:hideMark/>
          </w:tcPr>
          <w:p w:rsidR="006E1E3C" w:rsidRPr="006E1E3C" w:rsidRDefault="006E1E3C" w:rsidP="006E1E3C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</w:tr>
      <w:tr w:rsidR="006E1E3C" w:rsidRPr="006E1E3C" w:rsidTr="00270F1B">
        <w:trPr>
          <w:trHeight w:val="404"/>
        </w:trPr>
        <w:tc>
          <w:tcPr>
            <w:tcW w:w="1003" w:type="dxa"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Amaro et al, 2005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84</w:t>
            </w:r>
          </w:p>
        </w:tc>
        <w:tc>
          <w:tcPr>
            <w:tcW w:w="8550" w:type="dxa"/>
            <w:shd w:val="clear" w:color="auto" w:fill="auto"/>
            <w:hideMark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All HIV-positive participants adopted safer behavior with main and nonmain partners at posttest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indicating that HIV status was the most significant factor determining stage of change for condom use at posttest.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Posttest questionnaire given at 3 month followup visit (statistics for this group not reported)</w:t>
            </w:r>
          </w:p>
        </w:tc>
        <w:tc>
          <w:tcPr>
            <w:tcW w:w="2070" w:type="dxa"/>
            <w:shd w:val="clear" w:color="auto" w:fill="auto"/>
            <w:hideMark/>
          </w:tcPr>
          <w:p w:rsidR="006E1E3C" w:rsidRPr="006E1E3C" w:rsidRDefault="006E1E3C" w:rsidP="00270F1B">
            <w:pPr>
              <w:tabs>
                <w:tab w:val="left" w:pos="619"/>
              </w:tabs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350" w:type="dxa"/>
            <w:shd w:val="clear" w:color="auto" w:fill="auto"/>
            <w:hideMark/>
          </w:tcPr>
          <w:p w:rsidR="006E1E3C" w:rsidRPr="006E1E3C" w:rsidRDefault="006E1E3C" w:rsidP="00270F1B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Centers for Disease Control and Prevention</w:t>
            </w:r>
          </w:p>
        </w:tc>
        <w:tc>
          <w:tcPr>
            <w:tcW w:w="810" w:type="dxa"/>
            <w:shd w:val="clear" w:color="auto" w:fill="auto"/>
            <w:hideMark/>
          </w:tcPr>
          <w:p w:rsidR="006E1E3C" w:rsidRPr="006E1E3C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6E1E3C" w:rsidRPr="006E1E3C" w:rsidTr="006E1E3C">
        <w:trPr>
          <w:trHeight w:val="1250"/>
        </w:trPr>
        <w:tc>
          <w:tcPr>
            <w:tcW w:w="1003" w:type="dxa"/>
          </w:tcPr>
          <w:p w:rsidR="006E1E3C" w:rsidRPr="006E1E3C" w:rsidRDefault="006E1E3C" w:rsidP="006E1E3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Brogly et al, 2002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; Bruneau et al, 2001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88</w:t>
            </w:r>
          </w:p>
        </w:tc>
        <w:tc>
          <w:tcPr>
            <w:tcW w:w="8550" w:type="dxa"/>
            <w:shd w:val="clear" w:color="auto" w:fill="auto"/>
            <w:hideMark/>
          </w:tcPr>
          <w:p w:rsidR="006E1E3C" w:rsidRPr="006E1E3C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Behavior change in IDUs who received positive test result: 26.2% (11/42) stopped injecting, 49.3% (36/73) decreased number of injections by 20%, 62.5% (5/8) decreased injection heroin use, 73.1% (19/26) stopped lending needles, 62.2% (23/37) stopped borrowing needles, 70.6% (12/17) stopped sharing needles with HIV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positive partner, 34.2% (25/73) increased number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 xml:space="preserve">of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needles from needle exchange program by 25%, 37.5% (27/72) increased use of needle exchange program, 50.0% (9/18) of males stopped sexual realtions, 100% (5/5) of men stopped sex work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 xml:space="preserve">.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For majority of behaviors examined, significantly higher proportion of HIV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positive IDUs adopted protective vs. risky behaviors (data not shown). Considering behavior change among HIV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positive individuals only, substantial number of IDUs responded to HIV diagnosis by engaging in lower risk behaviors.</w:t>
            </w:r>
          </w:p>
        </w:tc>
        <w:tc>
          <w:tcPr>
            <w:tcW w:w="2070" w:type="dxa"/>
            <w:shd w:val="clear" w:color="auto" w:fill="auto"/>
            <w:hideMark/>
          </w:tcPr>
          <w:p w:rsidR="006E1E3C" w:rsidRPr="006E1E3C" w:rsidRDefault="006E1E3C" w:rsidP="00270F1B">
            <w:pPr>
              <w:tabs>
                <w:tab w:val="left" w:pos="619"/>
              </w:tabs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350" w:type="dxa"/>
            <w:shd w:val="clear" w:color="auto" w:fill="auto"/>
            <w:hideMark/>
          </w:tcPr>
          <w:p w:rsidR="006E1E3C" w:rsidRPr="006E1E3C" w:rsidRDefault="006E1E3C" w:rsidP="00270F1B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National Health Research and Development Program of Health Canada; National Institute of Drug Abuse</w:t>
            </w:r>
          </w:p>
        </w:tc>
        <w:tc>
          <w:tcPr>
            <w:tcW w:w="810" w:type="dxa"/>
            <w:shd w:val="clear" w:color="auto" w:fill="auto"/>
            <w:hideMark/>
          </w:tcPr>
          <w:p w:rsidR="006E1E3C" w:rsidRPr="006E1E3C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6E1E3C" w:rsidRPr="006E1E3C" w:rsidTr="006E1E3C">
        <w:trPr>
          <w:trHeight w:val="3950"/>
        </w:trPr>
        <w:tc>
          <w:tcPr>
            <w:tcW w:w="1003" w:type="dxa"/>
          </w:tcPr>
          <w:p w:rsidR="006E1E3C" w:rsidRPr="006E1E3C" w:rsidRDefault="006E1E3C" w:rsidP="001B223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lastRenderedPageBreak/>
              <w:t>Camoni et al, 2009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86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8550" w:type="dxa"/>
            <w:shd w:val="clear" w:color="auto" w:fill="auto"/>
            <w:hideMark/>
          </w:tcPr>
          <w:p w:rsidR="00270F1B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  <w:u w:val="single"/>
              </w:rPr>
              <w:t>Comparing drug use before HIV diagnosis vs. after HIV diagnosis</w:t>
            </w:r>
            <w:r w:rsidR="00270F1B" w:rsidRPr="00270F1B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p w:rsidR="00270F1B" w:rsidRDefault="00270F1B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I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 xml:space="preserve">njecting drug use: </w:t>
            </w:r>
            <w:r>
              <w:rPr>
                <w:rFonts w:ascii="Arial" w:eastAsia="Times New Roman" w:hAnsi="Arial"/>
                <w:sz w:val="16"/>
                <w:szCs w:val="16"/>
              </w:rPr>
              <w:t>y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>es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 xml:space="preserve"> n=138 (54.5%) vs. n=82 (32.4%)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n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>o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 xml:space="preserve"> n=114 (45.1%) vs. n=164 (64.8%)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n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>o answer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 xml:space="preserve"> n=1 (0.4%) vs. n=7 (2.8</w:t>
            </w:r>
            <w:r>
              <w:rPr>
                <w:rFonts w:ascii="Arial" w:eastAsia="Times New Roman" w:hAnsi="Arial"/>
                <w:sz w:val="16"/>
                <w:szCs w:val="16"/>
              </w:rPr>
              <w:t>%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>)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 xml:space="preserve"> McNemar </w:t>
            </w:r>
            <w:r>
              <w:rPr>
                <w:rFonts w:ascii="Arial" w:eastAsia="Times New Roman" w:hAnsi="Arial"/>
                <w:sz w:val="16"/>
                <w:szCs w:val="16"/>
              </w:rPr>
              <w:t>c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>hi=42.9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  <w:r w:rsidR="006E1E3C"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270F1B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Syringe exchange: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y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es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n=113 (44.7%) vs. n=40 (15.8%)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n=104 (41.1%) vs. n=160 (63.3%)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 answer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n=36 (14.2%) vs. n=53 (20.9%)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McNemar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c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hi=53.7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270F1B" w:rsidRPr="00270F1B" w:rsidRDefault="006E1E3C" w:rsidP="00270F1B">
            <w:pPr>
              <w:rPr>
                <w:rFonts w:ascii="Arial" w:eastAsia="Times New Roman" w:hAnsi="Arial"/>
                <w:sz w:val="16"/>
                <w:szCs w:val="16"/>
                <w:u w:val="single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  <w:u w:val="single"/>
              </w:rPr>
              <w:t xml:space="preserve">Comparing sexual behavior before HIV diagnosis vs. after HIV diagnosis  </w:t>
            </w:r>
          </w:p>
          <w:p w:rsidR="00270F1B" w:rsidRDefault="006E1E3C" w:rsidP="00270F1B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Number of sex partners: &lt;2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n=81 (16.6%) vs. n=219 (45.0%)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&gt;2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n=405 (83.2%) vs. n=264 (54.2%)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 answer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n=1 (0.2%) vs. n=4 (0.8%)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McNemar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c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hi=113.47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0607DE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Sex for money or drugs: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y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es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n=64 (13.1%) vs. n=33 (6.8%)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n=413 (84.8%) vs. n=433 (88.9%)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 answer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n=10 (2.1%) vs. n=21 (4.3%)</w:t>
            </w:r>
            <w:r w:rsidR="00270F1B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McNemar chi=16.68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</w:p>
          <w:p w:rsidR="000607DE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  <w:t xml:space="preserve">Sex with sex workers: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y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es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n=78 (16.0%) vs. n=35 (7.2%)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n=381 (78.25) vs. n=416 (85.4%)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 answer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n=28 (5.8%) vs. n=36 (7.4%)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McNemar chi=22.37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0607DE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  <w:u w:val="single"/>
              </w:rPr>
              <w:t>Comparing sexual behavior with stable partner and occasional partner before HIV diagnosis vs. after HIV diagnosis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 Stable partner: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y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es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n=434 (89.1%) vs. n=377 (77.4%)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n=53 (10.9%) vs. n=110 (22.6%)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McNemar chi=27.75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</w:p>
          <w:p w:rsidR="000607DE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  <w:t xml:space="preserve">Condom use, vaginal sex: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lways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n=24 (5.5%) vs. n=150 (39.8%)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ot always/never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n=323 (74.5%) vs. n=122 (32.4%)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 answer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n=87 (20.0%) vs. n=105 (27.8%)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McNemar chi=118.07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0607DE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Condom use, anal sex: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lways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n=18 (4.1%) vs. n=120 (31.8%)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ot always/never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n=292 (67.3%) vs. n=126 (33.5%)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 answer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n=124 (28.6%) vs. n=131 (34.7%)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McNemar chi=86.49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0607DE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Condom use, oral-genital sex: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lways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n=4 (0.9%) vs. n=34 (9.0%)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ot always/never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n=372 (85.7%) vs. n=273 (72.4%)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 answer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n=58 (13.4%) vs. n=70 (18.6%)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McNemar chi=26.03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0607DE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Occasional partners: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y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es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n=400 (82.1%) vs. n=283 (58.1%)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n=87 (17.9%) vs. n=204 (41.9%)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McNemar chi=89.11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0607DE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Condom use, vaginal sex: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lways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n=41 (10.3%) vs. n=107 (37.8%)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ot always/never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n=254 (63.5%) vs. n=65 (23.0%)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 answer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n=105 (26.2%) vs. n=111 (39.2%)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McNemar chi=65.33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0607DE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Condom use, anal sex: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lways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n=42 (10.5%) vs. n=115 (40.6%)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ot always/never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n=267 (66.8%) vs. n=91 (32.2%)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 answer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n=91 (22.7%) vs. n=77 (27.2%)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McNemar chi=68.36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6E1E3C" w:rsidRPr="006E1E3C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Condom use, oral-genital sex: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lways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n=11 (2.7%) vs. n=49 (17.3%)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ot always/never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n=329 (82.3%) vs. n=188 (66.4%)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o answer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n=60 (15.0%) vs. n=46 (16.3%)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McNemar chi=31.24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p&lt;0.0005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070" w:type="dxa"/>
            <w:shd w:val="clear" w:color="auto" w:fill="auto"/>
            <w:hideMark/>
          </w:tcPr>
          <w:p w:rsidR="006E1E3C" w:rsidRPr="006E1E3C" w:rsidRDefault="006E1E3C" w:rsidP="000607DE">
            <w:pPr>
              <w:tabs>
                <w:tab w:val="left" w:pos="619"/>
              </w:tabs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350" w:type="dxa"/>
            <w:shd w:val="clear" w:color="auto" w:fill="auto"/>
            <w:hideMark/>
          </w:tcPr>
          <w:p w:rsidR="006E1E3C" w:rsidRPr="006E1E3C" w:rsidRDefault="006E1E3C" w:rsidP="000607D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VI Programma Nazionale di Ricerca sull'AIDS 2005</w:t>
            </w:r>
          </w:p>
        </w:tc>
        <w:tc>
          <w:tcPr>
            <w:tcW w:w="810" w:type="dxa"/>
            <w:shd w:val="clear" w:color="auto" w:fill="auto"/>
            <w:hideMark/>
          </w:tcPr>
          <w:p w:rsidR="006E1E3C" w:rsidRPr="006E1E3C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6E1E3C" w:rsidRPr="006E1E3C" w:rsidTr="006E1E3C">
        <w:trPr>
          <w:trHeight w:val="2150"/>
        </w:trPr>
        <w:tc>
          <w:tcPr>
            <w:tcW w:w="1003" w:type="dxa"/>
          </w:tcPr>
          <w:p w:rsidR="006E1E3C" w:rsidRPr="006E1E3C" w:rsidRDefault="006E1E3C" w:rsidP="001B223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Fox et al, 2009</w:t>
            </w:r>
            <w:r w:rsidRPr="006E1E3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87</w:t>
            </w:r>
          </w:p>
        </w:tc>
        <w:tc>
          <w:tcPr>
            <w:tcW w:w="8550" w:type="dxa"/>
            <w:shd w:val="clear" w:color="auto" w:fill="auto"/>
            <w:hideMark/>
          </w:tcPr>
          <w:p w:rsidR="000607DE" w:rsidRDefault="006E1E3C" w:rsidP="006E1E3C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Risk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for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onward transmission: unprotected anal intercourse with regular partner of unknown or negative HIV status, unprotected anal intercourse with casual male partners, or incident sexually transmitted infection</w:t>
            </w:r>
          </w:p>
          <w:p w:rsidR="006E1E3C" w:rsidRPr="006E1E3C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  <w:t xml:space="preserve">Significant changes in risk behavior in the 12 weeks following HIV diagnosis, n=74/98 (76%) posing no risk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for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onward transmission during that period. Overall shift to fewer sex partners in cohort with 65 men decreasing number of partners, 26 staying same, 7 increasing number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(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Wilcoxon test Z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 xml:space="preserve">,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-6.302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p&lt;0.001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(visual representation).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  <w:t xml:space="preserve">Proportion always using condoms during receptive anal intercourse with casual partners increased from n=13/76 (17%) to 29/45 (64%)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(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p&lt;0.001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and for insertive anal intercourse from n=22/72 (31%) to 28/46 (61%)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(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p&lt;0.01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. Paired analysis for receptive anal intercourse showed 23 men increased condom use, 16 stayed the same, 2 used condoms less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(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Wilcox test Z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 xml:space="preserve">,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-4.097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p&lt;0.001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. Paired analysis for insertive anal intercourse showed 15 men increased condom use, 19 stayed the same, 5 reduced use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(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Wilcox test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 xml:space="preserve">Z,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-2.294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p=0.024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 xml:space="preserve">).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br w:type="page"/>
              <w:t xml:space="preserve">24 men reported behaviors that posed a continuing risk 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for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transmission to others post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HIV diagnosis, although this group significantly decreased their numbers of sex partners post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diagnosis (14/24 reduced number of pa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r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tners, 8/24 stayed the same, 2/24 increased number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Wilcox test Z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 xml:space="preserve">, 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>-2.610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6E1E3C">
              <w:rPr>
                <w:rFonts w:ascii="Arial" w:eastAsia="Times New Roman" w:hAnsi="Arial"/>
                <w:sz w:val="16"/>
                <w:szCs w:val="16"/>
              </w:rPr>
              <w:t xml:space="preserve"> p&lt;0.009</w:t>
            </w:r>
            <w:r w:rsidR="000607DE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070" w:type="dxa"/>
            <w:shd w:val="clear" w:color="auto" w:fill="auto"/>
            <w:hideMark/>
          </w:tcPr>
          <w:p w:rsidR="006E1E3C" w:rsidRPr="006E1E3C" w:rsidRDefault="006E1E3C" w:rsidP="000607DE">
            <w:pPr>
              <w:tabs>
                <w:tab w:val="left" w:pos="619"/>
              </w:tabs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350" w:type="dxa"/>
            <w:shd w:val="clear" w:color="auto" w:fill="auto"/>
            <w:hideMark/>
          </w:tcPr>
          <w:p w:rsidR="006E1E3C" w:rsidRPr="006E1E3C" w:rsidRDefault="006E1E3C" w:rsidP="000607D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United Kingdom Medical Research Council, UNAIDS</w:t>
            </w:r>
          </w:p>
        </w:tc>
        <w:tc>
          <w:tcPr>
            <w:tcW w:w="810" w:type="dxa"/>
            <w:shd w:val="clear" w:color="auto" w:fill="auto"/>
            <w:hideMark/>
          </w:tcPr>
          <w:p w:rsidR="006E1E3C" w:rsidRPr="006E1E3C" w:rsidRDefault="006E1E3C" w:rsidP="000607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6E1E3C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</w:tbl>
    <w:p w:rsidR="006E1E3C" w:rsidRPr="00270F1B" w:rsidRDefault="00270F1B">
      <w:pPr>
        <w:rPr>
          <w:rFonts w:ascii="Arial" w:hAnsi="Arial"/>
          <w:sz w:val="16"/>
          <w:szCs w:val="16"/>
        </w:rPr>
      </w:pPr>
      <w:r w:rsidRPr="00270F1B">
        <w:rPr>
          <w:rFonts w:ascii="Arial" w:hAnsi="Arial"/>
          <w:sz w:val="16"/>
          <w:szCs w:val="16"/>
        </w:rPr>
        <w:t>IDU = injection drug user; SD = standard deviation; STD = sexually transmitted disease.</w:t>
      </w:r>
    </w:p>
    <w:sectPr w:rsidR="006E1E3C" w:rsidRPr="00270F1B" w:rsidSect="006E1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3C" w:rsidRDefault="006E1E3C" w:rsidP="006E1E3C">
      <w:r>
        <w:separator/>
      </w:r>
    </w:p>
  </w:endnote>
  <w:endnote w:type="continuationSeparator" w:id="0">
    <w:p w:rsidR="006E1E3C" w:rsidRDefault="006E1E3C" w:rsidP="006E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C4" w:rsidRDefault="00D34C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3C" w:rsidRDefault="006E1E3C" w:rsidP="006E1E3C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="0099097A"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="0099097A" w:rsidRPr="003D44A0">
      <w:rPr>
        <w:rFonts w:ascii="Arial" w:hAnsi="Arial"/>
        <w:sz w:val="18"/>
        <w:szCs w:val="18"/>
      </w:rPr>
      <w:fldChar w:fldCharType="separate"/>
    </w:r>
    <w:r w:rsidR="00D34CC4">
      <w:rPr>
        <w:rFonts w:ascii="Arial" w:hAnsi="Arial"/>
        <w:noProof/>
        <w:sz w:val="18"/>
        <w:szCs w:val="18"/>
      </w:rPr>
      <w:t>136</w:t>
    </w:r>
    <w:r w:rsidR="0099097A"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C4" w:rsidRDefault="00D34C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3C" w:rsidRDefault="006E1E3C" w:rsidP="006E1E3C">
      <w:r>
        <w:separator/>
      </w:r>
    </w:p>
  </w:footnote>
  <w:footnote w:type="continuationSeparator" w:id="0">
    <w:p w:rsidR="006E1E3C" w:rsidRDefault="006E1E3C" w:rsidP="006E1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C4" w:rsidRDefault="00D34C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3C" w:rsidRPr="006E1E3C" w:rsidRDefault="006E1E3C">
    <w:pPr>
      <w:pStyle w:val="Header"/>
      <w:rPr>
        <w:rFonts w:ascii="Arial" w:hAnsi="Arial"/>
        <w:b/>
        <w:sz w:val="20"/>
        <w:szCs w:val="20"/>
      </w:rPr>
    </w:pPr>
    <w:r w:rsidRPr="006E1E3C">
      <w:rPr>
        <w:rFonts w:ascii="Arial" w:hAnsi="Arial"/>
        <w:b/>
        <w:sz w:val="20"/>
        <w:szCs w:val="20"/>
      </w:rPr>
      <w:t>Appendix B9. Key Question 3a</w:t>
    </w:r>
    <w:r>
      <w:rPr>
        <w:rFonts w:ascii="Arial" w:hAnsi="Arial"/>
        <w:b/>
        <w:sz w:val="20"/>
        <w:szCs w:val="20"/>
      </w:rPr>
      <w:t>:</w:t>
    </w:r>
    <w:r w:rsidRPr="006E1E3C">
      <w:rPr>
        <w:rFonts w:ascii="Arial" w:hAnsi="Arial"/>
        <w:b/>
        <w:sz w:val="20"/>
        <w:szCs w:val="20"/>
      </w:rPr>
      <w:t xml:space="preserve"> Evidence Table </w:t>
    </w:r>
    <w:r>
      <w:rPr>
        <w:rFonts w:ascii="Arial" w:hAnsi="Arial"/>
        <w:b/>
        <w:sz w:val="20"/>
        <w:szCs w:val="20"/>
      </w:rPr>
      <w:t>o</w:t>
    </w:r>
    <w:r w:rsidRPr="006E1E3C">
      <w:rPr>
        <w:rFonts w:ascii="Arial" w:hAnsi="Arial"/>
        <w:b/>
        <w:sz w:val="20"/>
        <w:szCs w:val="20"/>
      </w:rPr>
      <w:t xml:space="preserve">f Studies </w:t>
    </w:r>
    <w:r>
      <w:rPr>
        <w:rFonts w:ascii="Arial" w:hAnsi="Arial"/>
        <w:b/>
        <w:sz w:val="20"/>
        <w:szCs w:val="20"/>
      </w:rPr>
      <w:t>o</w:t>
    </w:r>
    <w:r w:rsidRPr="006E1E3C">
      <w:rPr>
        <w:rFonts w:ascii="Arial" w:hAnsi="Arial"/>
        <w:b/>
        <w:sz w:val="20"/>
        <w:szCs w:val="20"/>
      </w:rPr>
      <w:t xml:space="preserve">f </w:t>
    </w:r>
    <w:r w:rsidR="00D34CC4">
      <w:rPr>
        <w:rFonts w:ascii="Arial" w:hAnsi="Arial"/>
        <w:b/>
        <w:sz w:val="20"/>
        <w:szCs w:val="20"/>
      </w:rPr>
      <w:t xml:space="preserve">Effect of </w:t>
    </w:r>
    <w:r w:rsidRPr="006E1E3C">
      <w:rPr>
        <w:rFonts w:ascii="Arial" w:hAnsi="Arial"/>
        <w:b/>
        <w:sz w:val="20"/>
        <w:szCs w:val="20"/>
      </w:rPr>
      <w:t xml:space="preserve">Knowledge </w:t>
    </w:r>
    <w:r>
      <w:rPr>
        <w:rFonts w:ascii="Arial" w:hAnsi="Arial"/>
        <w:b/>
        <w:sz w:val="20"/>
        <w:szCs w:val="20"/>
      </w:rPr>
      <w:t>o</w:t>
    </w:r>
    <w:r w:rsidRPr="006E1E3C">
      <w:rPr>
        <w:rFonts w:ascii="Arial" w:hAnsi="Arial"/>
        <w:b/>
        <w:sz w:val="20"/>
        <w:szCs w:val="20"/>
      </w:rPr>
      <w:t xml:space="preserve">f HIV-Positive Status </w:t>
    </w:r>
    <w:r>
      <w:rPr>
        <w:rFonts w:ascii="Arial" w:hAnsi="Arial"/>
        <w:b/>
        <w:sz w:val="20"/>
        <w:szCs w:val="20"/>
      </w:rPr>
      <w:t>o</w:t>
    </w:r>
    <w:r w:rsidRPr="006E1E3C">
      <w:rPr>
        <w:rFonts w:ascii="Arial" w:hAnsi="Arial"/>
        <w:b/>
        <w:sz w:val="20"/>
        <w:szCs w:val="20"/>
      </w:rPr>
      <w:t xml:space="preserve">r Use </w:t>
    </w:r>
    <w:r>
      <w:rPr>
        <w:rFonts w:ascii="Arial" w:hAnsi="Arial"/>
        <w:b/>
        <w:sz w:val="20"/>
        <w:szCs w:val="20"/>
      </w:rPr>
      <w:t>o</w:t>
    </w:r>
    <w:r w:rsidRPr="006E1E3C">
      <w:rPr>
        <w:rFonts w:ascii="Arial" w:hAnsi="Arial"/>
        <w:b/>
        <w:sz w:val="20"/>
        <w:szCs w:val="20"/>
      </w:rPr>
      <w:t>f H</w:t>
    </w:r>
    <w:r w:rsidR="0037031A">
      <w:rPr>
        <w:rFonts w:ascii="Arial" w:hAnsi="Arial"/>
        <w:b/>
        <w:sz w:val="20"/>
        <w:szCs w:val="20"/>
      </w:rPr>
      <w:t xml:space="preserve">ighly </w:t>
    </w:r>
    <w:r w:rsidRPr="006E1E3C">
      <w:rPr>
        <w:rFonts w:ascii="Arial" w:hAnsi="Arial"/>
        <w:b/>
        <w:sz w:val="20"/>
        <w:szCs w:val="20"/>
      </w:rPr>
      <w:t>A</w:t>
    </w:r>
    <w:r w:rsidR="0037031A">
      <w:rPr>
        <w:rFonts w:ascii="Arial" w:hAnsi="Arial"/>
        <w:b/>
        <w:sz w:val="20"/>
        <w:szCs w:val="20"/>
      </w:rPr>
      <w:t xml:space="preserve">ctive </w:t>
    </w:r>
    <w:r w:rsidRPr="006E1E3C">
      <w:rPr>
        <w:rFonts w:ascii="Arial" w:hAnsi="Arial"/>
        <w:b/>
        <w:sz w:val="20"/>
        <w:szCs w:val="20"/>
      </w:rPr>
      <w:t>A</w:t>
    </w:r>
    <w:r w:rsidR="0037031A">
      <w:rPr>
        <w:rFonts w:ascii="Arial" w:hAnsi="Arial"/>
        <w:b/>
        <w:sz w:val="20"/>
        <w:szCs w:val="20"/>
      </w:rPr>
      <w:t xml:space="preserve">ntiretroviral </w:t>
    </w:r>
    <w:r w:rsidRPr="006E1E3C">
      <w:rPr>
        <w:rFonts w:ascii="Arial" w:hAnsi="Arial"/>
        <w:b/>
        <w:sz w:val="20"/>
        <w:szCs w:val="20"/>
      </w:rPr>
      <w:t>T</w:t>
    </w:r>
    <w:r w:rsidR="0037031A">
      <w:rPr>
        <w:rFonts w:ascii="Arial" w:hAnsi="Arial"/>
        <w:b/>
        <w:sz w:val="20"/>
        <w:szCs w:val="20"/>
      </w:rPr>
      <w:t>herapy</w:t>
    </w:r>
    <w:r w:rsidRPr="006E1E3C">
      <w:rPr>
        <w:rFonts w:ascii="Arial" w:hAnsi="Arial"/>
        <w:b/>
        <w:sz w:val="20"/>
        <w:szCs w:val="20"/>
      </w:rPr>
      <w:t xml:space="preserve"> </w:t>
    </w:r>
    <w:r>
      <w:rPr>
        <w:rFonts w:ascii="Arial" w:hAnsi="Arial"/>
        <w:b/>
        <w:sz w:val="20"/>
        <w:szCs w:val="20"/>
      </w:rPr>
      <w:t>o</w:t>
    </w:r>
    <w:r w:rsidRPr="006E1E3C">
      <w:rPr>
        <w:rFonts w:ascii="Arial" w:hAnsi="Arial"/>
        <w:b/>
        <w:sz w:val="20"/>
        <w:szCs w:val="20"/>
      </w:rPr>
      <w:t>n Risky Behaviors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C4" w:rsidRDefault="00D34C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E3C"/>
    <w:rsid w:val="000607DE"/>
    <w:rsid w:val="00270F1B"/>
    <w:rsid w:val="002B1C8A"/>
    <w:rsid w:val="0037031A"/>
    <w:rsid w:val="00451F2D"/>
    <w:rsid w:val="005058DF"/>
    <w:rsid w:val="00632D28"/>
    <w:rsid w:val="00695C49"/>
    <w:rsid w:val="006B6342"/>
    <w:rsid w:val="006E1E3C"/>
    <w:rsid w:val="009317A8"/>
    <w:rsid w:val="0099097A"/>
    <w:rsid w:val="00B913AC"/>
    <w:rsid w:val="00CB5C0F"/>
    <w:rsid w:val="00D34CC4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6E1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E3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E1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E3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3</cp:revision>
  <dcterms:created xsi:type="dcterms:W3CDTF">2012-11-01T18:28:00Z</dcterms:created>
  <dcterms:modified xsi:type="dcterms:W3CDTF">2012-11-06T20:34:00Z</dcterms:modified>
</cp:coreProperties>
</file>