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0"/>
        <w:gridCol w:w="1440"/>
        <w:gridCol w:w="1350"/>
        <w:gridCol w:w="1440"/>
        <w:gridCol w:w="900"/>
        <w:gridCol w:w="1170"/>
        <w:gridCol w:w="1530"/>
        <w:gridCol w:w="1440"/>
        <w:gridCol w:w="720"/>
      </w:tblGrid>
      <w:tr w:rsidR="009318E9" w:rsidRPr="009318E9" w:rsidTr="009318E9">
        <w:trPr>
          <w:trHeight w:val="260"/>
          <w:tblHeader/>
        </w:trPr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bookmarkStart w:id="0" w:name="RANGE!A1:J7"/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  <w:bookmarkEnd w:id="0"/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study attempt to enroll all (or a random sample of) patients meeting inclusion criteria, or a random sample (inception cohort)?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groups comparable at baseline on key prognostic factors?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study use accurate methods for ascertaining exposures and potential confounders?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9318E9" w:rsidRDefault="009318E9" w:rsidP="009318E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Were outcome assessors and/or data analysts </w:t>
            </w:r>
          </w:p>
          <w:p w:rsidR="009318E9" w:rsidRPr="009318E9" w:rsidRDefault="009318E9" w:rsidP="009318E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blinded to the exposure being studied?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article report attrition?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Did study perform appropriate statistical analyses on potential confounders?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Were outcomes prespecified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,</w:t>
            </w: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9318E9" w:rsidRPr="009318E9" w:rsidRDefault="009318E9" w:rsidP="009318E9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9318E9" w:rsidRPr="009318E9" w:rsidTr="009318E9">
        <w:trPr>
          <w:trHeight w:val="305"/>
        </w:trPr>
        <w:tc>
          <w:tcPr>
            <w:tcW w:w="108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Bedimo et al, 2011</w:t>
            </w:r>
            <w:r w:rsidRPr="009318E9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145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/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9318E9" w:rsidRPr="009318E9" w:rsidTr="009318E9">
        <w:trPr>
          <w:trHeight w:val="386"/>
        </w:trPr>
        <w:tc>
          <w:tcPr>
            <w:tcW w:w="108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DAD Study Group, 2010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144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/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9318E9" w:rsidRPr="009318E9" w:rsidTr="009318E9">
        <w:trPr>
          <w:trHeight w:val="1898"/>
        </w:trPr>
        <w:tc>
          <w:tcPr>
            <w:tcW w:w="108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DAD Study Group, 2008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143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 xml:space="preserve">Yes. A slightly higher proportion of patients with recent use of abacavir had a moderate to high CHD risk profile compared </w:t>
            </w:r>
            <w:r>
              <w:rPr>
                <w:rFonts w:ascii="Arial" w:eastAsia="Times New Roman" w:hAnsi="Arial"/>
                <w:sz w:val="16"/>
                <w:szCs w:val="16"/>
              </w:rPr>
              <w:t>with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t xml:space="preserve"> recent use of other NRTIs (20%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t xml:space="preserve"> 16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t>18%)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/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9318E9" w:rsidRPr="009318E9" w:rsidTr="009318E9">
        <w:trPr>
          <w:trHeight w:val="1205"/>
        </w:trPr>
        <w:tc>
          <w:tcPr>
            <w:tcW w:w="1080" w:type="dxa"/>
            <w:shd w:val="clear" w:color="auto" w:fill="auto"/>
            <w:hideMark/>
          </w:tcPr>
          <w:p w:rsid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DAD Study Group, 2007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142</w:t>
            </w:r>
            <w:r w:rsidRPr="009318E9">
              <w:rPr>
                <w:rFonts w:ascii="Arial" w:eastAsia="Times New Roman" w:hAnsi="Arial"/>
                <w:i/>
                <w:iCs/>
                <w:color w:val="000000"/>
                <w:sz w:val="16"/>
                <w:szCs w:val="16"/>
              </w:rPr>
              <w:br/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Other publication: Friis-Moller </w:t>
            </w:r>
          </w:p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et al, 2003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141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/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9318E9" w:rsidRPr="009318E9" w:rsidTr="009318E9">
        <w:trPr>
          <w:trHeight w:val="1808"/>
        </w:trPr>
        <w:tc>
          <w:tcPr>
            <w:tcW w:w="1080" w:type="dxa"/>
            <w:shd w:val="clear" w:color="auto" w:fill="auto"/>
            <w:hideMark/>
          </w:tcPr>
          <w:p w:rsid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Danish HIV Cohort Study, Obel et al, 2010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146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br w:type="page"/>
            </w:r>
          </w:p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Other publications: Obel et al, 2008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148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; Lohse et al, 2006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149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9318E9" w:rsidRPr="009318E9" w:rsidTr="009318E9">
        <w:trPr>
          <w:trHeight w:val="314"/>
        </w:trPr>
        <w:tc>
          <w:tcPr>
            <w:tcW w:w="108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</w:rPr>
              <w:t>Ribaudo et al, 2011</w:t>
            </w:r>
            <w:r w:rsidRPr="009318E9">
              <w:rPr>
                <w:rFonts w:ascii="Arial" w:eastAsia="Times New Roman" w:hAnsi="Arial"/>
                <w:color w:val="000000"/>
                <w:sz w:val="16"/>
                <w:szCs w:val="16"/>
                <w:vertAlign w:val="superscript"/>
              </w:rPr>
              <w:t>147</w:t>
            </w:r>
          </w:p>
        </w:tc>
        <w:tc>
          <w:tcPr>
            <w:tcW w:w="18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135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shd w:val="clear" w:color="auto" w:fill="auto"/>
            <w:hideMark/>
          </w:tcPr>
          <w:p w:rsidR="009318E9" w:rsidRPr="009318E9" w:rsidRDefault="009318E9" w:rsidP="009318E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Differential: unclear</w:t>
            </w:r>
            <w:r w:rsidRPr="009318E9">
              <w:rPr>
                <w:rFonts w:ascii="Arial" w:eastAsia="Times New Roman" w:hAnsi="Arial"/>
                <w:sz w:val="16"/>
                <w:szCs w:val="16"/>
              </w:rPr>
              <w:br/>
              <w:t>High overall: no</w:t>
            </w:r>
          </w:p>
        </w:tc>
        <w:tc>
          <w:tcPr>
            <w:tcW w:w="144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hideMark/>
          </w:tcPr>
          <w:p w:rsidR="009318E9" w:rsidRPr="009318E9" w:rsidRDefault="009318E9" w:rsidP="009318E9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9318E9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</w:tbl>
    <w:p w:rsidR="002B1C8A" w:rsidRDefault="002B1C8A"/>
    <w:sectPr w:rsidR="002B1C8A" w:rsidSect="009318E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E9" w:rsidRDefault="009318E9" w:rsidP="009318E9">
      <w:r>
        <w:separator/>
      </w:r>
    </w:p>
  </w:endnote>
  <w:endnote w:type="continuationSeparator" w:id="0">
    <w:p w:rsidR="009318E9" w:rsidRDefault="009318E9" w:rsidP="0093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E9" w:rsidRDefault="009318E9" w:rsidP="009318E9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171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E9" w:rsidRDefault="009318E9" w:rsidP="009318E9">
      <w:r>
        <w:separator/>
      </w:r>
    </w:p>
  </w:footnote>
  <w:footnote w:type="continuationSeparator" w:id="0">
    <w:p w:rsidR="009318E9" w:rsidRDefault="009318E9" w:rsidP="00931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E9" w:rsidRPr="009318E9" w:rsidRDefault="009318E9">
    <w:pPr>
      <w:pStyle w:val="Header"/>
      <w:rPr>
        <w:rFonts w:ascii="Arial" w:hAnsi="Arial"/>
        <w:b/>
        <w:sz w:val="20"/>
        <w:szCs w:val="20"/>
      </w:rPr>
    </w:pPr>
    <w:r w:rsidRPr="009318E9">
      <w:rPr>
        <w:rFonts w:ascii="Arial" w:hAnsi="Arial"/>
        <w:b/>
        <w:sz w:val="20"/>
        <w:szCs w:val="20"/>
      </w:rPr>
      <w:t>Appendix B26. Key Question 5</w:t>
    </w:r>
    <w:r>
      <w:rPr>
        <w:rFonts w:ascii="Arial" w:hAnsi="Arial"/>
        <w:b/>
        <w:sz w:val="20"/>
        <w:szCs w:val="20"/>
      </w:rPr>
      <w:t>:</w:t>
    </w:r>
    <w:r w:rsidRPr="009318E9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9318E9">
      <w:rPr>
        <w:rFonts w:ascii="Arial" w:hAnsi="Arial"/>
        <w:b/>
        <w:sz w:val="20"/>
        <w:szCs w:val="20"/>
      </w:rPr>
      <w:t xml:space="preserve">ssessment of </w:t>
    </w:r>
    <w:r>
      <w:rPr>
        <w:rFonts w:ascii="Arial" w:hAnsi="Arial"/>
        <w:b/>
        <w:sz w:val="20"/>
        <w:szCs w:val="20"/>
      </w:rPr>
      <w:t>C</w:t>
    </w:r>
    <w:r w:rsidRPr="009318E9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9318E9">
      <w:rPr>
        <w:rFonts w:ascii="Arial" w:hAnsi="Arial"/>
        <w:b/>
        <w:sz w:val="20"/>
        <w:szCs w:val="20"/>
      </w:rPr>
      <w:t>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8E9"/>
    <w:rsid w:val="002B1C8A"/>
    <w:rsid w:val="006B6342"/>
    <w:rsid w:val="009317A8"/>
    <w:rsid w:val="009318E9"/>
    <w:rsid w:val="00953036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31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8E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1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8E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>DHHS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2012-11-07T20:53:00Z</dcterms:created>
  <dcterms:modified xsi:type="dcterms:W3CDTF">2012-11-07T21:01:00Z</dcterms:modified>
</cp:coreProperties>
</file>