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HRQ1"/>
        <w:tblW w:w="13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8"/>
        <w:gridCol w:w="1835"/>
        <w:gridCol w:w="1287"/>
        <w:gridCol w:w="1696"/>
        <w:gridCol w:w="1499"/>
        <w:gridCol w:w="1058"/>
        <w:gridCol w:w="4293"/>
      </w:tblGrid>
      <w:tr w:rsidR="00377EE6" w:rsidRPr="00D33BA5" w:rsidTr="005C57BE">
        <w:trPr>
          <w:tblHeader/>
        </w:trPr>
        <w:tc>
          <w:tcPr>
            <w:tcW w:w="1688" w:type="dxa"/>
            <w:shd w:val="clear" w:color="auto" w:fill="D9D9D9" w:themeFill="background1" w:themeFillShade="D9"/>
            <w:vAlign w:val="bottom"/>
          </w:tcPr>
          <w:p w:rsidR="00377EE6" w:rsidRPr="00D33BA5" w:rsidRDefault="00377EE6" w:rsidP="005C57BE">
            <w:pPr>
              <w:pStyle w:val="AppTableText"/>
              <w:rPr>
                <w:b/>
                <w:sz w:val="20"/>
                <w:szCs w:val="20"/>
              </w:rPr>
            </w:pPr>
            <w:r w:rsidRPr="00D33BA5">
              <w:rPr>
                <w:b/>
                <w:sz w:val="20"/>
                <w:szCs w:val="20"/>
              </w:rPr>
              <w:t>Study, Year</w:t>
            </w:r>
          </w:p>
          <w:p w:rsidR="00377EE6" w:rsidRPr="00D33BA5" w:rsidRDefault="00377EE6" w:rsidP="005C57BE">
            <w:pPr>
              <w:pStyle w:val="AppTableText"/>
              <w:rPr>
                <w:b/>
                <w:sz w:val="20"/>
                <w:szCs w:val="20"/>
              </w:rPr>
            </w:pPr>
            <w:r w:rsidRPr="00D33BA5">
              <w:rPr>
                <w:b/>
                <w:sz w:val="20"/>
                <w:szCs w:val="20"/>
              </w:rPr>
              <w:t xml:space="preserve">Risk of Bias 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bottom"/>
          </w:tcPr>
          <w:p w:rsidR="00377EE6" w:rsidRPr="00D33BA5" w:rsidRDefault="00377EE6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D33BA5">
              <w:rPr>
                <w:b/>
                <w:sz w:val="20"/>
                <w:szCs w:val="20"/>
              </w:rPr>
              <w:t>Participant Characteristics,</w:t>
            </w:r>
          </w:p>
          <w:p w:rsidR="00377EE6" w:rsidRPr="00D33BA5" w:rsidRDefault="00377EE6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D33BA5">
              <w:rPr>
                <w:b/>
                <w:sz w:val="20"/>
                <w:szCs w:val="20"/>
              </w:rPr>
              <w:t>Sample Size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bottom"/>
          </w:tcPr>
          <w:p w:rsidR="00377EE6" w:rsidRPr="00D33BA5" w:rsidRDefault="00377EE6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D33BA5">
              <w:rPr>
                <w:b/>
                <w:sz w:val="20"/>
                <w:szCs w:val="20"/>
              </w:rPr>
              <w:t>Baseline BMD and Fracture Rate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bottom"/>
          </w:tcPr>
          <w:p w:rsidR="00377EE6" w:rsidRPr="00D33BA5" w:rsidRDefault="00377EE6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D33BA5">
              <w:rPr>
                <w:b/>
                <w:sz w:val="20"/>
                <w:szCs w:val="20"/>
              </w:rPr>
              <w:t>Risk Prediction Instruments Evaluated (Prediction Interval)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bottom"/>
          </w:tcPr>
          <w:p w:rsidR="00377EE6" w:rsidRPr="00D33BA5" w:rsidRDefault="00377EE6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D33BA5">
              <w:rPr>
                <w:b/>
                <w:sz w:val="20"/>
                <w:szCs w:val="20"/>
              </w:rPr>
              <w:t>Fracture Definition Used, Number of Fracture Events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bottom"/>
          </w:tcPr>
          <w:p w:rsidR="00377EE6" w:rsidRPr="00D33BA5" w:rsidRDefault="00377EE6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D33BA5">
              <w:rPr>
                <w:b/>
                <w:sz w:val="20"/>
                <w:szCs w:val="20"/>
              </w:rPr>
              <w:t>Length of Cohort Followup</w:t>
            </w:r>
          </w:p>
        </w:tc>
        <w:tc>
          <w:tcPr>
            <w:tcW w:w="4293" w:type="dxa"/>
            <w:shd w:val="clear" w:color="auto" w:fill="D9D9D9" w:themeFill="background1" w:themeFillShade="D9"/>
            <w:vAlign w:val="bottom"/>
          </w:tcPr>
          <w:p w:rsidR="00377EE6" w:rsidRPr="00D33BA5" w:rsidRDefault="00377EE6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D33BA5">
              <w:rPr>
                <w:b/>
                <w:sz w:val="20"/>
                <w:szCs w:val="20"/>
              </w:rPr>
              <w:t>Summary of Results</w:t>
            </w:r>
          </w:p>
        </w:tc>
      </w:tr>
      <w:tr w:rsidR="00377EE6" w:rsidRPr="00D33BA5" w:rsidTr="005C57BE">
        <w:tc>
          <w:tcPr>
            <w:tcW w:w="168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Leslie et al, 2012</w:t>
            </w:r>
            <w:r w:rsidRPr="00D33BA5">
              <w:rPr>
                <w:noProof/>
                <w:vertAlign w:val="superscript"/>
              </w:rPr>
              <w:t>123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Unclear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1835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Men and women age 50 and older from Manitoba, Canada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N=36,730 (92.7%) women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N=2,873(7.3%) men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Mean age:</w:t>
            </w:r>
            <w:r w:rsidRPr="00D33BA5">
              <w:br/>
              <w:t>65.7 (SD 9.8) women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68.2 (SD 10.1) men</w:t>
            </w:r>
          </w:p>
        </w:tc>
        <w:tc>
          <w:tcPr>
            <w:tcW w:w="1287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BMD NR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History of fracture NR</w:t>
            </w:r>
          </w:p>
        </w:tc>
        <w:tc>
          <w:tcPr>
            <w:tcW w:w="1696" w:type="dxa"/>
          </w:tcPr>
          <w:p w:rsidR="00377EE6" w:rsidRPr="00D33BA5" w:rsidRDefault="00377EE6" w:rsidP="005C57BE">
            <w:pPr>
              <w:pStyle w:val="AppTableText"/>
              <w:rPr>
                <w:strike/>
              </w:rPr>
            </w:pPr>
            <w:r w:rsidRPr="00D33BA5">
              <w:t>FRAX (10 year prediction), with and without BMD</w:t>
            </w:r>
          </w:p>
        </w:tc>
        <w:tc>
          <w:tcPr>
            <w:tcW w:w="1499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Hip and MOF based on hospital discharge abstracts and physician billing claims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Number of fractures: 2,543</w:t>
            </w:r>
          </w:p>
        </w:tc>
        <w:tc>
          <w:tcPr>
            <w:tcW w:w="105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Mean 5.4 years</w:t>
            </w:r>
          </w:p>
          <w:p w:rsidR="00377EE6" w:rsidRPr="00D33BA5" w:rsidRDefault="00377EE6" w:rsidP="005C57BE">
            <w:pPr>
              <w:pStyle w:val="AppTableText"/>
              <w:rPr>
                <w:strike/>
              </w:rPr>
            </w:pPr>
          </w:p>
        </w:tc>
        <w:tc>
          <w:tcPr>
            <w:tcW w:w="4293" w:type="dxa"/>
          </w:tcPr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AUC (95% CI) for Fracture Prediction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Women (MOF)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Femoral neck BMD alone: 0.682 ( 0.670-0.693)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Without BMD: 0.666 (0.655-0.678)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BMD: 0.698 ( 0.687-0.708)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Men (MOF)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Femoral neck BMD alone: 0.645 (0.601-0.689)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Without BMD: 0.609 ( 0.564-0.654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BMD: 0.661 (0.619-0.703)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Women (Hip)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Femoral neck BMD alone: 0.802 ( 0.783-0.820)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Without BMD: 0.789 (0.772-0.807)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BMD: 0.822 (0.805-0.838)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Men (Hip)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Femoral neck BMD alone: 0.798 (0.726-0.870)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Without BMD: 0.733 (0.659-0.807)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BMD: 0.789 (0.722-0.855)</w:t>
            </w:r>
          </w:p>
        </w:tc>
      </w:tr>
      <w:tr w:rsidR="00377EE6" w:rsidRPr="00D33BA5" w:rsidTr="005C57BE">
        <w:tc>
          <w:tcPr>
            <w:tcW w:w="168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 xml:space="preserve">Iki et al, 2015 </w:t>
            </w:r>
            <w:r w:rsidRPr="00D33BA5">
              <w:rPr>
                <w:noProof/>
                <w:vertAlign w:val="superscript"/>
              </w:rPr>
              <w:t>132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Unclear</w:t>
            </w:r>
          </w:p>
        </w:tc>
        <w:tc>
          <w:tcPr>
            <w:tcW w:w="1835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Men 65 or older from Japan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N=2012 eligible and 1805 for analysis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Mean age: 73.0 (SD 5.1)</w:t>
            </w:r>
          </w:p>
        </w:tc>
        <w:tc>
          <w:tcPr>
            <w:tcW w:w="1287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BMD: 0.741 g/cm</w:t>
            </w:r>
            <w:r w:rsidRPr="00D33BA5">
              <w:rPr>
                <w:vertAlign w:val="superscript"/>
              </w:rPr>
              <w:t xml:space="preserve">2 </w:t>
            </w:r>
            <w:r w:rsidRPr="00D33BA5">
              <w:t>(0.114)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History of fracture: 22</w:t>
            </w:r>
          </w:p>
        </w:tc>
        <w:tc>
          <w:tcPr>
            <w:tcW w:w="1696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FRAX, version 3.8 for Japan and TBS</w:t>
            </w:r>
          </w:p>
        </w:tc>
        <w:tc>
          <w:tcPr>
            <w:tcW w:w="1499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MOF (femoral next, spine, distal forearm, proximal humerus) from low-energy trauma</w:t>
            </w:r>
          </w:p>
        </w:tc>
        <w:tc>
          <w:tcPr>
            <w:tcW w:w="105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4.5 years</w:t>
            </w:r>
          </w:p>
        </w:tc>
        <w:tc>
          <w:tcPr>
            <w:tcW w:w="4293" w:type="dxa"/>
          </w:tcPr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AUC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FRAX 10 years (w/BMD) Men MOF : 0.681 (0.586 to 0.776)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TBS Men MOF after 4.5 years: 0.669 (0.548 to 0.79)</w:t>
            </w:r>
          </w:p>
        </w:tc>
      </w:tr>
      <w:tr w:rsidR="00377EE6" w:rsidRPr="00D33BA5" w:rsidTr="005C57BE">
        <w:tc>
          <w:tcPr>
            <w:tcW w:w="168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Van Geel, 2014</w:t>
            </w:r>
            <w:r w:rsidRPr="00D33BA5">
              <w:rPr>
                <w:noProof/>
                <w:vertAlign w:val="superscript"/>
              </w:rPr>
              <w:t>124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Unclear</w:t>
            </w:r>
          </w:p>
        </w:tc>
        <w:tc>
          <w:tcPr>
            <w:tcW w:w="1835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Post-menopausal women ages 50-80 years from 12 practices in southeastern Netherlands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N=506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Mean age: 68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1287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Mean(SD) femoral neck BMD T-score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Fracture group: −1.7(1.0)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Non-fracture group: −1.2(1.0)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History of fracture NR </w:t>
            </w:r>
          </w:p>
        </w:tc>
        <w:tc>
          <w:tcPr>
            <w:tcW w:w="1696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FRAX (10 year prediction), Garvan FRC (5,10 years)</w:t>
            </w:r>
          </w:p>
        </w:tc>
        <w:tc>
          <w:tcPr>
            <w:tcW w:w="1499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All (included: clinical spine, humerus, forearm, hip, “other”),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MOF (all above except other),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Hip fractures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Self-report with medical record confirmation.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Number of fractures: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All: 48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MOF: 33</w:t>
            </w:r>
          </w:p>
        </w:tc>
        <w:tc>
          <w:tcPr>
            <w:tcW w:w="105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5 years</w:t>
            </w:r>
          </w:p>
        </w:tc>
        <w:tc>
          <w:tcPr>
            <w:tcW w:w="4293" w:type="dxa"/>
          </w:tcPr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AUC for Fracture Prediction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FRAX OF fracture risk without BMD: 0.653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FRAX OF fracture risk with BMD: 0.693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FRAX hip fracture risk with BMD: 0.698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Garvan OF fracture risk without BMD: 0.646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Garvan OF fracture risk with BMD: 0.689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Garvan hip fracture risk with BMD: 0.695</w:t>
            </w:r>
          </w:p>
          <w:p w:rsidR="00377EE6" w:rsidRPr="00D33BA5" w:rsidRDefault="00377EE6" w:rsidP="005C57BE">
            <w:pPr>
              <w:pStyle w:val="AppTableText"/>
            </w:pPr>
          </w:p>
        </w:tc>
      </w:tr>
      <w:tr w:rsidR="00377EE6" w:rsidRPr="00D33BA5" w:rsidTr="005C57BE">
        <w:tc>
          <w:tcPr>
            <w:tcW w:w="168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lastRenderedPageBreak/>
              <w:t>Rubin, 2013</w:t>
            </w:r>
            <w:r w:rsidRPr="00D33BA5">
              <w:rPr>
                <w:noProof/>
                <w:vertAlign w:val="superscript"/>
              </w:rPr>
              <w:t>128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Unclear</w:t>
            </w:r>
          </w:p>
        </w:tc>
        <w:tc>
          <w:tcPr>
            <w:tcW w:w="1835" w:type="dxa"/>
          </w:tcPr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Women ages 40 to 90 living in southern Denmark diagnosed and treated for osteoporosis.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N=3614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Mean age: 64 (SD 13)</w:t>
            </w: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1287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BMD NR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History of OF: 337 (9%)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Secondary osteoporosis: 655 (18%)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1696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FRAX 3.0 without BMD(10 year prediction), OST, ORAI, OSIRIS, SCORE, Age alone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with followup BMD testing for fx risk &gt;= 9.3% )- 10 yr horizon</w:t>
            </w:r>
          </w:p>
        </w:tc>
        <w:tc>
          <w:tcPr>
            <w:tcW w:w="1499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FRAX defined MOF, Any OF from registry.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Number of fractures: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OF: 225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MOF: 156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1058" w:type="dxa"/>
          </w:tcPr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3 years</w:t>
            </w: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4293" w:type="dxa"/>
          </w:tcPr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AUC (95% CI) for Fracture Prediction</w:t>
            </w:r>
          </w:p>
          <w:p w:rsidR="00377EE6" w:rsidRPr="00D33BA5" w:rsidRDefault="00377EE6" w:rsidP="005C57BE">
            <w:pPr>
              <w:pStyle w:val="AppTableText"/>
              <w:rPr>
                <w:i/>
                <w:color w:val="000000"/>
              </w:rPr>
            </w:pPr>
            <w:r w:rsidRPr="00D33BA5">
              <w:rPr>
                <w:i/>
                <w:color w:val="000000"/>
              </w:rPr>
              <w:t>MOF: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FRAX (no BMD): 0.722 (0.686, 0.758)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Age alone: 0.720 (0.685, 0.755)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OSIRIS: 0.713 (0.677, 0.749)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OST: 0.712 (0.675, 0.750)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ORAI 0.704 (0.663, 0.745)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SCORE 0.703 (0.664, 0.742)</w:t>
            </w:r>
          </w:p>
          <w:p w:rsidR="00377EE6" w:rsidRPr="00D33BA5" w:rsidRDefault="00377EE6" w:rsidP="005C57BE">
            <w:pPr>
              <w:pStyle w:val="AppTableText"/>
              <w:rPr>
                <w:i/>
                <w:color w:val="000000"/>
              </w:rPr>
            </w:pPr>
            <w:r w:rsidRPr="00D33BA5">
              <w:rPr>
                <w:i/>
                <w:color w:val="000000"/>
              </w:rPr>
              <w:t>Any OF: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FRAX (no BMD): 0.701 (0.668, 0.735)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Age alone: 0.694 (0.660, 0.727)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OSIRIS: 0.690 (0.658, 0.723)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OST: 0.691 (0.657, 0.725)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ORAI: 0.682 (0.646, 0.717)</w:t>
            </w:r>
          </w:p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SCORE: 0.681 (0.646, 0.716)</w:t>
            </w:r>
          </w:p>
        </w:tc>
      </w:tr>
      <w:tr w:rsidR="00377EE6" w:rsidRPr="00D33BA5" w:rsidTr="005C57BE">
        <w:tc>
          <w:tcPr>
            <w:tcW w:w="168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Azagra, 2011</w:t>
            </w:r>
            <w:r w:rsidRPr="00D33BA5">
              <w:rPr>
                <w:noProof/>
                <w:vertAlign w:val="superscript"/>
              </w:rPr>
              <w:t>181</w:t>
            </w:r>
            <w:r w:rsidRPr="00D33BA5">
              <w:t>&amp; 2012</w:t>
            </w:r>
            <w:r w:rsidRPr="00D33BA5">
              <w:rPr>
                <w:noProof/>
                <w:vertAlign w:val="superscript"/>
              </w:rPr>
              <w:t>125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Unclear</w:t>
            </w:r>
          </w:p>
        </w:tc>
        <w:tc>
          <w:tcPr>
            <w:tcW w:w="1835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Random sample of participations ages 40 to 90 years from the FRIDEX Cohort, comprised of women in Spain referred by general practitioners and specialists for bone density screening.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N=770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Mean age: 56.8 (SD8.0)</w:t>
            </w:r>
          </w:p>
        </w:tc>
        <w:tc>
          <w:tcPr>
            <w:tcW w:w="1287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BMD NR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History of fracture: X (22.8%)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Use of medication for osteoporosis: X (27.9%)</w:t>
            </w: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1696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FRAX version 3.2 (10 year prediction) calibrated for Spain</w:t>
            </w:r>
          </w:p>
        </w:tc>
        <w:tc>
          <w:tcPr>
            <w:tcW w:w="1499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Incident fragility fractures of hip or MOF, major trauma associated fractures were excluded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Self-report confirmed by medical records.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Number of fractures: 65</w:t>
            </w: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105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10 years</w:t>
            </w: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4293" w:type="dxa"/>
          </w:tcPr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AUC (95% CI) for Fracture Prediction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without BMD, Hip: 0.88 (0.82 to 0.95)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without BMD, MOF: 0.69 (0.62 to 0.76)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FN BMD, Hip: 0.85 (0.74 to 0.96)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FN BMD, MOF: 0.72 (0.65 to 0.79)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LS BMD, Hip: 0.77 (0.66 to 0.88)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LS BMD, MOF: 0.71 (0.64 to 0.78)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BMD FN only, Hip: 0.78 (0.63 to 0.93)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BMD FN only, MOF: 0.66 (0.58 to 0.74)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BMD LS only, Hip: 0.63 (CI, 0.49 to 0.77) (p=0.067)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BMD LS only, MOF: 0.64 (CI, 0.57 to 0.71)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without BMD, vertebral: 0.75 (CI, 0.64 to 0.86)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FN BMD, vertebral: 0.82 (CI, 0.73 to 0.91)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LS BMD, vertebral: 0.71 (CI, 0.58 to 0.84)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Age alone, hip: 0.89 (no CI, provided, but comparison with FRAX tool reported as p=0.976)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Age alone, MOF: 0.67 (no CI, provided, but comparison with FRAX tool reported as p=0.565</w:t>
            </w:r>
          </w:p>
        </w:tc>
      </w:tr>
      <w:tr w:rsidR="00377EE6" w:rsidRPr="00D33BA5" w:rsidTr="005C57BE">
        <w:tc>
          <w:tcPr>
            <w:tcW w:w="168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lastRenderedPageBreak/>
              <w:t>Leslie, 2012</w:t>
            </w:r>
            <w:r w:rsidRPr="00D33BA5">
              <w:rPr>
                <w:noProof/>
                <w:vertAlign w:val="superscript"/>
              </w:rPr>
              <w:t>127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Unclear</w:t>
            </w:r>
          </w:p>
        </w:tc>
        <w:tc>
          <w:tcPr>
            <w:tcW w:w="1835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Women and men age 50 years and older from Manitoba, Canada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N=20,477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Mean age: 65(SD 9)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94.1% women 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1287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BMD NR, history of fracture NR</w:t>
            </w:r>
          </w:p>
        </w:tc>
        <w:tc>
          <w:tcPr>
            <w:tcW w:w="1696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FRAX (10 year prediction)</w:t>
            </w:r>
          </w:p>
        </w:tc>
        <w:tc>
          <w:tcPr>
            <w:tcW w:w="1499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MOF not associated with major trauma based on hospital discharge abstracts and physician billing claims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Number of fractures: 1,845</w:t>
            </w:r>
          </w:p>
        </w:tc>
        <w:tc>
          <w:tcPr>
            <w:tcW w:w="105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Mean 8 years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4293" w:type="dxa"/>
          </w:tcPr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AUC (95% CI) for Fracture Prediction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FN BMD: 0.695 (0.683–0.708)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Without BMD: 0.668 (0.655–0.681)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LS BMD: 0.685 (0.673–0.698)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minimum BMD: 0.694 (0.681–0.706)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weighted mean BMD: 0.697 (0.685–0.710)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With BMD offset: 0.698 (0.685–0.710) </w:t>
            </w:r>
          </w:p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Percent appropriate reclassification: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FN BMD: reference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Without BMD: 44.5%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LS BMD: 41.1%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minimum BMD: 10.5%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weighted mean BMD: 50.6%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With BMD offset: 52.4%</w:t>
            </w:r>
          </w:p>
        </w:tc>
      </w:tr>
      <w:tr w:rsidR="00377EE6" w:rsidRPr="00D33BA5" w:rsidTr="005C57BE">
        <w:tc>
          <w:tcPr>
            <w:tcW w:w="168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Ahmed, 2014</w:t>
            </w:r>
            <w:r w:rsidRPr="00D33BA5">
              <w:rPr>
                <w:noProof/>
                <w:vertAlign w:val="superscript"/>
              </w:rPr>
              <w:t>129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Unclear AUCs, High for NRIs</w:t>
            </w:r>
          </w:p>
        </w:tc>
        <w:tc>
          <w:tcPr>
            <w:tcW w:w="1835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Men and women age 60 years and older from the Norwegian Tromso Cohort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 = 2992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55% women</w:t>
            </w:r>
          </w:p>
        </w:tc>
        <w:tc>
          <w:tcPr>
            <w:tcW w:w="1287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Femoral Neck BMD T-Score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Mean: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 -1.46 (SD 1.19) (Non fracture group)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-1.89 (SD 1.10) (Fracture group)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History of fracture NR</w:t>
            </w:r>
          </w:p>
        </w:tc>
        <w:tc>
          <w:tcPr>
            <w:tcW w:w="1696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Garvan Fracture Risk Calculator (FRC) with and without BMD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(5 and 10 year prediction)</w:t>
            </w:r>
          </w:p>
        </w:tc>
        <w:tc>
          <w:tcPr>
            <w:tcW w:w="1499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All fractures except finger, toe, or skull, or vertebral recorded in the fracture registry. Hip fractures were verified through hospital discharge records.</w:t>
            </w:r>
          </w:p>
        </w:tc>
        <w:tc>
          <w:tcPr>
            <w:tcW w:w="105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Median 6.9 years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4293" w:type="dxa"/>
          </w:tcPr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AUC for Fracture Prediction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5 yr risk with BMD, nonvertebral fracture (women): 0.61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5 yr risk without BMD, nonvertebral fracture (women): 0.57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5 yr risk with BMD, hip fracture (women): 0.78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5 yr risk without BMD, hip fracture (women): 0.70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5 yr risk with BMD, nonvertebral fracture (men): 0.67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5 yr risk without BMD, nonvertebral fracture (men): 0.56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5 yr risk with BMD, hip fracture (men): 0.79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5 yr risk without BMD, hip fracture (men): 0.69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10 yr risk with BMD, nonvertebral fracture (women): 0.62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10 yr risk without BMD, nonvertebral fracture (women): 0.58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10 yr risk with BMD, hip fracture (women): 0.73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10 yr risk without BMD, hip fracture (women): 0.68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10 yr risk with BMD, nonvertebral fracture: (men) 0.61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10 yr risk without BMD, nonvertebral fracture: (men) 0.57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10 yr risk with BMD, hip fracture (men): 0.74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10 yr risk without, hip fracture (men): 0.65</w:t>
            </w:r>
          </w:p>
        </w:tc>
      </w:tr>
      <w:tr w:rsidR="00377EE6" w:rsidRPr="00D33BA5" w:rsidTr="005C57BE">
        <w:tc>
          <w:tcPr>
            <w:tcW w:w="168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lastRenderedPageBreak/>
              <w:t>Hippisley-Cox, 2012</w:t>
            </w:r>
            <w:r w:rsidRPr="00D33BA5">
              <w:rPr>
                <w:noProof/>
                <w:vertAlign w:val="superscript"/>
              </w:rPr>
              <w:t>130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Unclear</w:t>
            </w:r>
          </w:p>
        </w:tc>
        <w:tc>
          <w:tcPr>
            <w:tcW w:w="1835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Patients ages 30 to 100 years from a database of 13 million patients in 620 practices nationally representative practices in the United Kingdom using the Egton Medical Information System.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N=1,583,373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Mean age: 50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50.8% women</w:t>
            </w:r>
          </w:p>
        </w:tc>
        <w:tc>
          <w:tcPr>
            <w:tcW w:w="1287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BMD NR,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History of fracture: 1.8%</w:t>
            </w:r>
          </w:p>
        </w:tc>
        <w:tc>
          <w:tcPr>
            <w:tcW w:w="1696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QFracture (10 yr prediction)</w:t>
            </w:r>
          </w:p>
        </w:tc>
        <w:tc>
          <w:tcPr>
            <w:tcW w:w="1499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 xml:space="preserve">OF defined as a hip, vertebral, proximal humerus, or distal radius fracture during follow-up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Number of OF: 28,685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Number of hip fractures: 9,610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Fractures were recorded either on the general practice record or the linked death record.</w:t>
            </w:r>
          </w:p>
        </w:tc>
        <w:tc>
          <w:tcPr>
            <w:tcW w:w="1058" w:type="dxa"/>
          </w:tcPr>
          <w:p w:rsidR="00377EE6" w:rsidRPr="00D33BA5" w:rsidRDefault="00377EE6" w:rsidP="005C57BE">
            <w:pPr>
              <w:pStyle w:val="AppTableText"/>
              <w:rPr>
                <w:color w:val="000000"/>
              </w:rPr>
            </w:pPr>
            <w:r w:rsidRPr="00D33BA5">
              <w:rPr>
                <w:color w:val="000000"/>
              </w:rPr>
              <w:t>Up to 15 years</w:t>
            </w: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4293" w:type="dxa"/>
          </w:tcPr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AUC (95% CI) for Fracture Prediction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Women OF: 0.790 (0.787 to 0.793)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Women Hip Fracture: 0.893 (0.890 to 0.896)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Men OF: 0.711 (0.703 to 0.719)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Men Hip Fracture: 0.875 (0.868 to 0.883)</w:t>
            </w:r>
          </w:p>
        </w:tc>
      </w:tr>
      <w:tr w:rsidR="00377EE6" w:rsidRPr="00D33BA5" w:rsidTr="005C57BE">
        <w:tc>
          <w:tcPr>
            <w:tcW w:w="168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Leslie, 2010</w:t>
            </w:r>
            <w:r w:rsidRPr="00D33BA5">
              <w:rPr>
                <w:noProof/>
                <w:vertAlign w:val="superscript"/>
              </w:rPr>
              <w:t>131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Unclear</w:t>
            </w:r>
          </w:p>
        </w:tc>
        <w:tc>
          <w:tcPr>
            <w:tcW w:w="1835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Men and women age 50 and older from Manitoba, Canada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N=36,730 (92.7%) women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N=2,873(7.3%) men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Mean age:</w:t>
            </w:r>
            <w:r w:rsidRPr="00D33BA5">
              <w:br/>
              <w:t>65.7 (SD 9.8) women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68.2 (SD 10.1) men </w:t>
            </w:r>
          </w:p>
        </w:tc>
        <w:tc>
          <w:tcPr>
            <w:tcW w:w="1287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14.3% of women have a BMD T score of &lt;=-2.5 based on the female reference; 18.9% of men have a lBMD T-score based on the male reference</w:t>
            </w:r>
          </w:p>
        </w:tc>
        <w:tc>
          <w:tcPr>
            <w:tcW w:w="1696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CAROC, 10-year prediction</w:t>
            </w:r>
          </w:p>
        </w:tc>
        <w:tc>
          <w:tcPr>
            <w:tcW w:w="1499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MOF not associated with major trauma based on hospital discharge abstracts and physician billing claims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Number of fractures: 2,543</w:t>
            </w:r>
          </w:p>
        </w:tc>
        <w:tc>
          <w:tcPr>
            <w:tcW w:w="105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Women, mean 5.4 years, men, mean 4.4 years</w:t>
            </w:r>
          </w:p>
        </w:tc>
        <w:tc>
          <w:tcPr>
            <w:tcW w:w="4293" w:type="dxa"/>
          </w:tcPr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Risk categorization, N fracture/N in category</w:t>
            </w:r>
          </w:p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Women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With BMD FN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Low (&lt;10% 10yr risk): 341/12,878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Moderate (10-20% 10 yr risk): 748/13,813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High (&gt;20% 10 yr risk): 1291/10,039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p&lt;0.001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With minimum site BMD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Low (&lt;10% 10 yr risk): 231/9866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Moderate (10-20% 10 yr risk): 599/12,960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High (&gt;20% 10 yr risk): 1550/13,904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p &lt;0.001</w:t>
            </w:r>
          </w:p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Men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With BMD FN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Low (&lt;10% 10 yr risk): 42/1255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Moderate (10-20% 10 yr risk): 71/1187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High (&gt;20% 10 yr risk): 50/431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p &lt;0.001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With minimum site BMD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Low (&lt;10% 10 yr risk): 33/1120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Moderate (10-20% 10 yr risk): 70/1199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 xml:space="preserve">High (&gt;20% 10 yr risk): 60/554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p &lt;0.001</w:t>
            </w:r>
          </w:p>
        </w:tc>
      </w:tr>
      <w:tr w:rsidR="00377EE6" w:rsidRPr="00D33BA5" w:rsidTr="005C57BE">
        <w:tc>
          <w:tcPr>
            <w:tcW w:w="168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lastRenderedPageBreak/>
              <w:t>Morin, 2009</w:t>
            </w:r>
            <w:r w:rsidRPr="00D33BA5">
              <w:rPr>
                <w:noProof/>
                <w:vertAlign w:val="superscript"/>
              </w:rPr>
              <w:t>102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Unclear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1835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Women age 40–59 years who had baseline BMD testing in Manitoba, Canada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N=8,254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Mean age: 52.7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</w:p>
        </w:tc>
        <w:tc>
          <w:tcPr>
            <w:tcW w:w="1287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 xml:space="preserve">BMD T-Score at any site &lt;=-2.5: 14.9%;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history of fracture: 7.1%</w:t>
            </w:r>
          </w:p>
        </w:tc>
        <w:tc>
          <w:tcPr>
            <w:tcW w:w="1696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Weight, BMI, OST (no prediction time interval specified)</w:t>
            </w:r>
          </w:p>
        </w:tc>
        <w:tc>
          <w:tcPr>
            <w:tcW w:w="1499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 xml:space="preserve">Incident fractures not associated with trauma ascertained by administrative diagnosis codes from longitudinal health record and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Number of fractures: 225</w:t>
            </w:r>
          </w:p>
        </w:tc>
        <w:tc>
          <w:tcPr>
            <w:tcW w:w="105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Mean 3.3 years</w:t>
            </w:r>
          </w:p>
        </w:tc>
        <w:tc>
          <w:tcPr>
            <w:tcW w:w="4293" w:type="dxa"/>
          </w:tcPr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AUC (95% CI) for Fracture Prediction</w:t>
            </w:r>
          </w:p>
          <w:p w:rsidR="00377EE6" w:rsidRPr="00D33BA5" w:rsidRDefault="00377EE6" w:rsidP="005C57BE">
            <w:pPr>
              <w:pStyle w:val="AppTableText"/>
              <w:rPr>
                <w:i/>
              </w:rPr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Weight: 0.55 (95% CI, 0.51–0.59)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BMI: 0.55 (95% CI, 0.51–0.59)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OST: 0.56 (95% CI, 0.52–0.60)</w:t>
            </w:r>
          </w:p>
        </w:tc>
      </w:tr>
      <w:tr w:rsidR="00377EE6" w:rsidRPr="00D33BA5" w:rsidTr="005C57BE">
        <w:tc>
          <w:tcPr>
            <w:tcW w:w="168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Crandall, 2014</w:t>
            </w:r>
            <w:r w:rsidRPr="00D33BA5">
              <w:rPr>
                <w:noProof/>
                <w:vertAlign w:val="superscript"/>
              </w:rPr>
              <w:t>58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Unclear</w:t>
            </w:r>
          </w:p>
        </w:tc>
        <w:tc>
          <w:tcPr>
            <w:tcW w:w="1835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 xml:space="preserve">Women ages 50 to 64 years participating in the US Women’s Health Initiative Clinical Trials and Observational Studies. 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Mean Age 57.9(SD 4.1)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N=62,492</w:t>
            </w:r>
          </w:p>
        </w:tc>
        <w:tc>
          <w:tcPr>
            <w:tcW w:w="1287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BMD NR, history of fracture NR</w:t>
            </w:r>
          </w:p>
        </w:tc>
        <w:tc>
          <w:tcPr>
            <w:tcW w:w="1696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 xml:space="preserve">USPSTF Strategy (FRAX 3.0 without BMD with followup BMD testing for fx risk &gt;= 9.3% ); 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SCORE</w:t>
            </w:r>
          </w:p>
          <w:p w:rsidR="00377EE6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OST</w:t>
            </w:r>
          </w:p>
        </w:tc>
        <w:tc>
          <w:tcPr>
            <w:tcW w:w="1499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MOF (clinical vertebral, hip, lower arm/wrist, and upper arm fractures)</w:t>
            </w:r>
          </w:p>
          <w:p w:rsidR="00377EE6" w:rsidRPr="00D33BA5" w:rsidRDefault="00377EE6" w:rsidP="005C57BE">
            <w:pPr>
              <w:pStyle w:val="AppTableText"/>
            </w:pPr>
            <w:r w:rsidRPr="00D33BA5">
              <w:t>Hip fractures were centrally adjudicated, other fractures were self-report.</w:t>
            </w:r>
          </w:p>
        </w:tc>
        <w:tc>
          <w:tcPr>
            <w:tcW w:w="1058" w:type="dxa"/>
          </w:tcPr>
          <w:p w:rsidR="00377EE6" w:rsidRPr="00D33BA5" w:rsidRDefault="00377EE6" w:rsidP="005C57BE">
            <w:pPr>
              <w:pStyle w:val="AppTableText"/>
            </w:pPr>
            <w:r w:rsidRPr="00D33BA5">
              <w:t>10 years</w:t>
            </w:r>
          </w:p>
        </w:tc>
        <w:tc>
          <w:tcPr>
            <w:tcW w:w="4293" w:type="dxa"/>
          </w:tcPr>
          <w:p w:rsidR="00377EE6" w:rsidRPr="00D33BA5" w:rsidRDefault="00377EE6" w:rsidP="005C57BE">
            <w:pPr>
              <w:pStyle w:val="AppTableText"/>
              <w:rPr>
                <w:i/>
              </w:rPr>
            </w:pPr>
            <w:r w:rsidRPr="00D33BA5">
              <w:rPr>
                <w:i/>
              </w:rPr>
              <w:t>AUC (95% CI), Sensitivity (95% CI), Specificity (95% CI) for Fracture Prediction</w:t>
            </w:r>
          </w:p>
          <w:p w:rsidR="00377EE6" w:rsidRPr="00D33BA5" w:rsidRDefault="00377EE6" w:rsidP="005C57BE">
            <w:pPr>
              <w:pStyle w:val="AppTableText"/>
              <w:rPr>
                <w:i/>
              </w:rPr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FRAX without BMD (risk &gt;=9.3%): 0.56 (0.55 to 0.57), 25.8 (24.6 to 27.0), 83.3 (83.0 to 83.6)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SCORE: ( &gt;7): 0.53 (0.53 to 0.54), 38.6 (37.3 to 39.9), 65.8 (65.4 to 66.2)</w:t>
            </w:r>
          </w:p>
          <w:p w:rsidR="00377EE6" w:rsidRPr="00D33BA5" w:rsidRDefault="00377EE6" w:rsidP="005C57BE">
            <w:pPr>
              <w:pStyle w:val="AppTableText"/>
            </w:pPr>
          </w:p>
          <w:p w:rsidR="00377EE6" w:rsidRPr="00D33BA5" w:rsidRDefault="00377EE6" w:rsidP="005C57BE">
            <w:pPr>
              <w:pStyle w:val="AppTableText"/>
            </w:pPr>
            <w:r w:rsidRPr="00D33BA5">
              <w:t>OST ( &lt; 2): 0.52 (0.52 to 0.53), 39.8 (38.5 to 41.1), 60.7 (60.3 to 61.1)</w:t>
            </w:r>
          </w:p>
        </w:tc>
      </w:tr>
    </w:tbl>
    <w:p w:rsidR="00DB76EC" w:rsidRDefault="00377EE6">
      <w:r w:rsidRPr="00334A31">
        <w:rPr>
          <w:b/>
        </w:rPr>
        <w:t>Abbreviations:</w:t>
      </w:r>
      <w:r w:rsidRPr="00334A31">
        <w:t xml:space="preserve"> AUC</w:t>
      </w:r>
      <w:r>
        <w:t>=</w:t>
      </w:r>
      <w:r w:rsidRPr="00334A31">
        <w:t>area under the curve; BMD</w:t>
      </w:r>
      <w:r>
        <w:t>=bone mineral density; CI=</w:t>
      </w:r>
      <w:r w:rsidRPr="00334A31">
        <w:t>confidence interval; FN</w:t>
      </w:r>
      <w:r>
        <w:t>=</w:t>
      </w:r>
      <w:r w:rsidRPr="00334A31">
        <w:t>femoral neck; FRAX</w:t>
      </w:r>
      <w:r>
        <w:t>=</w:t>
      </w:r>
      <w:r w:rsidRPr="00334A31">
        <w:t>fracture risk assessment tool; FRISK</w:t>
      </w:r>
      <w:r>
        <w:t>=</w:t>
      </w:r>
      <w:r w:rsidRPr="00334A31">
        <w:t>absolute measure of fracture risk; LS</w:t>
      </w:r>
      <w:r>
        <w:t>=</w:t>
      </w:r>
      <w:r w:rsidRPr="00334A31">
        <w:t>lumbar spine; MOF</w:t>
      </w:r>
      <w:r>
        <w:t>=</w:t>
      </w:r>
      <w:r w:rsidRPr="00334A31">
        <w:t>major osteoporotic fracture; NR</w:t>
      </w:r>
      <w:r>
        <w:t>=</w:t>
      </w:r>
      <w:r w:rsidRPr="00334A31">
        <w:t>not reported</w:t>
      </w:r>
      <w:r>
        <w:t>;</w:t>
      </w:r>
      <w:r w:rsidRPr="00334A31">
        <w:t xml:space="preserve"> OF</w:t>
      </w:r>
      <w:r>
        <w:t>=</w:t>
      </w:r>
      <w:r w:rsidRPr="00334A31">
        <w:t>osteoporotic fracture; OST</w:t>
      </w:r>
      <w:r>
        <w:t>=</w:t>
      </w:r>
      <w:r w:rsidRPr="00334A31">
        <w:t>osteoporosis self-assessment tool; SCORE</w:t>
      </w:r>
      <w:r>
        <w:t>=</w:t>
      </w:r>
      <w:r w:rsidRPr="00334A31">
        <w:t>simple calculated osteoporosis risk estimate; SD</w:t>
      </w:r>
      <w:r>
        <w:t>=</w:t>
      </w:r>
      <w:r w:rsidRPr="00334A31">
        <w:t>standard deviation; USPSTF</w:t>
      </w:r>
      <w:r>
        <w:t>=</w:t>
      </w:r>
      <w:r w:rsidRPr="00334A31">
        <w:t>United States Preventive Services Task Force</w:t>
      </w:r>
      <w:r>
        <w:t>.</w:t>
      </w:r>
    </w:p>
    <w:sectPr w:rsidR="00DB76EC" w:rsidSect="00377EE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EE6" w:rsidRDefault="00377EE6" w:rsidP="00377EE6">
      <w:r>
        <w:separator/>
      </w:r>
    </w:p>
  </w:endnote>
  <w:endnote w:type="continuationSeparator" w:id="1">
    <w:p w:rsidR="00377EE6" w:rsidRDefault="00377EE6" w:rsidP="0037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E6" w:rsidRDefault="00377EE6" w:rsidP="00377EE6">
    <w:pPr>
      <w:pStyle w:val="Footer"/>
      <w:jc w:val="center"/>
    </w:pPr>
    <w:r>
      <w:t>F-</w:t>
    </w:r>
    <w:sdt>
      <w:sdtPr>
        <w:id w:val="174006321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80</w:t>
          </w:r>
        </w:fldSimple>
      </w:sdtContent>
    </w:sdt>
  </w:p>
  <w:p w:rsidR="00377EE6" w:rsidRDefault="00377E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EE6" w:rsidRDefault="00377EE6" w:rsidP="00377EE6">
      <w:r>
        <w:separator/>
      </w:r>
    </w:p>
  </w:footnote>
  <w:footnote w:type="continuationSeparator" w:id="1">
    <w:p w:rsidR="00377EE6" w:rsidRDefault="00377EE6" w:rsidP="00377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E6" w:rsidRDefault="00377EE6">
    <w:pPr>
      <w:pStyle w:val="Header"/>
    </w:pPr>
    <w:r>
      <w:t>Appendix F Table 8. Characteristics and Results of Risk Prediction Instruments Predicting Fractures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EE6"/>
    <w:rsid w:val="00377EE6"/>
    <w:rsid w:val="00DB76EC"/>
    <w:rsid w:val="00E1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E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377EE6"/>
    <w:rPr>
      <w:rFonts w:ascii="Arial" w:eastAsia="Times New Roman" w:hAnsi="Arial" w:cs="Times New Roman"/>
      <w:sz w:val="18"/>
      <w:szCs w:val="20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  <w:vAlign w:val="bottom"/>
      </w:tcPr>
    </w:tblStylePr>
  </w:style>
  <w:style w:type="paragraph" w:customStyle="1" w:styleId="AppTableText">
    <w:name w:val="AppTableText"/>
    <w:basedOn w:val="Normal"/>
    <w:qFormat/>
    <w:rsid w:val="00377EE6"/>
    <w:rPr>
      <w:rFonts w:ascii="Arial" w:eastAsia="Calibri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377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EE6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7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EE6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Siva</cp:lastModifiedBy>
  <cp:revision>1</cp:revision>
  <dcterms:created xsi:type="dcterms:W3CDTF">2018-09-08T09:49:00Z</dcterms:created>
  <dcterms:modified xsi:type="dcterms:W3CDTF">2018-09-08T09:53:00Z</dcterms:modified>
</cp:coreProperties>
</file>