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HRQ1"/>
        <w:tblW w:w="1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4"/>
        <w:gridCol w:w="1271"/>
        <w:gridCol w:w="2790"/>
        <w:gridCol w:w="3330"/>
        <w:gridCol w:w="2160"/>
        <w:gridCol w:w="1923"/>
      </w:tblGrid>
      <w:tr w:rsidR="009B68D6" w:rsidRPr="002924BD" w:rsidTr="005C57BE">
        <w:trPr>
          <w:tblHeader/>
        </w:trPr>
        <w:tc>
          <w:tcPr>
            <w:tcW w:w="1514" w:type="dxa"/>
            <w:shd w:val="clear" w:color="auto" w:fill="D9D9D9" w:themeFill="background1" w:themeFillShade="D9"/>
            <w:vAlign w:val="bottom"/>
          </w:tcPr>
          <w:p w:rsidR="009B68D6" w:rsidRPr="002924BD" w:rsidRDefault="009B68D6" w:rsidP="005C57BE">
            <w:pPr>
              <w:pStyle w:val="Tabletext0"/>
              <w:rPr>
                <w:b/>
                <w:szCs w:val="20"/>
              </w:rPr>
            </w:pPr>
            <w:r w:rsidRPr="002924BD">
              <w:rPr>
                <w:b/>
                <w:szCs w:val="20"/>
              </w:rPr>
              <w:t>First Author’s Last Name, Year</w:t>
            </w:r>
          </w:p>
          <w:p w:rsidR="009B68D6" w:rsidRPr="002924BD" w:rsidRDefault="009B68D6" w:rsidP="005C57BE">
            <w:pPr>
              <w:pStyle w:val="Tabletext0"/>
              <w:rPr>
                <w:b/>
                <w:szCs w:val="20"/>
              </w:rPr>
            </w:pPr>
            <w:r w:rsidRPr="002924BD">
              <w:rPr>
                <w:b/>
                <w:szCs w:val="20"/>
              </w:rPr>
              <w:t xml:space="preserve">Risk of Bias 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bottom"/>
          </w:tcPr>
          <w:p w:rsidR="009B68D6" w:rsidRPr="002924BD" w:rsidRDefault="009B68D6" w:rsidP="005C57BE">
            <w:pPr>
              <w:pStyle w:val="Tabletext0"/>
              <w:jc w:val="center"/>
              <w:rPr>
                <w:b/>
                <w:szCs w:val="20"/>
              </w:rPr>
            </w:pPr>
            <w:r w:rsidRPr="002924BD">
              <w:rPr>
                <w:b/>
                <w:szCs w:val="20"/>
              </w:rPr>
              <w:t>Tool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bottom"/>
          </w:tcPr>
          <w:p w:rsidR="009B68D6" w:rsidRPr="002924BD" w:rsidRDefault="009B68D6" w:rsidP="005C57BE">
            <w:pPr>
              <w:pStyle w:val="Tabletext0"/>
              <w:jc w:val="center"/>
              <w:rPr>
                <w:b/>
                <w:strike/>
                <w:szCs w:val="20"/>
              </w:rPr>
            </w:pPr>
            <w:r w:rsidRPr="002924BD">
              <w:rPr>
                <w:b/>
                <w:szCs w:val="20"/>
              </w:rPr>
              <w:t>Period of Time between Risk Prediction Measurement and BMD Measurement (Specify Unit of Time)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bottom"/>
          </w:tcPr>
          <w:p w:rsidR="009B68D6" w:rsidRPr="002924BD" w:rsidRDefault="009B68D6" w:rsidP="005C57BE">
            <w:pPr>
              <w:pStyle w:val="Tabletext0"/>
              <w:jc w:val="center"/>
              <w:rPr>
                <w:b/>
                <w:szCs w:val="20"/>
              </w:rPr>
            </w:pPr>
            <w:r w:rsidRPr="002924BD">
              <w:rPr>
                <w:b/>
                <w:szCs w:val="20"/>
              </w:rPr>
              <w:t>AUC (95% CI)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</w:tcPr>
          <w:p w:rsidR="009B68D6" w:rsidRPr="002924BD" w:rsidRDefault="009B68D6" w:rsidP="005C57BE">
            <w:pPr>
              <w:pStyle w:val="Tabletext0"/>
              <w:jc w:val="center"/>
              <w:rPr>
                <w:b/>
                <w:szCs w:val="20"/>
              </w:rPr>
            </w:pPr>
            <w:r w:rsidRPr="002924BD">
              <w:rPr>
                <w:b/>
                <w:szCs w:val="20"/>
              </w:rPr>
              <w:t>Sensitivity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bottom"/>
          </w:tcPr>
          <w:p w:rsidR="009B68D6" w:rsidRPr="002924BD" w:rsidRDefault="009B68D6" w:rsidP="005C57BE">
            <w:pPr>
              <w:pStyle w:val="Tabletext0"/>
              <w:jc w:val="center"/>
              <w:rPr>
                <w:b/>
                <w:szCs w:val="20"/>
              </w:rPr>
            </w:pPr>
            <w:r w:rsidRPr="002924BD">
              <w:rPr>
                <w:b/>
                <w:szCs w:val="20"/>
              </w:rPr>
              <w:t>Specificity (95% CI)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Cadarette, 2001</w:t>
            </w:r>
            <w:r w:rsidRPr="002924BD">
              <w:rPr>
                <w:noProof/>
                <w:vertAlign w:val="superscript"/>
              </w:rPr>
              <w:t>82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ABONE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NR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Likely &lt; 2 years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AUROC with respect to DXA outcome ofT score=&lt; -2.5 at femoral neck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ABONE: 0.72 (0.02)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ABONE &gt;=2: 83.3 (78.5-88.0)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ABONE &gt;=2: 47.7 (45.6-49.8)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Chan, 2006</w:t>
            </w:r>
            <w:r w:rsidRPr="002924BD">
              <w:rPr>
                <w:noProof/>
                <w:vertAlign w:val="superscript"/>
              </w:rPr>
              <w:t>86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ABONE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Not specifically indicated but appears to have been done shortly after enrollment since subjects were enrolled prospectively.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ABONE&gt;=3: 0.70 (0.63-0.78)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ABONE &gt;=3: 81.8% (NR)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ABONE &gt;=3: 55.9% (NR)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D’Amelio, 2005</w:t>
            </w:r>
            <w:r w:rsidRPr="002924BD">
              <w:rPr>
                <w:noProof/>
                <w:vertAlign w:val="superscript"/>
              </w:rPr>
              <w:t>88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AMMEB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AMMEB&gt;=10: 0.71 (NR)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D’Amelio, 2013</w:t>
            </w:r>
            <w:r w:rsidRPr="002924BD">
              <w:rPr>
                <w:noProof/>
                <w:vertAlign w:val="superscript"/>
              </w:rPr>
              <w:t>89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AMMEB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Not specifically indicated but appears to have been done shortly after enrollment since subjects were enrolled prospectively.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AMMEB&gt;=10:0.63 (NR)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Nguyen, 2004</w:t>
            </w:r>
            <w:r w:rsidRPr="002924BD">
              <w:rPr>
                <w:noProof/>
                <w:vertAlign w:val="superscript"/>
              </w:rPr>
              <w:t>103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DOESCore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Concurrent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DOEScore for T score&lt;-2.5: 0.75 (SE 0.03)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DOEScore &gt;10 : 82% (NR)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DOEScore &gt;10: 52% (NR)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Jimenez-Nunez, 2013</w:t>
            </w:r>
            <w:r w:rsidRPr="002924BD">
              <w:rPr>
                <w:noProof/>
                <w:vertAlign w:val="superscript"/>
              </w:rPr>
              <w:t>94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FRAX: Hip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None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FRAX Hip: 0.82 (NR)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Threshold NR for sensitivity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Threshold NR for specificity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Pang, 2014</w:t>
            </w:r>
            <w:r w:rsidRPr="002924BD">
              <w:rPr>
                <w:noProof/>
                <w:vertAlign w:val="superscript"/>
              </w:rPr>
              <w:t>106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FRAX: Hip without BMD (&gt;3%)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Not specifically indicated but appears to have been done shortly after enrollment since subjects were enrolled prospectively.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Based on lowest BMD at any site (FN, Total Hip, LS)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FRAX: 0.70 (0.64-0.75)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Based on lowest BMD at any site, FRAX Score &gt;3%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92.2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Based on lowest BMD at any site, FRAX Score &gt;3%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37.1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Jimenez-Nunez, 2013</w:t>
            </w:r>
            <w:r w:rsidRPr="002924BD">
              <w:rPr>
                <w:noProof/>
                <w:vertAlign w:val="superscript"/>
              </w:rPr>
              <w:t>94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FRAX: MOF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None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FRAX MOF: 0.82 (NR)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Threshold NR for sensitivity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Threshold NR for specificity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Pang, 2014</w:t>
            </w:r>
            <w:r w:rsidRPr="002924BD">
              <w:rPr>
                <w:noProof/>
                <w:vertAlign w:val="superscript"/>
              </w:rPr>
              <w:t>106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FRAX: MOF FRAX without BMD (&gt;6.5%)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Not specifically indicated but appears to have been done shortly after enrollment since subjects were enrolled prospectively.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Based on lowest BMD at any site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FRAX: 0.68 (0.63-0.74)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Based on lowest BMD at any site, FRAX Score &gt;6.5%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89.6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Based on lowest BMD at any site, FRAX Score &gt;6.5%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35.0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Leslie, 2013</w:t>
            </w:r>
            <w:r w:rsidRPr="002924BD">
              <w:rPr>
                <w:noProof/>
                <w:vertAlign w:val="superscript"/>
              </w:rPr>
              <w:t>113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FRAX: MOF without BMD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FRAX AUROC for T score&lt;=-2.5: 0.67 (0.66-0.68)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Bansal, 2015</w:t>
            </w:r>
            <w:r w:rsidRPr="002924BD">
              <w:rPr>
                <w:noProof/>
                <w:vertAlign w:val="superscript"/>
              </w:rPr>
              <w:t>56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Fair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FRAX: MOF without BMD (&gt;=9.3%)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FRAX MOF risk &gt;=9.3%: 0.58 (NR)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FRAX MOF risk ≥9.3%: 37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FRAX MOF risk ≥5.5%: 80.4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FRAX MOF risk ≥9.3%: 74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FRAX MOF risk ≥5.5%: 26.8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lastRenderedPageBreak/>
              <w:t>Cass, 2016</w:t>
            </w:r>
            <w:r w:rsidRPr="002924BD">
              <w:rPr>
                <w:noProof/>
                <w:vertAlign w:val="superscript"/>
              </w:rPr>
              <w:t>114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FRAX: MOF without BMD (&gt;=9.3%)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FRAX AUROC with respect to DXA outcome of T score=&lt;-2.5 at total hip: 0.79 (0.74-0.84)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FRAX MOF risk &gt;=9.3%: 0.39 (0.27-0.51)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FRAX MOF risk &gt;=9.3%: 0.89 (0.87-0.91)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Crandall, 2014</w:t>
            </w:r>
            <w:r w:rsidRPr="002924BD">
              <w:rPr>
                <w:noProof/>
                <w:vertAlign w:val="superscript"/>
              </w:rPr>
              <w:t>57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FRAX: MOF without BMD (&gt;=9.3%)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Not specifically indicated but appears to have been done shortly after enrollment since subjects were enrolled prospectively.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FRAX MOF risk &gt;=9.3%: 0.60 (0.56-0.63)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FRAX MOF risk &gt;=9.3%: 33.3 (26.3-40.4)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FRAX MOF risk &gt;=9.3%: 86.4 (85.1-87.7)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Gnudi, 2005</w:t>
            </w:r>
            <w:r w:rsidRPr="002924BD">
              <w:rPr>
                <w:noProof/>
                <w:vertAlign w:val="superscript"/>
              </w:rPr>
              <w:t>91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Gnudi et al clinical prediction tool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Compared to T score &lt;=-2.5 either FN or LS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Gnudi et al clinical prediction tool: 0.744 (SE 0.023)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Cutoffs based on predicted probablity to have low BMD (PPL-BMD)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(1) PPL-BMD = 0.090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(2) PPL-BMD = 0.132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(3) PPL-BMD = 0.156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Gnudi et al clinical prediction tool: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(1)97.2%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(2) 95.5%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(3) 91.6%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Cutoffs based on predicted probablity to have low BMD (PPL-BMD)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(1) PPL-BMD = 0.090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(2) PPL-BMD = 0.132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(3) PPL-BMD = 0.156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Gnudi et al clinical prediction tool: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(1) 16.9%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(2) 27.7%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(3) 31.0%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Cass, 2013</w:t>
            </w:r>
            <w:r w:rsidRPr="002924BD">
              <w:rPr>
                <w:noProof/>
                <w:vertAlign w:val="superscript"/>
              </w:rPr>
              <w:t>85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MORES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Concurrent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MORES&gt;=6: 0.82 (0.71-0.92)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MORES&gt;=6: 0.80 (0.52-0.96)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MORES&gt;=6: 0.70 (0.64-0.74)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Shepherd, 2007</w:t>
            </w:r>
            <w:r w:rsidRPr="002924BD">
              <w:rPr>
                <w:noProof/>
                <w:vertAlign w:val="superscript"/>
              </w:rPr>
              <w:t>110</w:t>
            </w:r>
            <w:r w:rsidRPr="002924BD">
              <w:rPr>
                <w:noProof/>
              </w:rPr>
              <w:t>; Cass, 2016</w:t>
            </w:r>
            <w:r w:rsidRPr="002924BD">
              <w:rPr>
                <w:noProof/>
                <w:vertAlign w:val="superscript"/>
              </w:rPr>
              <w:t>114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MORES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AUROC for MORES with respect to DXA outcome ofT score=&lt; -2.5 at total hip 0.842: 0.842 (0.811-0.873) (reported as 0.87 in Cass, 2016</w:t>
            </w:r>
            <w:r w:rsidRPr="002924BD">
              <w:rPr>
                <w:noProof/>
                <w:vertAlign w:val="superscript"/>
              </w:rPr>
              <w:t>114</w:t>
            </w:r>
            <w:r w:rsidRPr="002924BD">
              <w:rPr>
                <w:noProof/>
              </w:rPr>
              <w:t>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MORES &gt;= 6: 0.95 (0.81-0.99)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MORES &gt;= 6: 0.61 (0.57-0.64)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Shepherd, 2010</w:t>
            </w:r>
            <w:r w:rsidRPr="002924BD">
              <w:rPr>
                <w:noProof/>
                <w:vertAlign w:val="superscript"/>
              </w:rPr>
              <w:t>115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MORES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MORES&gt;=6 at any site: 0.73 (NR)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MORES&gt;=6 at lumbar spine: 0.66 (NR)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MORES &gt;=6 at any site: 0.66 (95% CI, 0.58 to 0.72)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MORES&gt;=6 at lumbar spine: 0.58 (95% CI, 0.46 to 0.69)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MORES &gt;=6 at any site: 0.68 (95% CI, 0.65 to 0.70)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MORES&gt;=6 at lumbar spine: 0.65 (95% CI, 0.63 to 0.68)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lastRenderedPageBreak/>
              <w:t>Lynn, 2008</w:t>
            </w:r>
            <w:r w:rsidRPr="002924BD">
              <w:rPr>
                <w:noProof/>
                <w:vertAlign w:val="superscript"/>
              </w:rPr>
              <w:t>97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MOST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MOST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US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Lumbar spine (SE): 0.782 (0.019) 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Total hip:0.889 (0.016)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Femoral neck:0.808 (0.014) 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Any site: 0.799 (0.012)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Hong Kong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Lumbar spine (SE): 0.814 (0.016) 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Total hip:0.892 (0.016)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Femoral neck:0.876 (0.018)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Any site:0.831 (0.014)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Zimering, 2007</w:t>
            </w:r>
            <w:r w:rsidRPr="002924BD">
              <w:rPr>
                <w:noProof/>
                <w:vertAlign w:val="superscript"/>
              </w:rPr>
              <w:t>112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MSCORE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MSCORE: 0.84 (0.74-0.95)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MSCORE &gt;9: 88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MSCORE&gt;9: 57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Cadarette, 2001</w:t>
            </w:r>
            <w:r w:rsidRPr="002924BD">
              <w:rPr>
                <w:noProof/>
                <w:vertAlign w:val="superscript"/>
              </w:rPr>
              <w:t>82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NOF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NR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Likely &lt; 2 years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AUROC with respect to DXA outcome ofT score=&lt;-2.5 at femoral neck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NOF: 0.70 (0.02)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NOF Cutoff Score &gt;=1 risk factor: 96.2 (93.8-98.6)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NOF Cutoff Score &gt;=1 risk factor: 17.8 (16.2-19.4)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D’Amelio, 2005</w:t>
            </w:r>
            <w:r w:rsidRPr="002924BD">
              <w:rPr>
                <w:noProof/>
                <w:vertAlign w:val="superscript"/>
              </w:rPr>
              <w:t>88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NOF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NOF&gt;=1 :0.60 (NR)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D’Amelio, 2013</w:t>
            </w:r>
            <w:r w:rsidRPr="002924BD">
              <w:rPr>
                <w:noProof/>
                <w:vertAlign w:val="superscript"/>
              </w:rPr>
              <w:t>89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NOF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Not specifically indicated but appears to have been done shortly after enrollment since subjects were enrolled prospectively.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NOF&gt;=1: 0.60 (NR)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Mauck, 2005</w:t>
            </w:r>
            <w:r w:rsidRPr="002924BD">
              <w:rPr>
                <w:noProof/>
                <w:vertAlign w:val="superscript"/>
              </w:rPr>
              <w:t>100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NOF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Concurrent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Unadjusted analysis for NOF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Overall: 0.70 (0.63-0.77)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Age 45-64: 0.69 (0.51-0.70)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Age &gt;=65: 0.60 (0.51-0.70)</w:t>
            </w:r>
          </w:p>
          <w:p w:rsidR="009B68D6" w:rsidRPr="002924BD" w:rsidRDefault="009B68D6" w:rsidP="005C57BE">
            <w:pPr>
              <w:pStyle w:val="TableText"/>
            </w:pP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NOF&gt;=1 risk factor 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Overall: 100% (95% CI, 95% to 100%)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Age 45-64: 100% (95% CI, 72 to 100%)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Age 65+: 100% (95% CI, 94% to 100%)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NOF&gt;=1 risk factor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NOF Overall: 10% (95% CI, 5% to 16%)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Age 45-64: 19% (95% CI, 11% to 31%)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Age 65+: 0% (95% CI, 0% to 6%)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Cadarette, 2001</w:t>
            </w:r>
            <w:r w:rsidRPr="002924BD">
              <w:rPr>
                <w:noProof/>
                <w:vertAlign w:val="superscript"/>
              </w:rPr>
              <w:t>82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NR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Likely &lt; 2 years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AUROC with respect to DXA outcome ofT score=&lt;-2.5 at femoral neck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ORAI: 0.79 (0.01)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ORAI&gt;=9: 97.5 (95.5-99.5)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ORAI&gt;=9: 27.8 (25.9-29.7)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Cadarette, 2004</w:t>
            </w:r>
            <w:r w:rsidRPr="002924BD">
              <w:rPr>
                <w:noProof/>
                <w:vertAlign w:val="superscript"/>
              </w:rPr>
              <w:t>83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Unknown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AUROC with respect to DXA outcome ofT score=&lt;-2.5 by lowest value at femoral neck or lumbar spine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ORAI: 0.802 (SE 0.02)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ORAI&gt;8: 92.5 (85.6-96.7)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ORAI&gt;8: 38.7 (34.5-42.9)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lastRenderedPageBreak/>
              <w:t>Cass, 2006</w:t>
            </w:r>
            <w:r w:rsidRPr="002924BD">
              <w:rPr>
                <w:noProof/>
                <w:vertAlign w:val="superscript"/>
              </w:rPr>
              <w:t>84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Not specifically indicated but appears to have been done shortly after enrollment since subjects were enrolled prospectively.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ORAI&gt;=9: 0.74 (0.63-0.84)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ORAI&gt;=9: 0.68 (0.49-0.88)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ORAI&gt;=9: 0.66 (0.59-0.73)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Chan, 2006</w:t>
            </w:r>
            <w:r w:rsidRPr="002924BD">
              <w:rPr>
                <w:noProof/>
                <w:vertAlign w:val="superscript"/>
              </w:rPr>
              <w:t>86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Not specifically indicated but appears to have been done shortly after enrollment since subjects were enrolled prospectively.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AUC for ORAI value &gt;=9: NR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 value &gt;=20: 0.76 (0.68-0.84)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 value &gt;=9: 100% (NR)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 value &gt;=9: 9.8% (NR)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Cook et al, 2005</w:t>
            </w:r>
            <w:r w:rsidRPr="002924BD">
              <w:rPr>
                <w:noProof/>
                <w:vertAlign w:val="superscript"/>
              </w:rPr>
              <w:t>87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None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ORAI: 0.664 (95% CI, 0.739 to 0.595)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ORAI&lt;14: 0.43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ORAI&lt;14: 0.86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D’Amelio, 2005</w:t>
            </w:r>
            <w:r w:rsidRPr="002924BD">
              <w:rPr>
                <w:noProof/>
                <w:vertAlign w:val="superscript"/>
              </w:rPr>
              <w:t>88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ORAI&gt;8:0.32 (NR)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D’Amelio, 2013</w:t>
            </w:r>
            <w:r w:rsidRPr="002924BD">
              <w:rPr>
                <w:noProof/>
                <w:vertAlign w:val="superscript"/>
              </w:rPr>
              <w:t>89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Not specifically indicated but appears to have been done shortly after enrollment since subjects were enrolled prospectively.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 &gt;8: 0.68 (NR)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Geusens, 2002</w:t>
            </w:r>
            <w:r w:rsidRPr="002924BD">
              <w:rPr>
                <w:noProof/>
                <w:vertAlign w:val="superscript"/>
              </w:rPr>
              <w:t>90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 &gt;8: 90%(95% CI, 85% to 95%)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 &gt;8: 52% (95% CI, 49% to 55%)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Gourlay, 2005</w:t>
            </w:r>
            <w:r w:rsidRPr="002924BD">
              <w:rPr>
                <w:noProof/>
                <w:vertAlign w:val="superscript"/>
              </w:rPr>
              <w:t>79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Reported by age groups: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Age 45-64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ORAI 0.75 (95% CI, 0.71 to 0.79)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Age 65+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 0.75 (95% CI, 0.71 to 0.78)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Reported by age groups: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Age 45-64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ORAI (Higher Risk &gt;=8) 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Age 65+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 (Higher Risk &gt;=13) 89.2 (95% CI, 84.6 to 92.8)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Reported by age groups: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Age 45-65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ORAI (Higher Risk &gt;=8) 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46.2 (95% CI, 44.2 to 48.2)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Age 65+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ORAI (Higher Risk &gt;=13) 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44.7 (95% CI, 42.0 to 47.5)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Gourlay, 2008</w:t>
            </w:r>
            <w:r w:rsidRPr="002924BD">
              <w:rPr>
                <w:noProof/>
                <w:vertAlign w:val="superscript"/>
              </w:rPr>
              <w:t>92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 &gt;=9 for lowest site (FN or LS): 0.70 (95% CI, 0.69 to 0.71)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 for T score&lt;=-2.5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 for T score&lt;=-2.5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Harrison et al, 2006</w:t>
            </w:r>
            <w:r w:rsidRPr="002924BD">
              <w:rPr>
                <w:noProof/>
                <w:vertAlign w:val="superscript"/>
              </w:rPr>
              <w:t>93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ORAI: 0.67 (NR)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lastRenderedPageBreak/>
              <w:t>Jimenez-Nunez, 2013</w:t>
            </w:r>
            <w:r w:rsidRPr="002924BD">
              <w:rPr>
                <w:noProof/>
                <w:vertAlign w:val="superscript"/>
              </w:rPr>
              <w:t>94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None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ORAI: 0.684 (NR)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ORAI&gt;=9: 78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ORAI&gt;=9: 52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Martinez-Aguila, 2007</w:t>
            </w:r>
            <w:r w:rsidRPr="002924BD">
              <w:rPr>
                <w:noProof/>
                <w:vertAlign w:val="superscript"/>
              </w:rPr>
              <w:t>99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NR, but study was done restrospectively so assumption is clinical risks were collected at the time of the BMD measurement.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ORAI&gt;=9 for T-score &lt; –2.5: 0.62 (95% CI 0.56 to 0.67)</w:t>
            </w:r>
          </w:p>
          <w:p w:rsidR="009B68D6" w:rsidRPr="002924BD" w:rsidRDefault="009B68D6" w:rsidP="005C57BE">
            <w:pPr>
              <w:pStyle w:val="TableText"/>
            </w:pP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ORAI&gt;=9: 64.1 (95% CI 54.7 to 72.7)</w:t>
            </w:r>
          </w:p>
          <w:p w:rsidR="009B68D6" w:rsidRPr="002924BD" w:rsidRDefault="009B68D6" w:rsidP="005C57BE">
            <w:pPr>
              <w:pStyle w:val="TableText"/>
            </w:pP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ORAI&gt;=9: 58.9 (95% CI 54.7 to 63.1)</w:t>
            </w:r>
          </w:p>
          <w:p w:rsidR="009B68D6" w:rsidRPr="002924BD" w:rsidRDefault="009B68D6" w:rsidP="005C57BE">
            <w:pPr>
              <w:pStyle w:val="TableText"/>
            </w:pP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Mauck, 2005</w:t>
            </w:r>
            <w:r w:rsidRPr="002924BD">
              <w:rPr>
                <w:noProof/>
                <w:vertAlign w:val="superscript"/>
              </w:rPr>
              <w:t>100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Concurrent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Unadjusted analyses for ORAI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Overall: 0.84 (0.78-0.89)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Age 45-64: 0.82 (0.71-0.94)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Age &gt;=65: 0.79 (0.71-0.87)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ORAI &gt;=9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Overall: 99% (95% CI, 92% to 100%)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Age 45-64: 91% (95% CI, 59% to 100%)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Age 65+: 100% (95 % CI, 94% to 100%)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ORAI &gt;=9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Overall: 36% (95% CI, 28% to 44%)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Age 45-64: 69% (95% CI, 57% to 80%)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Age 65+: 0% (95 % CI, 0% to 6%)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Nguyen, 2004</w:t>
            </w:r>
            <w:r w:rsidRPr="002924BD">
              <w:rPr>
                <w:noProof/>
                <w:vertAlign w:val="superscript"/>
              </w:rPr>
              <w:t>103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Concurrent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 &gt;15: 61% (NR)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 &gt;15: 68% (NR)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Richy, 2004</w:t>
            </w:r>
            <w:r w:rsidRPr="002924BD">
              <w:rPr>
                <w:noProof/>
                <w:vertAlign w:val="superscript"/>
              </w:rPr>
              <w:t>80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ORAI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Total hip: 74.1 (NR)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Femoral neck: 70.6 (NR)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Lumbar spine: 64.4 (NR)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Any site: 67 (NR)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ORAI&gt;=8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Total hip: 90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Femoral neck: 82 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Lumbar spine: 76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Any site: 76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ORAI&lt;8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Total hip: 43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Femoral neck: 45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Lumbar spine: 45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Any site: 48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Rud, 2005</w:t>
            </w:r>
            <w:r w:rsidRPr="002924BD">
              <w:rPr>
                <w:noProof/>
                <w:vertAlign w:val="superscript"/>
              </w:rPr>
              <w:t>109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ORAI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AUROC for ORAI with respect to DXA outcome ofT score=&lt;-2.5 for any of three sites: femoral neck, total hip, lumbar spine: 0.64 (0.58–0.70)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1) a priori cut off based on developers cutoffs and DXA outcome of T score FN=&lt; -2.5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2) cutoff based on ROC analysis to yield Sn close to 90% and DXA outcome lowest T score of FN, TH, LS=&lt; -2.5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ORAI 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1) cutoff&gt;8: 50 (44–56)(&lt;-2.0)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2) cutoff&gt;2: 81 (76–8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ORAI 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1) cutoff&gt;8: 75 (73–77)(&lt;-2.0)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2) cutoff&gt;2: 39 (37–41)(&lt;-2.0)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3) cutoff&gt;2: 37 (35–39)(&lt;-2.5)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Cook et al, 2005</w:t>
            </w:r>
            <w:r w:rsidRPr="002924BD">
              <w:rPr>
                <w:noProof/>
                <w:vertAlign w:val="superscript"/>
              </w:rPr>
              <w:t>87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OSIRIS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None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OSIRIS: 0.747 (95% CI, 0.805 to 0.702)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OSIRIS&lt;0: 70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OSIRIS&lt;0: 73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Harrison et al, 2006</w:t>
            </w:r>
            <w:r w:rsidRPr="002924BD">
              <w:rPr>
                <w:noProof/>
                <w:vertAlign w:val="superscript"/>
              </w:rPr>
              <w:t>93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OSIRIS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OSIRIS: 0.70 (NR)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lastRenderedPageBreak/>
              <w:t>Jimenez-Nunez, 2013</w:t>
            </w:r>
            <w:r w:rsidRPr="002924BD">
              <w:rPr>
                <w:noProof/>
                <w:vertAlign w:val="superscript"/>
              </w:rPr>
              <w:t>94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OSIRIS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None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OSIRIS: 0.711 (NR)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OSIRIS&lt;=-3: 81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OSIRIS&lt;=-3: 54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Martinez-Aguila, 2007</w:t>
            </w:r>
            <w:r w:rsidRPr="002924BD">
              <w:rPr>
                <w:noProof/>
                <w:vertAlign w:val="superscript"/>
              </w:rPr>
              <w:t>99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OSIRIS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NR, but study was done restrospectively so assumption is clinical risks were collected at the time of the BMD measurement.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OSIRIS&lt;=1 for T-score &lt; –2.5: 0.63 (95% CI, 0.57 to 0.69)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OSIRIS&lt;=1: 58.1 (95% CI, 48.6 to 67.2)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OSIRIS&lt;=1: 67.9 (95% CI, 63.8 to 71.8)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Richy, 2004</w:t>
            </w:r>
            <w:r w:rsidRPr="002924BD">
              <w:rPr>
                <w:noProof/>
                <w:vertAlign w:val="superscript"/>
              </w:rPr>
              <w:t>80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OSIRIS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OSIRIS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Total hip: 81.7 (NR)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Femoral neck: 77.2 (NR)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Lumbar spine: 69 (NR)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Any site: 73 (NR)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OSIRIS&lt;1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Total hip: 84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Femoral neck: 75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Lumbar spine: 63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Any site: 64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OSIRIS&gt;=1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Total hip: 63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Femoral neck: 66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Lumbar spine: 65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Any site: 69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Adler, 2003</w:t>
            </w:r>
            <w:r w:rsidRPr="002924BD">
              <w:rPr>
                <w:noProof/>
                <w:vertAlign w:val="superscript"/>
              </w:rPr>
              <w:t>77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1 month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AUROC with respect to DXA outcome ofT score=&lt;-2.5 for any of three sites femoral neck, total hip, lumbar spine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OST&lt;2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Lumbar spine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0.845 (0.731-0.960)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Femoral Neck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0.814 (0.717-0.910)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Total Hip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0.866 (0.768-0.963)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Any site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0.836 (0.747-0.924)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Cutoff used by study authors (OST&lt;3)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93%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Cutoff used for older men (ref 10),(OST&lt;2)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82%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Cutoff used for white women (ref 6),(OST&lt;1)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75%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All compared to DXA outcome of any T score (LS, FN, TH) &lt; -2.5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Cutoff used by study authors(OST&lt;3)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66%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Cutoff used for older men (ref 10),(OST&lt;2)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74%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Cutoff used for white women (ref 6),(OST&lt;1)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80%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All compared to DXA outcome of any T score (LS, FN, TH) =&lt; -2.5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Cadarette, 2004</w:t>
            </w:r>
            <w:r w:rsidRPr="002924BD">
              <w:rPr>
                <w:noProof/>
                <w:vertAlign w:val="superscript"/>
              </w:rPr>
              <w:t>83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Unknown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AUROC with respect to DXA outcome ofT score=&lt;-2.5 by lowest value at femoral neck or lumbar spine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OST: 0.733 (SE 0.02)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OST&lt;2: 95.3 (89.3-98.5)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OST&lt;2: 39.6 (35.4-43.9)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Cook et al, 2005</w:t>
            </w:r>
            <w:r w:rsidRPr="002924BD">
              <w:rPr>
                <w:noProof/>
                <w:vertAlign w:val="superscript"/>
              </w:rPr>
              <w:t>87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None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OST: 0.716 (95% CI, 0.775 to 0.669)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OST&lt;=-1: 52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OST&lt;=-1: 82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Crandall, 2014</w:t>
            </w:r>
            <w:r w:rsidRPr="002924BD">
              <w:rPr>
                <w:noProof/>
                <w:vertAlign w:val="superscript"/>
              </w:rPr>
              <w:t>57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Not specifically indicated but appears to have been done shortly after enrollment since subjects were enrolled prospectively.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OST&lt;2: 0.75 (0.72-0.78)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OST&lt;2: 79.3 (73.2-85.4)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OST&lt;2: 70.1 (68.4-71.8)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D’Amelio, 2005</w:t>
            </w:r>
            <w:r w:rsidRPr="002924BD">
              <w:rPr>
                <w:noProof/>
                <w:vertAlign w:val="superscript"/>
              </w:rPr>
              <w:t>88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OST&lt;2: 0.33 (CI NR)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lastRenderedPageBreak/>
              <w:t>D’Amelio, 2013</w:t>
            </w:r>
            <w:r w:rsidRPr="002924BD">
              <w:rPr>
                <w:noProof/>
                <w:vertAlign w:val="superscript"/>
              </w:rPr>
              <w:t>89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Not specifically indicated but appears to have been done shortly after enrollment since subjects were enrolled prospectively.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OST&lt;2: 0.32 (NR)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Geusens, 2002</w:t>
            </w:r>
            <w:r w:rsidRPr="002924BD">
              <w:rPr>
                <w:noProof/>
                <w:vertAlign w:val="superscript"/>
              </w:rPr>
              <w:t>90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 &lt;2: 88% (95% CI, 83% to 93%)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 &lt;2: 52% (95% CI, 49% to 55%)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Gourlay, 2005</w:t>
            </w:r>
            <w:r w:rsidRPr="002924BD">
              <w:rPr>
                <w:noProof/>
                <w:vertAlign w:val="superscript"/>
              </w:rPr>
              <w:t>79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Unclear/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Reported by age groups: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Age 45-64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 0.77 (95% CI, 0.73 to 0.81)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Age 65+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 0.76 (0.73 to 0.79)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ind w:right="-26"/>
              <w:rPr>
                <w:noProof/>
              </w:rPr>
            </w:pPr>
            <w:r w:rsidRPr="002924BD">
              <w:rPr>
                <w:noProof/>
              </w:rPr>
              <w:t>Reported by age groups:</w:t>
            </w:r>
          </w:p>
          <w:p w:rsidR="009B68D6" w:rsidRPr="002924BD" w:rsidRDefault="009B68D6" w:rsidP="005C57BE">
            <w:pPr>
              <w:pStyle w:val="TableText"/>
              <w:ind w:right="-26"/>
              <w:rPr>
                <w:noProof/>
              </w:rPr>
            </w:pPr>
            <w:r w:rsidRPr="002924BD">
              <w:rPr>
                <w:noProof/>
              </w:rPr>
              <w:t>Age 45-64</w:t>
            </w:r>
          </w:p>
          <w:p w:rsidR="009B68D6" w:rsidRPr="002924BD" w:rsidRDefault="009B68D6" w:rsidP="005C57BE">
            <w:pPr>
              <w:pStyle w:val="TableText"/>
              <w:ind w:right="-26"/>
              <w:rPr>
                <w:noProof/>
              </w:rPr>
            </w:pPr>
            <w:r w:rsidRPr="002924BD">
              <w:rPr>
                <w:noProof/>
              </w:rPr>
              <w:t>OST (Higher Risk &lt;=1) 89.2 (95%CI, 82.8 to 93.8)</w:t>
            </w:r>
          </w:p>
          <w:p w:rsidR="009B68D6" w:rsidRPr="002924BD" w:rsidRDefault="009B68D6" w:rsidP="005C57BE">
            <w:pPr>
              <w:pStyle w:val="TableText"/>
              <w:ind w:right="-26"/>
              <w:rPr>
                <w:noProof/>
              </w:rPr>
            </w:pPr>
            <w:r w:rsidRPr="002924BD">
              <w:rPr>
                <w:noProof/>
              </w:rPr>
              <w:t>88.5 (95% CI, 82.0 to 93.3)</w:t>
            </w:r>
          </w:p>
          <w:p w:rsidR="009B68D6" w:rsidRPr="002924BD" w:rsidRDefault="009B68D6" w:rsidP="005C57BE">
            <w:pPr>
              <w:pStyle w:val="TableText"/>
              <w:ind w:right="-26"/>
              <w:rPr>
                <w:noProof/>
              </w:rPr>
            </w:pPr>
            <w:r w:rsidRPr="002924BD">
              <w:rPr>
                <w:noProof/>
              </w:rPr>
              <w:t>Age 65+</w:t>
            </w:r>
          </w:p>
          <w:p w:rsidR="009B68D6" w:rsidRPr="002924BD" w:rsidRDefault="009B68D6" w:rsidP="005C57BE">
            <w:pPr>
              <w:pStyle w:val="TableText"/>
              <w:ind w:right="-26"/>
            </w:pPr>
            <w:r w:rsidRPr="002924BD">
              <w:rPr>
                <w:noProof/>
              </w:rPr>
              <w:t>OST (Higher Risk &lt;=-1) 84.6 (95%CI, 79.5 to 89.0)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ind w:right="-89"/>
              <w:rPr>
                <w:noProof/>
              </w:rPr>
            </w:pPr>
            <w:r w:rsidRPr="002924BD">
              <w:rPr>
                <w:noProof/>
              </w:rPr>
              <w:t>Reported by age groups:</w:t>
            </w:r>
          </w:p>
          <w:p w:rsidR="009B68D6" w:rsidRPr="002924BD" w:rsidRDefault="009B68D6" w:rsidP="005C57BE">
            <w:pPr>
              <w:pStyle w:val="TableText"/>
              <w:ind w:right="-89"/>
              <w:rPr>
                <w:noProof/>
              </w:rPr>
            </w:pPr>
            <w:r w:rsidRPr="002924BD">
              <w:rPr>
                <w:noProof/>
              </w:rPr>
              <w:t>Age 45-64</w:t>
            </w:r>
          </w:p>
          <w:p w:rsidR="009B68D6" w:rsidRPr="002924BD" w:rsidRDefault="009B68D6" w:rsidP="005C57BE">
            <w:pPr>
              <w:pStyle w:val="TableText"/>
              <w:ind w:right="-89"/>
              <w:rPr>
                <w:noProof/>
              </w:rPr>
            </w:pPr>
            <w:r w:rsidRPr="002924BD">
              <w:rPr>
                <w:noProof/>
              </w:rPr>
              <w:t>OST (Higher Risk &lt;=1) 45.0 (95%CI, 43.0 to 47.0)</w:t>
            </w:r>
          </w:p>
          <w:p w:rsidR="009B68D6" w:rsidRPr="002924BD" w:rsidRDefault="009B68D6" w:rsidP="005C57BE">
            <w:pPr>
              <w:pStyle w:val="TableText"/>
              <w:ind w:right="-89"/>
              <w:rPr>
                <w:noProof/>
              </w:rPr>
            </w:pPr>
            <w:r w:rsidRPr="002924BD">
              <w:rPr>
                <w:noProof/>
              </w:rPr>
              <w:t>Age 65+</w:t>
            </w:r>
          </w:p>
          <w:p w:rsidR="009B68D6" w:rsidRPr="002924BD" w:rsidRDefault="009B68D6" w:rsidP="005C57BE">
            <w:pPr>
              <w:pStyle w:val="TableText"/>
              <w:ind w:right="-89"/>
            </w:pPr>
            <w:r w:rsidRPr="002924BD">
              <w:rPr>
                <w:noProof/>
              </w:rPr>
              <w:t>OST (Higher Risk &lt;=-1) 47.5 (95%CI, 44.7 to 50.3)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Gourlay, 2008</w:t>
            </w:r>
            <w:r w:rsidRPr="002924BD">
              <w:rPr>
                <w:noProof/>
                <w:vertAlign w:val="superscript"/>
              </w:rPr>
              <w:t>92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 &lt;=-1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0.76 (95% CI, 0.74 to 0.77) for FN site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0.72 (95 %CI, 0.71 to 0.73) for lowest site (FN or LS)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 &lt;=-1: 85% (95% CI, 83% to 87%)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 &lt;=-1: 48% (inferred from 1-Specificity)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Harrison et al, 2006</w:t>
            </w:r>
            <w:r w:rsidRPr="002924BD">
              <w:rPr>
                <w:noProof/>
                <w:vertAlign w:val="superscript"/>
              </w:rPr>
              <w:t>93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OST: 0.69 (NR)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Jimenez-Nunez, 2013</w:t>
            </w:r>
            <w:r w:rsidRPr="002924BD">
              <w:rPr>
                <w:noProof/>
                <w:vertAlign w:val="superscript"/>
              </w:rPr>
              <w:t>94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None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OST: 0.71 (NR)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OST&lt;=-1: 83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OST&lt;=-1: 52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Leslie, 2013</w:t>
            </w:r>
            <w:r w:rsidRPr="002924BD">
              <w:rPr>
                <w:noProof/>
                <w:vertAlign w:val="superscript"/>
              </w:rPr>
              <w:t>113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 AUROC for T score&lt;=-2.5: 0.72 (0.71-0.73)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Lynn, 2008</w:t>
            </w:r>
            <w:r w:rsidRPr="002924BD">
              <w:rPr>
                <w:noProof/>
                <w:vertAlign w:val="superscript"/>
              </w:rPr>
              <w:t>97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US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Lumbar spine (SE): 0.662 (0.022) 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Total hip: 0.823 (0.020) 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Femoral neck: 0.740 (0.016) 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Any site: 0.714 (0.014)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Hong Kong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Lumbar spine (SE): 0.717 (0.018) 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Total hip:0.855 (0.018) 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Femoral neck: 0.849 (0.019) 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Any site:0.759 (0.016)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 &lt;287.6%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 &lt;2 36.1%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lastRenderedPageBreak/>
              <w:t>Machado, 2010</w:t>
            </w:r>
            <w:r w:rsidRPr="002924BD">
              <w:rPr>
                <w:noProof/>
                <w:vertAlign w:val="superscript"/>
              </w:rPr>
              <w:t>98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 &lt;2: 0.63 (95% CI, 0.52 to 0.73)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 &lt;2: 61.8% (NR)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 &lt; 2: 63.7% (NR)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Martinez-Aguila, 2007</w:t>
            </w:r>
            <w:r w:rsidRPr="002924BD">
              <w:rPr>
                <w:noProof/>
                <w:vertAlign w:val="superscript"/>
              </w:rPr>
              <w:t>99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NR, but study was done restrospectively so assumption is clinical risks were collected at the time of the BMD measurement.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 &lt;=1 for T-score &lt; –2.5: 0.64 (95% CI 0.59 to 0.69)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 &lt;2: 69.2 (95% CI 60.0 to 77.4)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 &lt;2: 58.8 (95% CI 54.5 to 62.9)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McLeod, 2015</w:t>
            </w:r>
            <w:r w:rsidRPr="002924BD">
              <w:rPr>
                <w:noProof/>
                <w:vertAlign w:val="superscript"/>
              </w:rPr>
              <w:t>101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3 weeks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Femoral neck: 0.807 (95% CI, 0.692 to 0.985) 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Lumbar spine: 0.706 (95% CI, 0.559 to 0.852)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 cutoff of &lt;2, for diagnosing using femoral neck sites: 87.5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 cutoff of &lt;2, for diagnosing using lumbar spine sites: 78.6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 cutoff of &lt;2, for diagnosing using femoral neck sites:62.7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 cutoff of &lt;2, for diagnosing using lumbar spine sites:63.7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Morin, 2009</w:t>
            </w:r>
            <w:bookmarkStart w:id="0" w:name="_Hlk511290226"/>
            <w:r w:rsidRPr="002924BD">
              <w:rPr>
                <w:noProof/>
                <w:vertAlign w:val="superscript"/>
              </w:rPr>
              <w:t>102</w:t>
            </w:r>
            <w:bookmarkEnd w:id="0"/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Using lowest T score from femoral neck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0.77 (95% CI, 0.75 to 0.79)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Using T score from any site: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0.71 (95% CI, 0.69 to 0.72)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OST&lt;=1: 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Using lowest T score from any site: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46.8% (95% CI, 45.7 to 47.9)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Using FN T Score: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60.2% (95% CI, 59.2% to 61.3%)</w:t>
            </w:r>
          </w:p>
          <w:p w:rsidR="009B68D6" w:rsidRPr="002924BD" w:rsidRDefault="009B68D6" w:rsidP="005C57BE">
            <w:pPr>
              <w:pStyle w:val="TableText"/>
            </w:pP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OST&lt;=1: 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Using lowest T score from any site: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81.1% (95% CI, 80.3% to 82.0%)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Using FN T score: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78.8 (95% CI, 77.9% to 79.6%)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Pang, 2014</w:t>
            </w:r>
            <w:r w:rsidRPr="002924BD">
              <w:rPr>
                <w:noProof/>
                <w:vertAlign w:val="superscript"/>
              </w:rPr>
              <w:t>106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Not specifically indicated but appears to have been done shortly after enrollment since subjects were enrolled prospectively.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Based on lowest BMD at any site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 threshold of 0 (not clear if this means &lt;=0 or &lt;0)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0.76 (0.71-0.82)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Based on lowest BMD at any site (OST Threshold = 0: not clear if this means &lt;=0 or &lt;0)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90.9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Based on lowest BMD at any site (OST Threshold = 0: not clear if this means &lt;=0 or &lt;0)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39.9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Richards, 2014</w:t>
            </w:r>
            <w:r w:rsidRPr="002924BD">
              <w:rPr>
                <w:noProof/>
                <w:vertAlign w:val="superscript"/>
              </w:rPr>
              <w:t>108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OST: 0.67 (NR)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OST≤-6: 82.6% 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 &lt;=0: 40.2%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OST&gt;-6: 33.6%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 &lt;=0: 85.4%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Richy, 2004</w:t>
            </w:r>
            <w:r w:rsidRPr="002924BD">
              <w:rPr>
                <w:noProof/>
                <w:vertAlign w:val="superscript"/>
              </w:rPr>
              <w:t>80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 &lt;2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Total hip: 81.3 (NR)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Femoral neck: 76.8 (NR)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Lumbar spine: 68.6 (NR)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Any site: 72.6 (NR)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OST&lt;2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Total hip: 97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Femoral neck: 92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Lumbar spine: 85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Any site: 86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OST&lt;2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Total hip:34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Femoral neck: 37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Lumbar spine: 37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Any site: 40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lastRenderedPageBreak/>
              <w:t>Rud, 2005</w:t>
            </w:r>
            <w:r w:rsidRPr="002924BD">
              <w:rPr>
                <w:noProof/>
                <w:vertAlign w:val="superscript"/>
              </w:rPr>
              <w:t>109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AUROC for OST with respect to DXA outcome ofT score=&lt;-2.5 for any of three sites: femoral neck, total hip, lumbar spine: 0.68 (0.63–0.74)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1) a priori cut off based on developers cutoffs and DXA outcome of T score FN=&lt; -2.5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2) cutoff based on ROC analysis to yield Sn close to 90% and DXA outcome lowest T score of FN, TH, LS=&lt; -2.5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OST 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1) cutoff &lt;2: 92 (64–100) (&lt;-2.5)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2) cutoff&lt;5: 92 (89–9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OST 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1) cutoff &lt;2: 71 (69–73)(&lt;-2.5)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2) cutoff&lt;5: 24 (22–26)(&lt;-2.0)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3) cutoff&lt;5: 23 (21–25)(&lt;-2.5)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Sinnott, 2006</w:t>
            </w:r>
            <w:r w:rsidRPr="002924BD">
              <w:rPr>
                <w:noProof/>
                <w:vertAlign w:val="superscript"/>
              </w:rPr>
              <w:t>111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OST: 0.89 (0.75–1.03)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OST&lt;4: 89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OST&lt;2: 89%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OST&lt;4: 54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OST&lt;2: 71%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Zimering, 2007</w:t>
            </w:r>
            <w:r w:rsidRPr="002924BD">
              <w:rPr>
                <w:noProof/>
                <w:vertAlign w:val="superscript"/>
              </w:rPr>
              <w:t>112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OST: 0.81 (0.70-0.92)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OST&lt;2 (cutoff established in elderly male population): 75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 &lt;3 (cutoff established in male veteran popualation): 75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OST&lt;2 (cutoff established in elderly male population): 68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OST&lt;3 (cutoff established in male veteran popualation): 59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Chan, 2006</w:t>
            </w:r>
            <w:r w:rsidRPr="002924BD">
              <w:rPr>
                <w:noProof/>
                <w:vertAlign w:val="superscript"/>
              </w:rPr>
              <w:t>86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OSTA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Not specifically indicated but appears to have been done shortly after enrollment since subjects were enrolled prospectively.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OSTA&lt;=-2: 0.82 (0.75-0.90)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OSTA&lt;= -1: 97%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OSTA&lt;= -1:43.1%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Kung, 2003</w:t>
            </w:r>
            <w:r w:rsidRPr="002924BD">
              <w:rPr>
                <w:noProof/>
                <w:vertAlign w:val="superscript"/>
              </w:rPr>
              <w:t>95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OSTA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OSTA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femoral neck: 0.80 (95% CI 0.78–0.84)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femoral neck or lumbar spine: 0.75 (95% CI 0.72–0.79)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OSTA&lt;=-1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Femoral neck: 88% 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Femoral neck or lumbar spine:79%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OSTA&lt;=-1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Femoral neck: 54%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Femoral neck or lumbar spine: 60%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Kung, 2005</w:t>
            </w:r>
            <w:r w:rsidRPr="002924BD">
              <w:rPr>
                <w:noProof/>
                <w:vertAlign w:val="superscript"/>
              </w:rPr>
              <w:t>96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OSTA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OSTA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femoral neck: 0.85 (95% CI 0.80–0.89)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lumbar spine: 0.79 (95% CI 0.74–0.83)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femoral neck or lumbar spine: 0.78 (95% CI 0.73–0.82)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OSTA&lt;=-1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Femoral neck: 83% 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Lumbar spine: 72%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Femoral neck or lumbar spine:71%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OSTA&lt;=-1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Femoral neck: 67%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Lumbar spine: 65%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Femoral neck or lumbar spine: 68%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Machado, 2010</w:t>
            </w:r>
            <w:r w:rsidRPr="002924BD">
              <w:rPr>
                <w:noProof/>
                <w:vertAlign w:val="superscript"/>
              </w:rPr>
              <w:t>98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OSTA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OSTA &lt;2: 0.62 (95% CI, 0.51 to 0.72)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OSTA &lt;2: 55.9% (NR)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OSTA &lt;2: 67.9% (NR)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Nguyen, 2004</w:t>
            </w:r>
            <w:r w:rsidRPr="002924BD">
              <w:rPr>
                <w:noProof/>
                <w:vertAlign w:val="superscript"/>
              </w:rPr>
              <w:t>103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OSTA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Concurrent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OSTA &lt;-1: 41% (NR)FN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OSTA &lt;-1: 24% (NR) FN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lastRenderedPageBreak/>
              <w:t>Oh, 2013</w:t>
            </w:r>
            <w:r w:rsidRPr="002924BD">
              <w:rPr>
                <w:noProof/>
                <w:vertAlign w:val="superscript"/>
              </w:rPr>
              <w:t>104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Low</w:t>
            </w:r>
          </w:p>
          <w:p w:rsidR="009B68D6" w:rsidRPr="002924BD" w:rsidRDefault="009B68D6" w:rsidP="005C57BE">
            <w:pPr>
              <w:pStyle w:val="TableText"/>
            </w:pP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OSTA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Not specifically indicated but appears to have been done shortly after enrollment since subjects were enrolled prospectively.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OSTA &lt;=-1 for T score&lt;=-2.5 at femoral neck or lumbar spine NR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OSTA &lt;=0 for T score&lt;=-2.5 at femoral neck or lumbar spine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0.617 (SE 0.11)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OSTA=&lt;-1 for T score&lt;=-2.5 at femoral neck or lumbar spine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76.1 (71.0-80.8)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OSTA= &lt;0 for T score&lt;=-2.5 at femoral neck or lumbar spine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94.2 (91.0-96.5)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OSTA=&lt;-1 for T score&lt;=-2.5 at femoral neck or lumbar spine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67.1 (63.6-70.5)</w:t>
            </w:r>
          </w:p>
          <w:p w:rsidR="009B68D6" w:rsidRPr="002924BD" w:rsidRDefault="009B68D6" w:rsidP="005C57BE">
            <w:pPr>
              <w:pStyle w:val="TableText"/>
            </w:pP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Oh, 2016</w:t>
            </w:r>
            <w:r w:rsidRPr="002924BD">
              <w:rPr>
                <w:noProof/>
                <w:vertAlign w:val="superscript"/>
              </w:rPr>
              <w:t>105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OSTA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OSTA&lt;=1: 0.627 (SE 0.016)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OSTA&lt;= 0: 0.665 (SE 0.021)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OSTA&lt;=1: 92.3 (95% CI, 84.8 to 96.9)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OSTA&lt;=0: 84.6 (95% CI, 75.5 to 91.3)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OSTA&lt;=1: 33.2 (95% CI, 30.3 to 36.2)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OSTA&lt;=0: 48.4 (95% CI, 45.3 to 51.5)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Park, 2003</w:t>
            </w:r>
            <w:r w:rsidRPr="002924BD">
              <w:rPr>
                <w:noProof/>
                <w:vertAlign w:val="superscript"/>
              </w:rPr>
              <w:t>107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OSTA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OSTA: 0.873 (NR)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OSTA≤-1: 87%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OSTA&gt;=&lt;-1: 67%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Zimering, 2007</w:t>
            </w:r>
            <w:r w:rsidRPr="002924BD">
              <w:rPr>
                <w:noProof/>
                <w:vertAlign w:val="superscript"/>
              </w:rPr>
              <w:t>112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Reduced MSCORE (age and weight-variable specific scores)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Reduced MSCORE: 0.81 (0.69-0.92)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Reduced MSCORE&gt;9: 85</w:t>
            </w:r>
          </w:p>
          <w:p w:rsidR="009B68D6" w:rsidRPr="002924BD" w:rsidRDefault="009B68D6" w:rsidP="005C57BE">
            <w:pPr>
              <w:pStyle w:val="TableText"/>
            </w:pP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Reduced MSCORE&gt;9: 58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Ben Sedrine, 2001</w:t>
            </w:r>
            <w:r w:rsidRPr="002924BD">
              <w:rPr>
                <w:noProof/>
                <w:vertAlign w:val="superscript"/>
              </w:rPr>
              <w:t>78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SCORE AUC (SE)with respect to DXA Tscore &lt; -2.5 at each of the following sites: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Femoral neck0.75 (0.010)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Total hip0.78 (0.012) 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Lumbar spine 0.66 (0.010) 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Any site0.71 (0.009)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Hip (total or neck) or spine0.74 (0.012) 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All sites 0.78 (0.015)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SCORE &gt;=6, T&lt;-2.5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Total hip98.2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Femoral neck 96.9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Lumbar spine 93.5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Any site93.9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Hip (total or neck) or spine 98.1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All sites 98.0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study cutoff &gt;=8, T&lt;-2.5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Total hip93.7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Femoral neck 88.4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Lumbar spine 81.0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Any site82.4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Hip (total or neck) or spine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SCORE&gt;=6, T&lt;-2.5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Total hip19.7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Femoral neck 21.4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Lumbar spine 21.7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Any site23.7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Hip (total or neck) or spine 20.1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All sites 19.0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study cutoff &gt;=8, T&lt;-2.5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Total hip37.3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Femoral neck 39.5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Lumbar spine 39.3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Any site42.4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Hip (total or neck) or spine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Brenneman, 2003</w:t>
            </w:r>
            <w:r w:rsidRPr="002924BD">
              <w:rPr>
                <w:noProof/>
                <w:vertAlign w:val="superscript"/>
              </w:rPr>
              <w:t>81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Concurrent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AUROC with respect to DXA outcome ofT score=&lt;-2.5 for total hip or lumbar spine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SCORE: 0.73 (SE 0.03)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SCORE&gt;=7: 93.7 (88.3, 99.1)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SCORE&gt;=7: 23.8 (9.6, 38.0)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lastRenderedPageBreak/>
              <w:t>Cadarette, 2001</w:t>
            </w:r>
            <w:r w:rsidRPr="002924BD">
              <w:rPr>
                <w:noProof/>
                <w:vertAlign w:val="superscript"/>
              </w:rPr>
              <w:t>82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NR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Likely &lt; 2 years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AUROC with respect to DXA outcome ofT score=&lt;-2.5 at femoral neck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SCORE: 0.80 (0.01)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SCORE&gt;=6: 99.6 (98.8-100)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SCORE&gt;=6: 17.9 (16.2-19.5)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Cass, 2006</w:t>
            </w:r>
            <w:r w:rsidRPr="002924BD">
              <w:rPr>
                <w:noProof/>
                <w:vertAlign w:val="superscript"/>
              </w:rPr>
              <w:t>84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Not specifically indicated but appears to have been done shortly after enrollment since subjects were enrolled prospectively.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SCORE&gt;=6: 0.67 (0.54-0.79)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SCORE&gt;=6: 0.54 (0.34-0.75)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SCORE&gt;=6: 0.72 (0.65-0.78)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Chan, 2006</w:t>
            </w:r>
            <w:r w:rsidRPr="002924BD">
              <w:rPr>
                <w:noProof/>
                <w:vertAlign w:val="superscript"/>
              </w:rPr>
              <w:t>86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Not specifically indicated but appears to have been done shortly after enrollment since subjects were enrolled prospectively.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SCORE: 0.80 (0.72-0.87)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SCORE&gt;=6: 100%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SCORE&gt;=6: 30.4%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Cook et al, 2005</w:t>
            </w:r>
            <w:r w:rsidRPr="002924BD">
              <w:rPr>
                <w:noProof/>
                <w:vertAlign w:val="superscript"/>
              </w:rPr>
              <w:t>87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None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SCORE: 0.720, (95% CI, 0.674 to 0.779)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SCORE&lt;12: 0.5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SCORE&lt;12: 0.83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Crandall, 2014</w:t>
            </w:r>
            <w:r w:rsidRPr="002924BD">
              <w:rPr>
                <w:noProof/>
                <w:vertAlign w:val="superscript"/>
              </w:rPr>
              <w:t>57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Not specifically indicated but appears to have been done shortly after enrollment since subjects were enrolled prospectively.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 &gt;7: 0.72 (0.69-0.76)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 &gt;7: 74.1 (67.6-80.7)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 &gt;7: 70.8 (69.1-72.5)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Gourlay, 2005</w:t>
            </w:r>
            <w:r w:rsidRPr="002924BD">
              <w:rPr>
                <w:noProof/>
                <w:vertAlign w:val="superscript"/>
              </w:rPr>
              <w:t>79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Reported by age groups: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Age 45-64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SCORE 0.76 (95% CI, 0.72 to 0.80)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Age 65+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 0.75 (95% CI 0.71 to 0.78)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Reported by age groups: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Age 45-65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SCORE (Higher Risk &gt;=7) 88.5 (95% CI, 82.0 to 93.3)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Age 65+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 (Higher Risk &gt;=11) 88.8 (95% CI, 84.1 to 92.5)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Reported by age groups: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Age 45-66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SCORE (Higher Risk &gt;=7) 39.8 (95% CI, 37.8 to 41.7)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Age 65+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 (Higher Risk &gt;=11) 42.3 (95% CI, 39.6 to 45.1)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Gourlay, 2008</w:t>
            </w:r>
            <w:r w:rsidRPr="002924BD">
              <w:rPr>
                <w:noProof/>
                <w:vertAlign w:val="superscript"/>
              </w:rPr>
              <w:t>92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SCORE &gt;=6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0.71 (95% CI, 0.70 to 0.72) for lowest site (FN or LS)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 for T score&lt;=-2.5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 for T score&lt;=-2.5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Harrison et al, 2006</w:t>
            </w:r>
            <w:r w:rsidRPr="002924BD">
              <w:rPr>
                <w:noProof/>
                <w:vertAlign w:val="superscript"/>
              </w:rPr>
              <w:t>93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SCORE: 0.67 (NR)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Jimenez-Nunez, 2013</w:t>
            </w:r>
            <w:r w:rsidRPr="002924BD">
              <w:rPr>
                <w:noProof/>
                <w:vertAlign w:val="superscript"/>
              </w:rPr>
              <w:t>94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None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SCORE: 0.672 (NR)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SCORE&gt;=6: 68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SCORE&gt;=6: 60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lastRenderedPageBreak/>
              <w:t>Mauck, 2005</w:t>
            </w:r>
            <w:r w:rsidRPr="002924BD">
              <w:rPr>
                <w:noProof/>
                <w:vertAlign w:val="superscript"/>
              </w:rPr>
              <w:t>100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Concurrent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Unadjusted analyses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SCORE 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Overall: 0.87 (0.81-0.92)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Age 45-64: 0.85 (0.72-0.99)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Age &gt;=65: 0.80 (0.72-0.88)</w:t>
            </w:r>
          </w:p>
          <w:p w:rsidR="009B68D6" w:rsidRPr="002924BD" w:rsidRDefault="009B68D6" w:rsidP="005C57BE">
            <w:pPr>
              <w:pStyle w:val="TableText"/>
            </w:pP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SCORE&gt;=6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Overall: 100% (95% CI, 95%to 100%)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Age 45-64 : 100% (95% CI, 72% to 100%)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Age 65+: 100% (95% CI, 94% to 100%)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SCORE&gt;=6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Overall: 25% (95% CI, 18% to 33%)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Age 45-64 :41% (95% CI, 29% to 54%)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Age 65+: 8% (95% CI, 3% to 17%)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Richy, 2004</w:t>
            </w:r>
            <w:r w:rsidRPr="002924BD">
              <w:rPr>
                <w:noProof/>
                <w:vertAlign w:val="superscript"/>
              </w:rPr>
              <w:t>80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SCORE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Total hip: 78.5 (NR)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Femoral neck: 74.9 (NR)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Lumbar spine: 66.6 (NR)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Any site: 70.8 (NR)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SCORE &gt;=7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Total hip: 94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Femoral neck: 88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Lumbar spine: 81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Any site: 86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SCORE&lt;7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Total hip: 37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Femoral neck: 40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Lumbar spine: 39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Any site: 40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Rud, 2005</w:t>
            </w:r>
            <w:r w:rsidRPr="002924BD">
              <w:rPr>
                <w:noProof/>
                <w:vertAlign w:val="superscript"/>
              </w:rPr>
              <w:t>109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SCORE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AUROC for SCORE with respect to DXA outcome ofT score=&lt;-2.5 for any of three sites: femoral neck, total hip, lumbar spine: 0.68 (0.63–0.73)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1) a priori cut off based on developers cutoffs and DXA outcome of T score FN=&lt; -2.5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2) cutoff based on ROC analysis to yield Sn close to 90% and DXA outcome lowest T score of FN, TH, LS=&lt; -2.5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SCORE 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1) n/a (wrong DXA threshold)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2) cutoff&gt;3: 90 (86–93)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1) a priori cut off based on developers cutoffs and DXA outcome of T score FN=&lt; -2.5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2) cutoff based on ROC analysis to yield Sn close to 90% and DXA outcome lowest T score of FN, TH, LS=&lt; -2.5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 xml:space="preserve">SCORE </w:t>
            </w:r>
          </w:p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1) n/a (wrong DXA threshold)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2) cutoff&gt;3: 28 (25–29)(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Brenneman, 2003</w:t>
            </w:r>
            <w:r w:rsidRPr="002924BD">
              <w:rPr>
                <w:noProof/>
                <w:vertAlign w:val="superscript"/>
              </w:rPr>
              <w:t>81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SOF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Concurrent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AUROC with respect to DXA outcome ofT score=&lt;-2.5 for total hip or lumbar spine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SOF: 0.54 (SE 0.03)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SOF&gt;= 5: 32.6 (26.6, 38.6)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SOF&gt;= 5: 76.0 (63.5, 88.6)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Cook et al, 2005</w:t>
            </w:r>
            <w:r w:rsidRPr="002924BD">
              <w:rPr>
                <w:noProof/>
                <w:vertAlign w:val="superscript"/>
              </w:rPr>
              <w:t>87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SOFSURF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None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SOFSURF: 0.717 (95% CI, 0.777 to 0.670)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SOFSURF&lt;1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0.72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SOFSURF&lt;1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0.67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Geusens, 2002</w:t>
            </w:r>
            <w:r w:rsidRPr="002924BD">
              <w:rPr>
                <w:noProof/>
                <w:vertAlign w:val="superscript"/>
              </w:rPr>
              <w:t>90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Unclear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SOFSURF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SOFSURF &gt;=-1: 92% (95% CI, 88% to 96%)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SOFSURF &gt;=-1: 37% (95% CI, 34% to 40%)</w:t>
            </w:r>
          </w:p>
        </w:tc>
      </w:tr>
      <w:tr w:rsidR="009B68D6" w:rsidRPr="002924BD" w:rsidTr="005C57BE">
        <w:tc>
          <w:tcPr>
            <w:tcW w:w="1514" w:type="dxa"/>
          </w:tcPr>
          <w:p w:rsidR="009B68D6" w:rsidRPr="002924BD" w:rsidRDefault="009B68D6" w:rsidP="005C57BE">
            <w:pPr>
              <w:pStyle w:val="TableText"/>
              <w:rPr>
                <w:noProof/>
              </w:rPr>
            </w:pPr>
            <w:r w:rsidRPr="002924BD">
              <w:rPr>
                <w:noProof/>
              </w:rPr>
              <w:t>Nguyen, 2004</w:t>
            </w:r>
            <w:r w:rsidRPr="002924BD">
              <w:rPr>
                <w:noProof/>
                <w:vertAlign w:val="superscript"/>
              </w:rPr>
              <w:t>103</w:t>
            </w:r>
          </w:p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Low</w:t>
            </w:r>
          </w:p>
        </w:tc>
        <w:tc>
          <w:tcPr>
            <w:tcW w:w="1271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SOFSURF</w:t>
            </w:r>
          </w:p>
        </w:tc>
        <w:tc>
          <w:tcPr>
            <w:tcW w:w="279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Concurrent</w:t>
            </w:r>
          </w:p>
        </w:tc>
        <w:tc>
          <w:tcPr>
            <w:tcW w:w="333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NR</w:t>
            </w:r>
          </w:p>
        </w:tc>
        <w:tc>
          <w:tcPr>
            <w:tcW w:w="2160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SOFSURF &gt;1.7 : 78% (NR)</w:t>
            </w:r>
          </w:p>
        </w:tc>
        <w:tc>
          <w:tcPr>
            <w:tcW w:w="1923" w:type="dxa"/>
          </w:tcPr>
          <w:p w:rsidR="009B68D6" w:rsidRPr="002924BD" w:rsidRDefault="009B68D6" w:rsidP="005C57BE">
            <w:pPr>
              <w:pStyle w:val="TableText"/>
            </w:pPr>
            <w:r w:rsidRPr="002924BD">
              <w:rPr>
                <w:noProof/>
              </w:rPr>
              <w:t>SOFSURF &gt;10 : 36% (NR)</w:t>
            </w:r>
          </w:p>
        </w:tc>
      </w:tr>
    </w:tbl>
    <w:p w:rsidR="00DB76EC" w:rsidRDefault="009B68D6" w:rsidP="009B68D6">
      <w:pPr>
        <w:pStyle w:val="AppTableNote"/>
      </w:pPr>
      <w:r w:rsidRPr="00334A31">
        <w:rPr>
          <w:b/>
        </w:rPr>
        <w:t>Abbreviations:</w:t>
      </w:r>
      <w:r w:rsidRPr="00334A31">
        <w:t xml:space="preserve"> AA</w:t>
      </w:r>
      <w:r>
        <w:t>=</w:t>
      </w:r>
      <w:r w:rsidRPr="00334A31">
        <w:t>African American; ABONE</w:t>
      </w:r>
      <w:r>
        <w:t>=</w:t>
      </w:r>
      <w:r w:rsidRPr="00334A31">
        <w:t>assessing age, body size, and estrogen use; AMMEB</w:t>
      </w:r>
      <w:r>
        <w:t>=</w:t>
      </w:r>
      <w:r w:rsidRPr="00334A31">
        <w:t>Age, Years after Menopause, Age at Menarche, Body Mass Index; BMD</w:t>
      </w:r>
      <w:r>
        <w:t>=</w:t>
      </w:r>
      <w:r w:rsidRPr="00334A31">
        <w:t>bone mineral density; CaMOS</w:t>
      </w:r>
      <w:r>
        <w:t>=</w:t>
      </w:r>
      <w:r w:rsidRPr="00334A31">
        <w:t>Canadian Multicentre Osteoporosis Study; COPD</w:t>
      </w:r>
      <w:r>
        <w:t>=</w:t>
      </w:r>
      <w:r w:rsidRPr="00334A31">
        <w:t>chronic obstructive pulmonary disease; DOEScore</w:t>
      </w:r>
      <w:r>
        <w:t>=</w:t>
      </w:r>
      <w:r w:rsidRPr="00334A31">
        <w:t>Dubbo Osteoporosis Epidemiology Score; DXA</w:t>
      </w:r>
      <w:r>
        <w:t>=</w:t>
      </w:r>
      <w:r w:rsidRPr="00334A31">
        <w:t>dual energy x-ray absorptiometry; FRAX</w:t>
      </w:r>
      <w:r>
        <w:t>=</w:t>
      </w:r>
      <w:r w:rsidRPr="00334A31">
        <w:t>Fracture Risk Assessment tool; GP</w:t>
      </w:r>
      <w:r>
        <w:t>=</w:t>
      </w:r>
      <w:r w:rsidRPr="00334A31">
        <w:t>general practitioner; h/o</w:t>
      </w:r>
      <w:r>
        <w:t>=</w:t>
      </w:r>
      <w:r w:rsidRPr="00334A31">
        <w:t xml:space="preserve">history of; </w:t>
      </w:r>
      <w:r w:rsidRPr="00334A31">
        <w:lastRenderedPageBreak/>
        <w:t>HRT</w:t>
      </w:r>
      <w:r>
        <w:t>=</w:t>
      </w:r>
      <w:r w:rsidRPr="00334A31">
        <w:t>hormone replacement therapy; kg</w:t>
      </w:r>
      <w:r>
        <w:t>=kilogram; KNHANES=</w:t>
      </w:r>
      <w:r w:rsidRPr="00334A31">
        <w:t>Korean National Health and Nutrition Examination Survey</w:t>
      </w:r>
      <w:r>
        <w:t>;</w:t>
      </w:r>
      <w:r w:rsidRPr="00334A31">
        <w:t xml:space="preserve"> MORE</w:t>
      </w:r>
      <w:r>
        <w:t>=</w:t>
      </w:r>
      <w:r w:rsidRPr="00334A31">
        <w:t>Multiple Outcomes of Raloxifene Trial; MOST</w:t>
      </w:r>
      <w:r>
        <w:t>=</w:t>
      </w:r>
      <w:r w:rsidRPr="00334A31">
        <w:t>Male Osteoporosis Screening Tool; MSCORE</w:t>
      </w:r>
      <w:r>
        <w:t>=</w:t>
      </w:r>
      <w:r w:rsidRPr="00334A31">
        <w:t>male, simple calculated osteoporosis risk estimation; NA</w:t>
      </w:r>
      <w:r>
        <w:t>=</w:t>
      </w:r>
      <w:r w:rsidRPr="00334A31">
        <w:t>not applicable; NR</w:t>
      </w:r>
      <w:r>
        <w:t>=</w:t>
      </w:r>
      <w:r w:rsidRPr="00334A31">
        <w:t>not reported; NOF</w:t>
      </w:r>
      <w:r>
        <w:t>=</w:t>
      </w:r>
      <w:r w:rsidRPr="00334A31">
        <w:t>National Osteoporosis Foundation; OPRA</w:t>
      </w:r>
      <w:r>
        <w:t>=</w:t>
      </w:r>
      <w:r w:rsidRPr="00334A31">
        <w:t>Osteoporosis Population-based Risk Assessment;ORAI</w:t>
      </w:r>
      <w:r>
        <w:t>=</w:t>
      </w:r>
      <w:r w:rsidRPr="00334A31">
        <w:t>Osteoporosis Risk Assessment Instrument; OSIRIS</w:t>
      </w:r>
      <w:r>
        <w:t>=</w:t>
      </w:r>
      <w:r w:rsidRPr="00334A31">
        <w:t>Osteoporosis Index of Risk; OST</w:t>
      </w:r>
      <w:r>
        <w:t>=</w:t>
      </w:r>
      <w:r w:rsidRPr="00334A31">
        <w:t>osteoporosis self-assessment tool; QUI</w:t>
      </w:r>
      <w:r>
        <w:t>=</w:t>
      </w:r>
      <w:r w:rsidRPr="00334A31">
        <w:t>ultrasound index; QUS</w:t>
      </w:r>
      <w:r>
        <w:t>=</w:t>
      </w:r>
      <w:r w:rsidRPr="00334A31">
        <w:t>quantitative ultrasound; RA</w:t>
      </w:r>
      <w:r>
        <w:t>=</w:t>
      </w:r>
      <w:r w:rsidRPr="00334A31">
        <w:t>rheumatoid arthritis; SCORE</w:t>
      </w:r>
      <w:r>
        <w:t>=</w:t>
      </w:r>
      <w:r w:rsidRPr="00334A31">
        <w:t>Simple Calculated Osteoporosis Risk Estimation Tool; SD</w:t>
      </w:r>
      <w:r>
        <w:t>=</w:t>
      </w:r>
      <w:r w:rsidRPr="00334A31">
        <w:t>standard deviation; SOF</w:t>
      </w:r>
      <w:r>
        <w:t>=</w:t>
      </w:r>
      <w:r w:rsidRPr="00334A31">
        <w:t>Study of Osteoporotic Fractures; SOFSURF</w:t>
      </w:r>
      <w:r>
        <w:t>=</w:t>
      </w:r>
      <w:r w:rsidRPr="00334A31">
        <w:t>Study of Osteoporotic Fractures Simple Useful Risk Factors; TH</w:t>
      </w:r>
      <w:r>
        <w:t>=</w:t>
      </w:r>
      <w:r w:rsidRPr="00334A31">
        <w:t>total hip; US</w:t>
      </w:r>
      <w:r>
        <w:t>=</w:t>
      </w:r>
      <w:r w:rsidRPr="00334A31">
        <w:t>United States; USPSTF</w:t>
      </w:r>
      <w:r>
        <w:t>=</w:t>
      </w:r>
      <w:r w:rsidRPr="00334A31">
        <w:t>United States Preventative Services Task Force; WHI</w:t>
      </w:r>
      <w:r>
        <w:t>=</w:t>
      </w:r>
      <w:r w:rsidRPr="00334A31">
        <w:t>Women’s Health Initiative</w:t>
      </w:r>
      <w:r>
        <w:t>.</w:t>
      </w:r>
    </w:p>
    <w:sectPr w:rsidR="00DB76EC" w:rsidSect="009B68D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3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8D6" w:rsidRDefault="009B68D6" w:rsidP="009B68D6">
      <w:r>
        <w:separator/>
      </w:r>
    </w:p>
  </w:endnote>
  <w:endnote w:type="continuationSeparator" w:id="1">
    <w:p w:rsidR="009B68D6" w:rsidRDefault="009B68D6" w:rsidP="009B6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D6" w:rsidRDefault="009B68D6" w:rsidP="009B68D6">
    <w:pPr>
      <w:pStyle w:val="Footer"/>
      <w:jc w:val="center"/>
    </w:pPr>
    <w:r>
      <w:t>F-</w:t>
    </w:r>
    <w:sdt>
      <w:sdtPr>
        <w:id w:val="174006300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48</w:t>
          </w:r>
        </w:fldSimple>
      </w:sdtContent>
    </w:sdt>
  </w:p>
  <w:p w:rsidR="0029331E" w:rsidRDefault="009B68D6" w:rsidP="009B68D6">
    <w:pPr>
      <w:ind w:firstLine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8D6" w:rsidRDefault="009B68D6" w:rsidP="009B68D6">
      <w:r>
        <w:separator/>
      </w:r>
    </w:p>
  </w:footnote>
  <w:footnote w:type="continuationSeparator" w:id="1">
    <w:p w:rsidR="009B68D6" w:rsidRDefault="009B68D6" w:rsidP="009B6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1E" w:rsidRPr="002F6874" w:rsidRDefault="009B68D6" w:rsidP="00ED66F2">
    <w:pPr>
      <w:pStyle w:val="AppTableTitle"/>
      <w:spacing w:before="0"/>
    </w:pPr>
    <w:r>
      <w:t>Appendix F Table 4. Characteristics and Results of Studies of Risk Prediction Instruments for Identifying Osteoporosis: Part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7D7"/>
    <w:multiLevelType w:val="hybridMultilevel"/>
    <w:tmpl w:val="DF485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A6081F"/>
    <w:multiLevelType w:val="hybridMultilevel"/>
    <w:tmpl w:val="D5781640"/>
    <w:lvl w:ilvl="0" w:tplc="35F20B16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1263F"/>
    <w:multiLevelType w:val="hybridMultilevel"/>
    <w:tmpl w:val="1CAA2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A4C17"/>
    <w:multiLevelType w:val="hybridMultilevel"/>
    <w:tmpl w:val="1C3459FC"/>
    <w:lvl w:ilvl="0" w:tplc="98D2417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C32AF"/>
    <w:multiLevelType w:val="hybridMultilevel"/>
    <w:tmpl w:val="465CC6EE"/>
    <w:lvl w:ilvl="0" w:tplc="1474E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37E30"/>
    <w:multiLevelType w:val="hybridMultilevel"/>
    <w:tmpl w:val="9D66E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414B1B"/>
    <w:multiLevelType w:val="hybridMultilevel"/>
    <w:tmpl w:val="12D26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8E579E"/>
    <w:multiLevelType w:val="hybridMultilevel"/>
    <w:tmpl w:val="452E8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F2020"/>
    <w:multiLevelType w:val="hybridMultilevel"/>
    <w:tmpl w:val="2A30B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064BBF"/>
    <w:multiLevelType w:val="hybridMultilevel"/>
    <w:tmpl w:val="44560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D83D30"/>
    <w:multiLevelType w:val="hybridMultilevel"/>
    <w:tmpl w:val="4208A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62D4E"/>
    <w:multiLevelType w:val="hybridMultilevel"/>
    <w:tmpl w:val="32BA9882"/>
    <w:lvl w:ilvl="0" w:tplc="196EEC7E">
      <w:start w:val="1"/>
      <w:numFmt w:val="bullet"/>
      <w:pStyle w:val="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>
    <w:nsid w:val="47C642B0"/>
    <w:multiLevelType w:val="hybridMultilevel"/>
    <w:tmpl w:val="96BE5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9F5891"/>
    <w:multiLevelType w:val="hybridMultilevel"/>
    <w:tmpl w:val="086EC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E94EA9"/>
    <w:multiLevelType w:val="hybridMultilevel"/>
    <w:tmpl w:val="DBDC2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36647"/>
    <w:multiLevelType w:val="hybridMultilevel"/>
    <w:tmpl w:val="1FF2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A26C9"/>
    <w:multiLevelType w:val="hybridMultilevel"/>
    <w:tmpl w:val="B2CE00C0"/>
    <w:lvl w:ilvl="0" w:tplc="FC3AFE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4A2CEA"/>
    <w:multiLevelType w:val="hybridMultilevel"/>
    <w:tmpl w:val="38E65EFE"/>
    <w:lvl w:ilvl="0" w:tplc="8D1AAA7A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E25E12"/>
    <w:multiLevelType w:val="hybridMultilevel"/>
    <w:tmpl w:val="5CEC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C380A"/>
    <w:multiLevelType w:val="hybridMultilevel"/>
    <w:tmpl w:val="11AC4C12"/>
    <w:lvl w:ilvl="0" w:tplc="B972CD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0F5E64"/>
    <w:multiLevelType w:val="hybridMultilevel"/>
    <w:tmpl w:val="E8C6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4B65A2"/>
    <w:multiLevelType w:val="hybridMultilevel"/>
    <w:tmpl w:val="C2C6C6F0"/>
    <w:lvl w:ilvl="0" w:tplc="D814F34E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2C3546"/>
    <w:multiLevelType w:val="hybridMultilevel"/>
    <w:tmpl w:val="DD709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D52BC9"/>
    <w:multiLevelType w:val="hybridMultilevel"/>
    <w:tmpl w:val="122EB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A84C87"/>
    <w:multiLevelType w:val="hybridMultilevel"/>
    <w:tmpl w:val="49281608"/>
    <w:lvl w:ilvl="0" w:tplc="87E85DB0">
      <w:start w:val="1"/>
      <w:numFmt w:val="bullet"/>
      <w:pStyle w:val="TableBulletLM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03331D"/>
    <w:multiLevelType w:val="hybridMultilevel"/>
    <w:tmpl w:val="79D0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22"/>
  </w:num>
  <w:num w:numId="5">
    <w:abstractNumId w:val="20"/>
  </w:num>
  <w:num w:numId="6">
    <w:abstractNumId w:val="24"/>
  </w:num>
  <w:num w:numId="7">
    <w:abstractNumId w:val="1"/>
  </w:num>
  <w:num w:numId="8">
    <w:abstractNumId w:val="3"/>
  </w:num>
  <w:num w:numId="9">
    <w:abstractNumId w:val="12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3"/>
  </w:num>
  <w:num w:numId="15">
    <w:abstractNumId w:val="8"/>
  </w:num>
  <w:num w:numId="16">
    <w:abstractNumId w:val="27"/>
  </w:num>
  <w:num w:numId="17">
    <w:abstractNumId w:val="26"/>
  </w:num>
  <w:num w:numId="18">
    <w:abstractNumId w:val="15"/>
  </w:num>
  <w:num w:numId="19">
    <w:abstractNumId w:val="0"/>
  </w:num>
  <w:num w:numId="20">
    <w:abstractNumId w:val="25"/>
  </w:num>
  <w:num w:numId="21">
    <w:abstractNumId w:val="16"/>
  </w:num>
  <w:num w:numId="22">
    <w:abstractNumId w:val="21"/>
  </w:num>
  <w:num w:numId="23">
    <w:abstractNumId w:val="18"/>
  </w:num>
  <w:num w:numId="24">
    <w:abstractNumId w:val="11"/>
  </w:num>
  <w:num w:numId="25">
    <w:abstractNumId w:val="19"/>
  </w:num>
  <w:num w:numId="26">
    <w:abstractNumId w:val="28"/>
  </w:num>
  <w:num w:numId="27">
    <w:abstractNumId w:val="2"/>
  </w:num>
  <w:num w:numId="28">
    <w:abstractNumId w:val="6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9B68D6"/>
    <w:rsid w:val="009B68D6"/>
    <w:rsid w:val="00DB76EC"/>
    <w:rsid w:val="00E11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D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9B68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8D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8D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8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8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68D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B68D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B68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paragraph" w:customStyle="1" w:styleId="ParagraphIndent">
    <w:name w:val="ParagraphIndent"/>
    <w:link w:val="ParagraphIndentChar"/>
    <w:qFormat/>
    <w:rsid w:val="009B68D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B68D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B68D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B68D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B68D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B68D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B68D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B68D6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9B68D6"/>
    <w:rPr>
      <w:rFonts w:ascii="Arial" w:eastAsia="Times New Roman" w:hAnsi="Arial"/>
      <w:sz w:val="18"/>
      <w:lang w:val="de-AT" w:eastAsia="de-AT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rPr>
        <w:tblHeader/>
      </w:trPr>
      <w:tcPr>
        <w:shd w:val="clear" w:color="auto" w:fill="BFBFBF" w:themeFill="background1" w:themeFillShade="BF"/>
        <w:vAlign w:val="bottom"/>
      </w:tcPr>
    </w:tblStylePr>
  </w:style>
  <w:style w:type="table" w:styleId="TableGrid">
    <w:name w:val="Table Grid"/>
    <w:basedOn w:val="TableNormal"/>
    <w:uiPriority w:val="39"/>
    <w:rsid w:val="009B68D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9B68D6"/>
    <w:pPr>
      <w:keepNext/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B68D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9B68D6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9B68D6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B68D6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9B68D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9B68D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9B68D6"/>
    <w:pPr>
      <w:spacing w:after="120" w:line="240" w:lineRule="auto"/>
      <w:contextualSpacing/>
    </w:pPr>
    <w:rPr>
      <w:rFonts w:ascii="Arial" w:eastAsia="Times New Roman" w:hAnsi="Arial" w:cs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9B68D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B68D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B68D6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B68D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B68D6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D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B6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B68D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68D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6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8D6"/>
    <w:rPr>
      <w:b/>
      <w:bCs/>
    </w:rPr>
  </w:style>
  <w:style w:type="paragraph" w:customStyle="1" w:styleId="PreparedForText">
    <w:name w:val="PreparedForText"/>
    <w:qFormat/>
    <w:rsid w:val="009B68D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B68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B68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B68D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B68D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B68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B68D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B68D6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B68D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B68D6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9B68D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B68D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9B68D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B6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8D6"/>
    <w:rPr>
      <w:rFonts w:ascii="Times" w:eastAsia="Times New Roman" w:hAnsi="Times" w:cs="Times New Roman"/>
      <w:sz w:val="24"/>
      <w:szCs w:val="20"/>
    </w:rPr>
  </w:style>
  <w:style w:type="paragraph" w:customStyle="1" w:styleId="Level6Heading">
    <w:name w:val="Level6Heading"/>
    <w:qFormat/>
    <w:rsid w:val="009B68D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B68D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B68D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B68D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B68D6"/>
    <w:pPr>
      <w:numPr>
        <w:ilvl w:val="1"/>
        <w:numId w:val="1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B68D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B68D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B68D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B68D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B68D6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B68D6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9B68D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B68D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9B68D6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9B68D6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B68D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B68D6"/>
    <w:rPr>
      <w:rFonts w:ascii="Arial" w:eastAsia="Times" w:hAnsi="Arial"/>
      <w:b/>
      <w:sz w:val="28"/>
    </w:rPr>
  </w:style>
  <w:style w:type="paragraph" w:customStyle="1" w:styleId="Default">
    <w:name w:val="Default"/>
    <w:rsid w:val="009B6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9B68D6"/>
  </w:style>
  <w:style w:type="character" w:customStyle="1" w:styleId="paragraph">
    <w:name w:val="paragraph"/>
    <w:basedOn w:val="DefaultParagraphFont"/>
    <w:rsid w:val="009B68D6"/>
  </w:style>
  <w:style w:type="character" w:styleId="Strong">
    <w:name w:val="Strong"/>
    <w:basedOn w:val="DefaultParagraphFont"/>
    <w:uiPriority w:val="22"/>
    <w:qFormat/>
    <w:rsid w:val="009B68D6"/>
    <w:rPr>
      <w:b/>
      <w:bCs/>
    </w:rPr>
  </w:style>
  <w:style w:type="character" w:styleId="Emphasis">
    <w:name w:val="Emphasis"/>
    <w:uiPriority w:val="20"/>
    <w:qFormat/>
    <w:rsid w:val="009B68D6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9B68D6"/>
    <w:rPr>
      <w:i/>
      <w:iCs/>
    </w:rPr>
  </w:style>
  <w:style w:type="character" w:customStyle="1" w:styleId="cit-source">
    <w:name w:val="cit-source"/>
    <w:rsid w:val="009B68D6"/>
  </w:style>
  <w:style w:type="character" w:customStyle="1" w:styleId="cit-pub-date">
    <w:name w:val="cit-pub-date"/>
    <w:rsid w:val="009B68D6"/>
  </w:style>
  <w:style w:type="character" w:customStyle="1" w:styleId="cit-vol5">
    <w:name w:val="cit-vol5"/>
    <w:rsid w:val="009B68D6"/>
  </w:style>
  <w:style w:type="character" w:customStyle="1" w:styleId="cit-fpage">
    <w:name w:val="cit-fpage"/>
    <w:rsid w:val="009B68D6"/>
  </w:style>
  <w:style w:type="character" w:customStyle="1" w:styleId="ParagraphIndentChar">
    <w:name w:val="ParagraphIndent Char"/>
    <w:link w:val="ParagraphIndent"/>
    <w:rsid w:val="009B68D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5">
    <w:name w:val="toc 5"/>
    <w:basedOn w:val="Normal"/>
    <w:next w:val="Normal"/>
    <w:uiPriority w:val="39"/>
    <w:unhideWhenUsed/>
    <w:rsid w:val="009B68D6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9B68D6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9B68D6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B68D6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9B68D6"/>
  </w:style>
  <w:style w:type="paragraph" w:customStyle="1" w:styleId="Tabletext0">
    <w:name w:val="Table text"/>
    <w:basedOn w:val="Normal"/>
    <w:qFormat/>
    <w:rsid w:val="009B68D6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TableText"/>
    <w:rsid w:val="009B68D6"/>
    <w:pPr>
      <w:numPr>
        <w:numId w:val="16"/>
      </w:numPr>
      <w:ind w:left="166" w:hanging="166"/>
    </w:pPr>
    <w:rPr>
      <w:rFonts w:eastAsia="Arial Unicode MS"/>
      <w:lang w:val="de-AT" w:eastAsia="de-AT"/>
    </w:rPr>
  </w:style>
  <w:style w:type="paragraph" w:styleId="ListParagraph">
    <w:name w:val="List Paragraph"/>
    <w:basedOn w:val="Normal"/>
    <w:uiPriority w:val="34"/>
    <w:qFormat/>
    <w:rsid w:val="009B68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9B68D6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9B68D6"/>
    <w:rPr>
      <w:rFonts w:ascii="Times New Roman" w:eastAsia="Times" w:hAnsi="Times New Roman" w:cs="Times New Roman"/>
      <w:sz w:val="24"/>
      <w:szCs w:val="20"/>
    </w:rPr>
  </w:style>
  <w:style w:type="paragraph" w:styleId="BodyText0">
    <w:name w:val="Body Text"/>
    <w:basedOn w:val="Normal"/>
    <w:link w:val="BodyTextChar0"/>
    <w:rsid w:val="009B68D6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9B68D6"/>
    <w:rPr>
      <w:rFonts w:ascii="Times New Roman" w:eastAsia="Times New Roman" w:hAnsi="Times New Roman" w:cs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9B68D6"/>
    <w:pPr>
      <w:spacing w:after="120"/>
    </w:pPr>
  </w:style>
  <w:style w:type="paragraph" w:customStyle="1" w:styleId="AppLevel1Heading">
    <w:name w:val="AppLevel1Heading"/>
    <w:basedOn w:val="Normal"/>
    <w:qFormat/>
    <w:rsid w:val="009B68D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B68D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B68D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9B68D6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9B68D6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9B68D6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9B68D6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9B68D6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9B68D6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9B68D6"/>
    <w:rPr>
      <w:i/>
    </w:rPr>
  </w:style>
  <w:style w:type="paragraph" w:customStyle="1" w:styleId="Level1">
    <w:name w:val="Level 1"/>
    <w:basedOn w:val="Normal"/>
    <w:qFormat/>
    <w:rsid w:val="009B68D6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9B68D6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link w:val="AppTableTitleChar"/>
    <w:qFormat/>
    <w:rsid w:val="009B68D6"/>
  </w:style>
  <w:style w:type="paragraph" w:styleId="TOC3">
    <w:name w:val="toc 3"/>
    <w:basedOn w:val="Normal"/>
    <w:next w:val="Normal"/>
    <w:autoRedefine/>
    <w:uiPriority w:val="39"/>
    <w:unhideWhenUsed/>
    <w:rsid w:val="009B68D6"/>
    <w:pPr>
      <w:ind w:left="480"/>
    </w:pPr>
  </w:style>
  <w:style w:type="paragraph" w:customStyle="1" w:styleId="KeyQuestion0">
    <w:name w:val="Key Question"/>
    <w:basedOn w:val="Normal"/>
    <w:qFormat/>
    <w:rsid w:val="009B68D6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qFormat/>
    <w:rsid w:val="009B68D6"/>
    <w:pPr>
      <w:numPr>
        <w:numId w:val="5"/>
      </w:numPr>
      <w:ind w:left="360"/>
    </w:pPr>
  </w:style>
  <w:style w:type="paragraph" w:customStyle="1" w:styleId="TableTitleContinued">
    <w:name w:val="TableTitleContinued"/>
    <w:basedOn w:val="TableTitle0"/>
    <w:qFormat/>
    <w:rsid w:val="009B68D6"/>
  </w:style>
  <w:style w:type="paragraph" w:customStyle="1" w:styleId="AppCTableTitle">
    <w:name w:val="AppCTableTitle"/>
    <w:basedOn w:val="Caption"/>
    <w:qFormat/>
    <w:rsid w:val="009B68D6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9B68D6"/>
  </w:style>
  <w:style w:type="paragraph" w:customStyle="1" w:styleId="ES-Level2Heading">
    <w:name w:val="ES-Level2Heading"/>
    <w:basedOn w:val="Level2Heading"/>
    <w:qFormat/>
    <w:rsid w:val="009B68D6"/>
  </w:style>
  <w:style w:type="paragraph" w:customStyle="1" w:styleId="ES-Level3Heading">
    <w:name w:val="ES-Level3Heading"/>
    <w:basedOn w:val="Level3Heading"/>
    <w:qFormat/>
    <w:rsid w:val="009B68D6"/>
    <w:rPr>
      <w:rFonts w:cs="Arial"/>
    </w:rPr>
  </w:style>
  <w:style w:type="character" w:customStyle="1" w:styleId="TableTextChar">
    <w:name w:val="TableText Char"/>
    <w:link w:val="TableText"/>
    <w:rsid w:val="009B68D6"/>
    <w:rPr>
      <w:rFonts w:ascii="Arial" w:eastAsia="Calibri" w:hAnsi="Arial" w:cs="Arial"/>
      <w:sz w:val="18"/>
      <w:szCs w:val="18"/>
    </w:rPr>
  </w:style>
  <w:style w:type="character" w:customStyle="1" w:styleId="TableTitleChar">
    <w:name w:val="TableTitle Char"/>
    <w:link w:val="TableTitle"/>
    <w:rsid w:val="009B68D6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NoteChar">
    <w:name w:val="TableNote Char"/>
    <w:link w:val="TableNote"/>
    <w:rsid w:val="009B68D6"/>
    <w:rPr>
      <w:rFonts w:ascii="Arial" w:eastAsia="Times New Roman" w:hAnsi="Arial" w:cs="Times New Roman"/>
      <w:bCs/>
      <w:sz w:val="18"/>
      <w:szCs w:val="24"/>
    </w:rPr>
  </w:style>
  <w:style w:type="character" w:customStyle="1" w:styleId="A32">
    <w:name w:val="A3+2"/>
    <w:uiPriority w:val="99"/>
    <w:rsid w:val="009B68D6"/>
    <w:rPr>
      <w:color w:val="000000"/>
      <w:sz w:val="18"/>
      <w:szCs w:val="21"/>
    </w:rPr>
  </w:style>
  <w:style w:type="paragraph" w:customStyle="1" w:styleId="blankbullet">
    <w:name w:val="blankbullet"/>
    <w:basedOn w:val="Normal"/>
    <w:qFormat/>
    <w:rsid w:val="009B68D6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9B68D6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9B68D6"/>
  </w:style>
  <w:style w:type="character" w:styleId="PageNumber0">
    <w:name w:val="page number"/>
    <w:rsid w:val="009B68D6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9B68D6"/>
  </w:style>
  <w:style w:type="paragraph" w:customStyle="1" w:styleId="AppLevel3Heading">
    <w:name w:val="AppLevel3Heading"/>
    <w:basedOn w:val="Normal"/>
    <w:qFormat/>
    <w:rsid w:val="009B68D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AppLevel2Heading">
    <w:name w:val="AppLevel2Heading"/>
    <w:basedOn w:val="Level2Heading"/>
    <w:qFormat/>
    <w:rsid w:val="009B68D6"/>
  </w:style>
  <w:style w:type="paragraph" w:customStyle="1" w:styleId="ES-Level1HeadingContinued">
    <w:name w:val="ES-Level1HeadingContinued"/>
    <w:basedOn w:val="ES-Level1Heading"/>
    <w:qFormat/>
    <w:rsid w:val="009B68D6"/>
    <w:pPr>
      <w:spacing w:before="0" w:after="0"/>
    </w:pPr>
  </w:style>
  <w:style w:type="paragraph" w:customStyle="1" w:styleId="tabletext1">
    <w:name w:val="table text"/>
    <w:basedOn w:val="Normal"/>
    <w:qFormat/>
    <w:rsid w:val="009B68D6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9B68D6"/>
    <w:pPr>
      <w:spacing w:before="120"/>
    </w:pPr>
    <w:rPr>
      <w:rFonts w:ascii="Arial" w:hAnsi="Arial"/>
      <w:b/>
      <w:sz w:val="20"/>
    </w:rPr>
  </w:style>
  <w:style w:type="paragraph" w:customStyle="1" w:styleId="tableheaders">
    <w:name w:val="table headers"/>
    <w:basedOn w:val="Normal"/>
    <w:qFormat/>
    <w:rsid w:val="009B68D6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9B68D6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9B68D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9B68D6"/>
  </w:style>
  <w:style w:type="character" w:styleId="PlaceholderText">
    <w:name w:val="Placeholder Text"/>
    <w:uiPriority w:val="99"/>
    <w:semiHidden/>
    <w:rsid w:val="009B68D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68D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68D6"/>
    <w:rPr>
      <w:rFonts w:ascii="Times" w:eastAsia="Times New Roman" w:hAnsi="Times" w:cs="Times New Roman"/>
      <w:sz w:val="20"/>
      <w:szCs w:val="20"/>
    </w:rPr>
  </w:style>
  <w:style w:type="paragraph" w:customStyle="1" w:styleId="AppTableTitleContinued0">
    <w:name w:val="AppTableTitleContinued"/>
    <w:basedOn w:val="TableTitleContinued"/>
    <w:qFormat/>
    <w:rsid w:val="009B68D6"/>
  </w:style>
  <w:style w:type="paragraph" w:customStyle="1" w:styleId="biblio">
    <w:name w:val="biblio"/>
    <w:basedOn w:val="Normal"/>
    <w:qFormat/>
    <w:rsid w:val="009B68D6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qFormat/>
    <w:rsid w:val="009B68D6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B68D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9B68D6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9B68D6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9B68D6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8D6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9B68D6"/>
  </w:style>
  <w:style w:type="paragraph" w:customStyle="1" w:styleId="AppDTableTitle">
    <w:name w:val="AppDTableTitle"/>
    <w:basedOn w:val="AppTableTitle"/>
    <w:qFormat/>
    <w:rsid w:val="009B68D6"/>
  </w:style>
  <w:style w:type="paragraph" w:customStyle="1" w:styleId="APPETableTitle">
    <w:name w:val="APPETableTitle"/>
    <w:basedOn w:val="AppTableTitle"/>
    <w:qFormat/>
    <w:rsid w:val="009B68D6"/>
  </w:style>
  <w:style w:type="character" w:customStyle="1" w:styleId="xbe">
    <w:name w:val="_xbe"/>
    <w:rsid w:val="009B68D6"/>
  </w:style>
  <w:style w:type="paragraph" w:customStyle="1" w:styleId="tabletitle1">
    <w:name w:val="tabletitle"/>
    <w:basedOn w:val="Normal"/>
    <w:uiPriority w:val="99"/>
    <w:rsid w:val="009B68D6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9B68D6"/>
    <w:pPr>
      <w:ind w:left="187"/>
    </w:pPr>
  </w:style>
  <w:style w:type="character" w:customStyle="1" w:styleId="tgc">
    <w:name w:val="_tgc"/>
    <w:basedOn w:val="DefaultParagraphFont"/>
    <w:rsid w:val="009B68D6"/>
  </w:style>
  <w:style w:type="character" w:customStyle="1" w:styleId="references">
    <w:name w:val="references"/>
    <w:basedOn w:val="DefaultParagraphFont"/>
    <w:rsid w:val="009B68D6"/>
  </w:style>
  <w:style w:type="paragraph" w:customStyle="1" w:styleId="FigureKQ">
    <w:name w:val="FigureKQ"/>
    <w:basedOn w:val="TableNote"/>
    <w:qFormat/>
    <w:rsid w:val="009B68D6"/>
    <w:pPr>
      <w:ind w:left="504" w:hanging="504"/>
    </w:pPr>
  </w:style>
  <w:style w:type="character" w:customStyle="1" w:styleId="search-number">
    <w:name w:val="search-number"/>
    <w:basedOn w:val="DefaultParagraphFont"/>
    <w:rsid w:val="009B68D6"/>
  </w:style>
  <w:style w:type="character" w:customStyle="1" w:styleId="term">
    <w:name w:val="term"/>
    <w:basedOn w:val="DefaultParagraphFont"/>
    <w:rsid w:val="009B68D6"/>
  </w:style>
  <w:style w:type="character" w:customStyle="1" w:styleId="ChapterHeadingChar">
    <w:name w:val="ChapterHeading Char"/>
    <w:basedOn w:val="DefaultParagraphFont"/>
    <w:link w:val="ChapterHeading"/>
    <w:rsid w:val="009B68D6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ageNumber-Left">
    <w:name w:val="PageNumber-Left"/>
    <w:basedOn w:val="PageNumber"/>
    <w:qFormat/>
    <w:rsid w:val="009B68D6"/>
    <w:pPr>
      <w:jc w:val="left"/>
    </w:pPr>
  </w:style>
  <w:style w:type="paragraph" w:customStyle="1" w:styleId="AppFigureTitle0">
    <w:name w:val="AppFigureTitle"/>
    <w:basedOn w:val="FigureTitle"/>
    <w:qFormat/>
    <w:rsid w:val="009B68D6"/>
  </w:style>
  <w:style w:type="paragraph" w:customStyle="1" w:styleId="AppTableText">
    <w:name w:val="AppTableText"/>
    <w:basedOn w:val="TableText"/>
    <w:qFormat/>
    <w:rsid w:val="009B68D6"/>
  </w:style>
  <w:style w:type="paragraph" w:customStyle="1" w:styleId="AppTableNote">
    <w:name w:val="AppTableNote"/>
    <w:basedOn w:val="TableNote"/>
    <w:qFormat/>
    <w:rsid w:val="009B68D6"/>
  </w:style>
  <w:style w:type="character" w:customStyle="1" w:styleId="highlight">
    <w:name w:val="highlight"/>
    <w:basedOn w:val="DefaultParagraphFont"/>
    <w:rsid w:val="009B68D6"/>
  </w:style>
  <w:style w:type="paragraph" w:customStyle="1" w:styleId="BlankTableTitle">
    <w:name w:val="BlankTableTitle"/>
    <w:basedOn w:val="BodyText"/>
    <w:qFormat/>
    <w:rsid w:val="009B68D6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9B68D6"/>
  </w:style>
  <w:style w:type="paragraph" w:customStyle="1" w:styleId="BlankAppendixTitle">
    <w:name w:val="BlankAppendixTitle"/>
    <w:basedOn w:val="BlankFigureTitle"/>
    <w:qFormat/>
    <w:rsid w:val="009B68D6"/>
  </w:style>
  <w:style w:type="paragraph" w:customStyle="1" w:styleId="Text">
    <w:name w:val="Text"/>
    <w:basedOn w:val="Normal"/>
    <w:qFormat/>
    <w:rsid w:val="009B68D6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qFormat/>
    <w:rsid w:val="009B68D6"/>
    <w:rPr>
      <w:rFonts w:eastAsia="Calibri"/>
      <w:b/>
    </w:rPr>
  </w:style>
  <w:style w:type="paragraph" w:customStyle="1" w:styleId="Tablebullet">
    <w:name w:val="Table bullet"/>
    <w:basedOn w:val="Normal"/>
    <w:qFormat/>
    <w:rsid w:val="009B68D6"/>
    <w:pPr>
      <w:numPr>
        <w:numId w:val="7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qFormat/>
    <w:rsid w:val="009B68D6"/>
    <w:pPr>
      <w:spacing w:after="0" w:line="240" w:lineRule="auto"/>
      <w:ind w:left="432" w:hanging="432"/>
    </w:pPr>
    <w:rPr>
      <w:rFonts w:ascii="Arial" w:eastAsia="Calibri" w:hAnsi="Arial" w:cs="Arial"/>
      <w:sz w:val="18"/>
      <w:szCs w:val="18"/>
    </w:rPr>
  </w:style>
  <w:style w:type="paragraph" w:customStyle="1" w:styleId="Tablebullet2">
    <w:name w:val="Table bullet 2"/>
    <w:qFormat/>
    <w:rsid w:val="009B68D6"/>
    <w:pPr>
      <w:numPr>
        <w:numId w:val="6"/>
      </w:num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qFormat/>
    <w:rsid w:val="009B68D6"/>
    <w:pPr>
      <w:ind w:left="785" w:hanging="360"/>
    </w:pPr>
  </w:style>
  <w:style w:type="paragraph" w:customStyle="1" w:styleId="Heading1Section">
    <w:name w:val="Heading 1 Section"/>
    <w:basedOn w:val="Heading1"/>
    <w:qFormat/>
    <w:rsid w:val="009B68D6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table" w:styleId="ColorfulList-Accent1">
    <w:name w:val="Colorful List Accent 1"/>
    <w:basedOn w:val="TableNormal"/>
    <w:uiPriority w:val="72"/>
    <w:unhideWhenUsed/>
    <w:rsid w:val="009B68D6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evel1HeadingChar">
    <w:name w:val="Level1Heading Char"/>
    <w:link w:val="Level1Heading"/>
    <w:rsid w:val="009B68D6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bullets">
    <w:name w:val="bullets"/>
    <w:basedOn w:val="Normal"/>
    <w:qFormat/>
    <w:rsid w:val="009B68D6"/>
    <w:pPr>
      <w:numPr>
        <w:numId w:val="8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qFormat/>
    <w:rsid w:val="009B68D6"/>
    <w:pPr>
      <w:numPr>
        <w:numId w:val="9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9B68D6"/>
  </w:style>
  <w:style w:type="paragraph" w:customStyle="1" w:styleId="numbered-paragraph">
    <w:name w:val="numbered-paragraph"/>
    <w:basedOn w:val="Normal"/>
    <w:rsid w:val="009B68D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9B68D6"/>
  </w:style>
  <w:style w:type="paragraph" w:customStyle="1" w:styleId="bulletblank0">
    <w:name w:val="bullet blank"/>
    <w:basedOn w:val="Normal"/>
    <w:qFormat/>
    <w:rsid w:val="009B68D6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qFormat/>
    <w:rsid w:val="009B68D6"/>
    <w:pPr>
      <w:ind w:left="1145" w:hanging="27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B68D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68D6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68D6"/>
    <w:rPr>
      <w:vertAlign w:val="superscript"/>
    </w:rPr>
  </w:style>
  <w:style w:type="paragraph" w:customStyle="1" w:styleId="TableTitleBlind">
    <w:name w:val="Table Title Blind"/>
    <w:basedOn w:val="TableTitle0"/>
    <w:qFormat/>
    <w:rsid w:val="009B68D6"/>
    <w:rPr>
      <w:color w:val="FFFFFF" w:themeColor="background1"/>
      <w:sz w:val="4"/>
    </w:rPr>
  </w:style>
  <w:style w:type="paragraph" w:customStyle="1" w:styleId="FigureTitleBlind">
    <w:name w:val="FigureTitleBlind"/>
    <w:basedOn w:val="FigureTitle"/>
    <w:qFormat/>
    <w:rsid w:val="009B68D6"/>
    <w:pPr>
      <w:spacing w:before="120"/>
    </w:pPr>
    <w:rPr>
      <w:color w:val="FFFFFF" w:themeColor="background1"/>
      <w:sz w:val="4"/>
    </w:rPr>
  </w:style>
  <w:style w:type="paragraph" w:customStyle="1" w:styleId="AppChapterHead-Blind">
    <w:name w:val="AppChapterHead-Blind"/>
    <w:basedOn w:val="AppChapterHeading"/>
    <w:qFormat/>
    <w:rsid w:val="009B68D6"/>
    <w:pPr>
      <w:spacing w:before="120" w:after="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qFormat/>
    <w:rsid w:val="009B68D6"/>
    <w:rPr>
      <w:rFonts w:ascii="Arial" w:hAnsi="Arial"/>
      <w:i/>
      <w:color w:val="000000"/>
      <w:sz w:val="18"/>
    </w:rPr>
  </w:style>
  <w:style w:type="table" w:customStyle="1" w:styleId="PlainTable21">
    <w:name w:val="Plain Table 21"/>
    <w:basedOn w:val="TableNormal"/>
    <w:uiPriority w:val="42"/>
    <w:rsid w:val="009B68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ppendixChapterHeading">
    <w:name w:val="AppendixChapterHeading"/>
    <w:basedOn w:val="ChapterHeading"/>
    <w:qFormat/>
    <w:rsid w:val="009B68D6"/>
    <w:pPr>
      <w:spacing w:after="60"/>
      <w:jc w:val="center"/>
    </w:pPr>
  </w:style>
  <w:style w:type="character" w:customStyle="1" w:styleId="ReferenceChar">
    <w:name w:val="Reference Char"/>
    <w:basedOn w:val="DefaultParagraphFont"/>
    <w:link w:val="Reference"/>
    <w:rsid w:val="009B68D6"/>
    <w:rPr>
      <w:rFonts w:ascii="Times New Roman" w:eastAsia="Times New Roman" w:hAnsi="Times New Roman" w:cs="Times New Roman"/>
      <w:bCs/>
      <w:sz w:val="20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9B68D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TableTitleBlind">
    <w:name w:val="AppTableTitleBlind"/>
    <w:basedOn w:val="AppTableTitle"/>
    <w:qFormat/>
    <w:rsid w:val="009B68D6"/>
    <w:pPr>
      <w:spacing w:before="0"/>
    </w:pPr>
    <w:rPr>
      <w:color w:val="FFFFFF" w:themeColor="background1"/>
      <w:sz w:val="4"/>
    </w:rPr>
  </w:style>
  <w:style w:type="character" w:customStyle="1" w:styleId="AppTableTitleChar">
    <w:name w:val="AppTableTitle Char"/>
    <w:link w:val="AppTableTitle"/>
    <w:rsid w:val="009B68D6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hitinf1">
    <w:name w:val="hit_inf1"/>
    <w:basedOn w:val="DefaultParagraphFont"/>
    <w:rsid w:val="009B68D6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9B68D6"/>
    <w:rPr>
      <w:color w:val="000000"/>
    </w:rPr>
  </w:style>
  <w:style w:type="character" w:customStyle="1" w:styleId="hitsyn1">
    <w:name w:val="hit_syn1"/>
    <w:basedOn w:val="DefaultParagraphFont"/>
    <w:rsid w:val="009B68D6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qFormat/>
    <w:rsid w:val="009B68D6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9B68D6"/>
  </w:style>
  <w:style w:type="paragraph" w:customStyle="1" w:styleId="inline">
    <w:name w:val="inline"/>
    <w:basedOn w:val="Normal"/>
    <w:rsid w:val="009B68D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B68D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68D6"/>
    <w:rPr>
      <w:rFonts w:ascii="Consolas" w:eastAsia="Times New Roman" w:hAnsi="Consolas" w:cs="Times New Roman"/>
      <w:sz w:val="21"/>
      <w:szCs w:val="21"/>
    </w:rPr>
  </w:style>
  <w:style w:type="paragraph" w:customStyle="1" w:styleId="Tabletitle2">
    <w:name w:val="Tabletitle"/>
    <w:basedOn w:val="Normal"/>
    <w:qFormat/>
    <w:rsid w:val="009B68D6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qFormat/>
    <w:rsid w:val="009B68D6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character" w:customStyle="1" w:styleId="Mention1">
    <w:name w:val="Mention1"/>
    <w:basedOn w:val="DefaultParagraphFont"/>
    <w:uiPriority w:val="99"/>
    <w:semiHidden/>
    <w:unhideWhenUsed/>
    <w:rsid w:val="009B68D6"/>
    <w:rPr>
      <w:color w:val="2B579A"/>
      <w:shd w:val="clear" w:color="auto" w:fill="E6E6E6"/>
    </w:rPr>
  </w:style>
  <w:style w:type="character" w:styleId="EndnoteReference">
    <w:name w:val="endnote reference"/>
    <w:basedOn w:val="DefaultParagraphFont"/>
    <w:uiPriority w:val="99"/>
    <w:semiHidden/>
    <w:unhideWhenUsed/>
    <w:rsid w:val="009B68D6"/>
    <w:rPr>
      <w:vertAlign w:val="superscript"/>
    </w:rPr>
  </w:style>
  <w:style w:type="paragraph" w:styleId="NoSpacing">
    <w:name w:val="No Spacing"/>
    <w:uiPriority w:val="1"/>
    <w:qFormat/>
    <w:rsid w:val="009B68D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68D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B68D6"/>
    <w:rPr>
      <w:color w:val="808080"/>
      <w:shd w:val="clear" w:color="auto" w:fill="E6E6E6"/>
    </w:rPr>
  </w:style>
  <w:style w:type="paragraph" w:customStyle="1" w:styleId="SAHeading">
    <w:name w:val="SAHeading"/>
    <w:basedOn w:val="Normal"/>
    <w:qFormat/>
    <w:rsid w:val="009B68D6"/>
    <w:pPr>
      <w:spacing w:before="120" w:after="120"/>
    </w:pPr>
    <w:rPr>
      <w:rFonts w:ascii="Arial" w:hAnsi="Arial"/>
      <w:b/>
      <w:bCs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68D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3401</Words>
  <Characters>19390</Characters>
  <Application>Microsoft Office Word</Application>
  <DocSecurity>0</DocSecurity>
  <Lines>161</Lines>
  <Paragraphs>45</Paragraphs>
  <ScaleCrop>false</ScaleCrop>
  <Company/>
  <LinksUpToDate>false</LinksUpToDate>
  <CharactersWithSpaces>22746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</dc:creator>
  <cp:lastModifiedBy>Siva</cp:lastModifiedBy>
  <cp:revision>1</cp:revision>
  <dcterms:created xsi:type="dcterms:W3CDTF">2018-09-08T08:53:00Z</dcterms:created>
  <dcterms:modified xsi:type="dcterms:W3CDTF">2018-09-08T09:00:00Z</dcterms:modified>
</cp:coreProperties>
</file>