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HRQ1"/>
        <w:tblW w:w="12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5"/>
        <w:gridCol w:w="1985"/>
        <w:gridCol w:w="1345"/>
        <w:gridCol w:w="2070"/>
        <w:gridCol w:w="1890"/>
        <w:gridCol w:w="2610"/>
        <w:gridCol w:w="990"/>
        <w:gridCol w:w="815"/>
      </w:tblGrid>
      <w:tr w:rsidR="000A3A6E" w:rsidRPr="006300B8" w:rsidTr="00D11E10">
        <w:trPr>
          <w:trHeight w:val="208"/>
          <w:tblHeader/>
        </w:trPr>
        <w:tc>
          <w:tcPr>
            <w:tcW w:w="1255" w:type="dxa"/>
            <w:shd w:val="clear" w:color="auto" w:fill="D9D9D9" w:themeFill="background1" w:themeFillShade="D9"/>
            <w:vAlign w:val="bottom"/>
          </w:tcPr>
          <w:p w:rsidR="000A3A6E" w:rsidRPr="006300B8" w:rsidRDefault="000A3A6E" w:rsidP="00D11E10">
            <w:pPr>
              <w:pStyle w:val="AppTableText"/>
              <w:rPr>
                <w:b/>
                <w:sz w:val="20"/>
                <w:szCs w:val="20"/>
              </w:rPr>
            </w:pPr>
            <w:r w:rsidRPr="006300B8">
              <w:rPr>
                <w:b/>
                <w:sz w:val="20"/>
                <w:szCs w:val="20"/>
              </w:rPr>
              <w:t>Study Reference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:rsidR="000A3A6E" w:rsidRPr="006300B8" w:rsidRDefault="000A3A6E" w:rsidP="00D11E10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6300B8">
              <w:rPr>
                <w:b/>
                <w:sz w:val="20"/>
                <w:szCs w:val="20"/>
              </w:rPr>
              <w:t>Participant Characteristics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bottom"/>
          </w:tcPr>
          <w:p w:rsidR="000A3A6E" w:rsidRPr="006300B8" w:rsidRDefault="000A3A6E" w:rsidP="00D11E10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6300B8">
              <w:rPr>
                <w:b/>
                <w:sz w:val="20"/>
                <w:szCs w:val="20"/>
              </w:rPr>
              <w:t>Intervention; Duration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bottom"/>
          </w:tcPr>
          <w:p w:rsidR="000A3A6E" w:rsidRPr="006300B8" w:rsidRDefault="000A3A6E" w:rsidP="00D11E10">
            <w:pPr>
              <w:pStyle w:val="AppTableText"/>
              <w:jc w:val="center"/>
              <w:rPr>
                <w:b/>
                <w:color w:val="000000"/>
                <w:sz w:val="20"/>
                <w:szCs w:val="20"/>
              </w:rPr>
            </w:pPr>
            <w:r w:rsidRPr="006300B8">
              <w:rPr>
                <w:b/>
                <w:color w:val="000000"/>
                <w:sz w:val="20"/>
                <w:szCs w:val="20"/>
              </w:rPr>
              <w:t>Discontinuations due to AE</w:t>
            </w:r>
          </w:p>
          <w:p w:rsidR="000A3A6E" w:rsidRPr="006300B8" w:rsidRDefault="000A3A6E" w:rsidP="00D11E10">
            <w:pPr>
              <w:pStyle w:val="AppTableText"/>
              <w:jc w:val="center"/>
              <w:rPr>
                <w:b/>
                <w:color w:val="000000"/>
                <w:sz w:val="20"/>
                <w:szCs w:val="20"/>
              </w:rPr>
            </w:pPr>
            <w:r w:rsidRPr="006300B8">
              <w:rPr>
                <w:b/>
                <w:color w:val="000000"/>
                <w:sz w:val="20"/>
                <w:szCs w:val="20"/>
              </w:rPr>
              <w:t>Risk in Treatment Group; Risk in Control Group</w:t>
            </w:r>
          </w:p>
          <w:p w:rsidR="000A3A6E" w:rsidRPr="006300B8" w:rsidRDefault="000A3A6E" w:rsidP="00D11E10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6300B8">
              <w:rPr>
                <w:b/>
                <w:sz w:val="20"/>
                <w:szCs w:val="20"/>
              </w:rPr>
              <w:t xml:space="preserve">RR </w:t>
            </w:r>
            <w:r>
              <w:rPr>
                <w:b/>
                <w:sz w:val="20"/>
                <w:szCs w:val="20"/>
              </w:rPr>
              <w:t>[</w:t>
            </w:r>
            <w:r w:rsidRPr="006300B8">
              <w:rPr>
                <w:b/>
                <w:sz w:val="20"/>
                <w:szCs w:val="20"/>
              </w:rPr>
              <w:t>95% CI])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:rsidR="000A3A6E" w:rsidRPr="006300B8" w:rsidRDefault="000A3A6E" w:rsidP="00D11E10">
            <w:pPr>
              <w:pStyle w:val="AppTableText"/>
              <w:jc w:val="center"/>
              <w:rPr>
                <w:b/>
                <w:color w:val="000000"/>
                <w:sz w:val="20"/>
                <w:szCs w:val="20"/>
              </w:rPr>
            </w:pPr>
            <w:r w:rsidRPr="006300B8">
              <w:rPr>
                <w:b/>
                <w:color w:val="000000"/>
                <w:sz w:val="20"/>
                <w:szCs w:val="20"/>
              </w:rPr>
              <w:t>Serious AEs</w:t>
            </w:r>
          </w:p>
          <w:p w:rsidR="000A3A6E" w:rsidRPr="006300B8" w:rsidRDefault="000A3A6E" w:rsidP="00D11E10">
            <w:pPr>
              <w:pStyle w:val="AppTableText"/>
              <w:jc w:val="center"/>
              <w:rPr>
                <w:b/>
                <w:color w:val="000000"/>
                <w:sz w:val="20"/>
                <w:szCs w:val="20"/>
              </w:rPr>
            </w:pPr>
            <w:r w:rsidRPr="006300B8">
              <w:rPr>
                <w:b/>
                <w:color w:val="000000"/>
                <w:sz w:val="20"/>
                <w:szCs w:val="20"/>
              </w:rPr>
              <w:t>Risk in Treatment Group; Risk in Control Group</w:t>
            </w:r>
          </w:p>
          <w:p w:rsidR="000A3A6E" w:rsidRPr="006300B8" w:rsidRDefault="000A3A6E" w:rsidP="00D11E10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6300B8">
              <w:rPr>
                <w:b/>
                <w:sz w:val="20"/>
                <w:szCs w:val="20"/>
              </w:rPr>
              <w:t xml:space="preserve">RR </w:t>
            </w:r>
            <w:r>
              <w:rPr>
                <w:b/>
                <w:sz w:val="20"/>
                <w:szCs w:val="20"/>
              </w:rPr>
              <w:t>[95% CI</w:t>
            </w:r>
            <w:r w:rsidRPr="006300B8">
              <w:rPr>
                <w:b/>
                <w:sz w:val="20"/>
                <w:szCs w:val="20"/>
              </w:rPr>
              <w:t>])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bottom"/>
          </w:tcPr>
          <w:p w:rsidR="000A3A6E" w:rsidRPr="006300B8" w:rsidRDefault="000A3A6E" w:rsidP="00D11E10">
            <w:pPr>
              <w:pStyle w:val="AppTableText"/>
              <w:jc w:val="center"/>
              <w:rPr>
                <w:b/>
                <w:color w:val="000000"/>
                <w:sz w:val="20"/>
                <w:szCs w:val="20"/>
              </w:rPr>
            </w:pPr>
            <w:r w:rsidRPr="006300B8">
              <w:rPr>
                <w:b/>
                <w:color w:val="000000"/>
                <w:sz w:val="20"/>
                <w:szCs w:val="20"/>
              </w:rPr>
              <w:t>Gastrointestinal Adverse Events</w:t>
            </w:r>
            <w:r w:rsidRPr="006300B8">
              <w:rPr>
                <w:b/>
                <w:color w:val="000000"/>
                <w:sz w:val="20"/>
                <w:szCs w:val="20"/>
                <w:vertAlign w:val="superscript"/>
              </w:rPr>
              <w:t>a</w:t>
            </w:r>
          </w:p>
          <w:p w:rsidR="000A3A6E" w:rsidRPr="006300B8" w:rsidRDefault="000A3A6E" w:rsidP="00D11E10">
            <w:pPr>
              <w:pStyle w:val="AppTableText"/>
              <w:jc w:val="center"/>
              <w:rPr>
                <w:b/>
                <w:color w:val="000000"/>
                <w:sz w:val="20"/>
                <w:szCs w:val="20"/>
              </w:rPr>
            </w:pPr>
            <w:r w:rsidRPr="006300B8">
              <w:rPr>
                <w:b/>
                <w:color w:val="000000"/>
                <w:sz w:val="20"/>
                <w:szCs w:val="20"/>
              </w:rPr>
              <w:t>Risk in Treatment Group; Risk in Control Group</w:t>
            </w:r>
          </w:p>
          <w:p w:rsidR="000A3A6E" w:rsidRPr="006300B8" w:rsidRDefault="000A3A6E" w:rsidP="00D11E10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6300B8">
              <w:rPr>
                <w:b/>
                <w:sz w:val="20"/>
                <w:szCs w:val="20"/>
              </w:rPr>
              <w:t xml:space="preserve">RR </w:t>
            </w:r>
            <w:r>
              <w:rPr>
                <w:b/>
                <w:sz w:val="20"/>
                <w:szCs w:val="20"/>
              </w:rPr>
              <w:t>[</w:t>
            </w:r>
            <w:r w:rsidRPr="006300B8">
              <w:rPr>
                <w:b/>
                <w:sz w:val="20"/>
                <w:szCs w:val="20"/>
              </w:rPr>
              <w:t>95% CI])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0A3A6E" w:rsidRPr="006300B8" w:rsidRDefault="000A3A6E" w:rsidP="00D11E10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6300B8">
              <w:rPr>
                <w:b/>
                <w:sz w:val="20"/>
                <w:szCs w:val="20"/>
              </w:rPr>
              <w:t>Other Adverse Events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bottom"/>
          </w:tcPr>
          <w:p w:rsidR="000A3A6E" w:rsidRPr="006300B8" w:rsidRDefault="000A3A6E" w:rsidP="00D11E10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6300B8">
              <w:rPr>
                <w:b/>
                <w:sz w:val="20"/>
                <w:szCs w:val="20"/>
              </w:rPr>
              <w:t>Quality Rating</w:t>
            </w:r>
          </w:p>
        </w:tc>
      </w:tr>
      <w:tr w:rsidR="000A3A6E" w:rsidRPr="006300B8" w:rsidTr="00D11E10">
        <w:trPr>
          <w:trHeight w:val="437"/>
        </w:trPr>
        <w:tc>
          <w:tcPr>
            <w:tcW w:w="1255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Chapurlat et al, 2013</w:t>
            </w:r>
            <w:r w:rsidRPr="006300B8">
              <w:rPr>
                <w:noProof/>
                <w:vertAlign w:val="superscript"/>
              </w:rPr>
              <w:t>284</w:t>
            </w:r>
          </w:p>
        </w:tc>
        <w:tc>
          <w:tcPr>
            <w:tcW w:w="1985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Women at least 1 year postmenopausal; mean age 63 years; mean T-score -1.4; unknown prior osteoporotic fractures</w:t>
            </w:r>
          </w:p>
        </w:tc>
        <w:tc>
          <w:tcPr>
            <w:tcW w:w="1345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150 mg ibandronate monthly; 2 years</w:t>
            </w:r>
          </w:p>
        </w:tc>
        <w:tc>
          <w:tcPr>
            <w:tcW w:w="2070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Due to AEs (including fractures)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 xml:space="preserve">4/71; 6/76 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[0.71 (0.21 to 2.42)]</w:t>
            </w:r>
          </w:p>
          <w:p w:rsidR="000A3A6E" w:rsidRPr="006300B8" w:rsidRDefault="000A3A6E" w:rsidP="00D11E10">
            <w:pPr>
              <w:pStyle w:val="AppTableText"/>
            </w:pPr>
          </w:p>
        </w:tc>
        <w:tc>
          <w:tcPr>
            <w:tcW w:w="1890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15/71; 13/76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[1.23 (0.63 to 2.41)]</w:t>
            </w:r>
          </w:p>
          <w:p w:rsidR="000A3A6E" w:rsidRPr="006300B8" w:rsidRDefault="000A3A6E" w:rsidP="00D11E10">
            <w:pPr>
              <w:pStyle w:val="AppTableText"/>
            </w:pPr>
          </w:p>
        </w:tc>
        <w:tc>
          <w:tcPr>
            <w:tcW w:w="2610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NR</w:t>
            </w:r>
          </w:p>
        </w:tc>
        <w:tc>
          <w:tcPr>
            <w:tcW w:w="990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NR</w:t>
            </w:r>
          </w:p>
        </w:tc>
        <w:tc>
          <w:tcPr>
            <w:tcW w:w="815" w:type="dxa"/>
          </w:tcPr>
          <w:p w:rsidR="000A3A6E" w:rsidRPr="006300B8" w:rsidRDefault="000A3A6E" w:rsidP="00D11E10">
            <w:pPr>
              <w:pStyle w:val="AppTableText"/>
              <w:jc w:val="center"/>
            </w:pPr>
            <w:r w:rsidRPr="006300B8">
              <w:t>Fair</w:t>
            </w:r>
          </w:p>
        </w:tc>
      </w:tr>
      <w:tr w:rsidR="000A3A6E" w:rsidRPr="006300B8" w:rsidTr="00D11E10">
        <w:trPr>
          <w:trHeight w:val="437"/>
        </w:trPr>
        <w:tc>
          <w:tcPr>
            <w:tcW w:w="1255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McClung et al, 2004</w:t>
            </w:r>
            <w:r w:rsidRPr="006300B8">
              <w:rPr>
                <w:noProof/>
                <w:vertAlign w:val="superscript"/>
              </w:rPr>
              <w:t>285</w:t>
            </w:r>
          </w:p>
        </w:tc>
        <w:tc>
          <w:tcPr>
            <w:tcW w:w="1985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Women at least 1 year postmenopausal; mean age 58 years; mean T-score 1.0; no prior osteoporotic fractures</w:t>
            </w:r>
          </w:p>
        </w:tc>
        <w:tc>
          <w:tcPr>
            <w:tcW w:w="1345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0.5, 1.0, 2.5 mg ibandronate daily; 2 years</w:t>
            </w:r>
          </w:p>
        </w:tc>
        <w:tc>
          <w:tcPr>
            <w:tcW w:w="2070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Any withdrawals because of AEs: 5/161; 5/165; 7/163; 9/159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[0.55 (0.19 to 1.60)]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[0.54 (0.18 to 1.56)]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[0.76 (0.29 to 1.99)]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Percentage of all subjects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who withdrew from study medication because of an AE was numerically higher in the placebo group (9%, 5%,5%, and 7% in the placebo, 0.5-, 1-, and 2.5-mg groups,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respectively), although the differences between placebo andibandronate groups did not reach significance.</w:t>
            </w:r>
          </w:p>
        </w:tc>
        <w:tc>
          <w:tcPr>
            <w:tcW w:w="1890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Any Serious AEs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6/161;13/165;5/163; 8/159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[0.74 (0.26 to 2.09)]</w:t>
            </w:r>
          </w:p>
          <w:p w:rsidR="000A3A6E" w:rsidRPr="006300B8" w:rsidRDefault="000A3A6E" w:rsidP="00D11E10">
            <w:pPr>
              <w:pStyle w:val="AppTableText"/>
            </w:pPr>
          </w:p>
          <w:p w:rsidR="000A3A6E" w:rsidRPr="006300B8" w:rsidRDefault="000A3A6E" w:rsidP="00D11E10">
            <w:pPr>
              <w:pStyle w:val="AppTableText"/>
            </w:pPr>
            <w:r w:rsidRPr="006300B8">
              <w:t>[1.57 (0.67 to 3.68)]</w:t>
            </w:r>
          </w:p>
          <w:p w:rsidR="000A3A6E" w:rsidRPr="006300B8" w:rsidRDefault="000A3A6E" w:rsidP="00D11E10">
            <w:pPr>
              <w:pStyle w:val="AppTableText"/>
            </w:pPr>
          </w:p>
          <w:p w:rsidR="000A3A6E" w:rsidRPr="006300B8" w:rsidRDefault="000A3A6E" w:rsidP="00D11E10">
            <w:pPr>
              <w:pStyle w:val="AppTableText"/>
            </w:pPr>
            <w:r w:rsidRPr="006300B8">
              <w:t>[0.61 (0.20 to 1.82)]</w:t>
            </w:r>
          </w:p>
          <w:p w:rsidR="000A3A6E" w:rsidRPr="006300B8" w:rsidRDefault="000A3A6E" w:rsidP="00D11E10">
            <w:pPr>
              <w:pStyle w:val="AppTableText"/>
            </w:pPr>
          </w:p>
          <w:p w:rsidR="000A3A6E" w:rsidRPr="006300B8" w:rsidRDefault="000A3A6E" w:rsidP="00D11E10">
            <w:pPr>
              <w:pStyle w:val="AppTableText"/>
            </w:pPr>
            <w:r w:rsidRPr="006300B8">
              <w:t>Any drug related serious AEs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0/161; 0/165; 0/163; 0/159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 xml:space="preserve">RR not calculable </w:t>
            </w:r>
          </w:p>
        </w:tc>
        <w:tc>
          <w:tcPr>
            <w:tcW w:w="2610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Dyspepsia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16/161; 14/165; 15/163; 14/159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[1.13 (0.57 to 2.23)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[0.96 (0.47 to 1.96)]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[1.05 (0.52 to 2.09)]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Gastroenteritis 9/161; 4/165; 5/163; 6/159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[1.48 (0.54 to 4.07)]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[0.64 (0.18 to 2.23]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[0.81 (0.25 to 2.61)]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Nausea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6/161;1/165; 4/163; 3/159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[1.98 (0.50 to 7.76)]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[0.32 (0.03 to 3.06)]</w:t>
            </w:r>
          </w:p>
          <w:p w:rsidR="000A3A6E" w:rsidRDefault="000A3A6E" w:rsidP="00D11E10">
            <w:pPr>
              <w:pStyle w:val="AppTableText"/>
            </w:pPr>
            <w:r w:rsidRPr="006300B8">
              <w:t>[1.30 (0.30 to 5.72)]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GI Pain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2/161; 0/165; 4/163; 4/159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[0.49 (0.09 to 2.66)]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[0.11 (0.01 to 1.98)]</w:t>
            </w:r>
          </w:p>
          <w:p w:rsidR="000A3A6E" w:rsidRDefault="000A3A6E" w:rsidP="00D11E10">
            <w:pPr>
              <w:pStyle w:val="AppTableText"/>
            </w:pPr>
            <w:r w:rsidRPr="006300B8">
              <w:t>[0.98 (0.25 to 3.83)]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GI disorder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1/161; 2/165; 0/163; 3/159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[0.33 (0.03 to 3.13)]</w:t>
            </w:r>
            <w:r w:rsidRPr="006300B8">
              <w:br/>
              <w:t>[0.64 (0.11 to 3.79)]</w:t>
            </w:r>
          </w:p>
          <w:p w:rsidR="000A3A6E" w:rsidRDefault="000A3A6E" w:rsidP="00D11E10">
            <w:pPr>
              <w:pStyle w:val="AppTableText"/>
            </w:pPr>
            <w:r>
              <w:t>[0.14 (0.01 to 2.68)]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Eructation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1/161; 1/165; 1/163; 1/159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[0.99 (0.06 to 15.65)]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[0.96 (0.06 to 15.28)]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[0.98 (0.06 to 15.47)]</w:t>
            </w:r>
          </w:p>
        </w:tc>
        <w:tc>
          <w:tcPr>
            <w:tcW w:w="990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NR</w:t>
            </w:r>
          </w:p>
        </w:tc>
        <w:tc>
          <w:tcPr>
            <w:tcW w:w="815" w:type="dxa"/>
          </w:tcPr>
          <w:p w:rsidR="000A3A6E" w:rsidRPr="006300B8" w:rsidRDefault="000A3A6E" w:rsidP="00D11E10">
            <w:pPr>
              <w:pStyle w:val="AppTableText"/>
              <w:jc w:val="center"/>
            </w:pPr>
            <w:r w:rsidRPr="006300B8">
              <w:t>Fair</w:t>
            </w:r>
          </w:p>
        </w:tc>
      </w:tr>
      <w:tr w:rsidR="000A3A6E" w:rsidRPr="006300B8" w:rsidTr="00D11E10">
        <w:trPr>
          <w:trHeight w:val="7451"/>
        </w:trPr>
        <w:tc>
          <w:tcPr>
            <w:tcW w:w="1255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lastRenderedPageBreak/>
              <w:t>McClung et al, 2004</w:t>
            </w:r>
            <w:r w:rsidRPr="006300B8">
              <w:rPr>
                <w:noProof/>
                <w:vertAlign w:val="superscript"/>
              </w:rPr>
              <w:t>285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(continued)</w:t>
            </w:r>
          </w:p>
        </w:tc>
        <w:tc>
          <w:tcPr>
            <w:tcW w:w="1985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 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 </w:t>
            </w:r>
          </w:p>
        </w:tc>
        <w:tc>
          <w:tcPr>
            <w:tcW w:w="1345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 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 </w:t>
            </w:r>
          </w:p>
        </w:tc>
        <w:tc>
          <w:tcPr>
            <w:tcW w:w="2070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 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 </w:t>
            </w:r>
          </w:p>
        </w:tc>
        <w:tc>
          <w:tcPr>
            <w:tcW w:w="1890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 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 </w:t>
            </w:r>
          </w:p>
        </w:tc>
        <w:tc>
          <w:tcPr>
            <w:tcW w:w="2610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Gastritis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0/161; 1/165; 2/163; 1/159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[0.33 (0.01 to 8.02)]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[0.96 (0.06 to 15.28)]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[1.95 (0.18 to 21.30)]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Dysphagia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2/161; 1/165; 1/163; 0/159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[4.94 (0.24 to 102.06)]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[2.89 (0.12 to 70.46)]</w:t>
            </w:r>
          </w:p>
          <w:p w:rsidR="000A3A6E" w:rsidRPr="006300B8" w:rsidRDefault="000A3A6E" w:rsidP="00D11E10">
            <w:pPr>
              <w:pStyle w:val="AppTableText"/>
            </w:pPr>
            <w:r>
              <w:t>[2.91 (0.12 to 71.32)]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Vomiting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2/161; 0/165; 1/163; 0/159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[4.94 (0.24 to 102.06)]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1mg vs. Placebo: RR not calculable</w:t>
            </w:r>
          </w:p>
          <w:p w:rsidR="000A3A6E" w:rsidRDefault="000A3A6E" w:rsidP="00D11E10">
            <w:pPr>
              <w:pStyle w:val="AppTableText"/>
            </w:pPr>
            <w:r w:rsidRPr="006300B8">
              <w:t>[2.92 (0.12 to 71.32)]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Esophagitis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1/161; 0/165; 1/163; 1/159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[0.99 (0.06 to 15.65)]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[0.32 (0.01 to 7.83)]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[0.98 (0.06 to 15.46)]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GI carcinoma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0/161; 0/165; 1/163; 0/159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.5mg vs. Placebo: RR not calculable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1mg vs. Placebo: RR not calculable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[0.98 (0.02 to 49.17)]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GI hemorrhage 0/161; 0/165; 0/163; 1/159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[0.33 (0.01 to 8.02)]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[0.32 (0.01 to 7.83)]</w:t>
            </w:r>
          </w:p>
          <w:p w:rsidR="000A3A6E" w:rsidRDefault="000A3A6E" w:rsidP="00D11E10">
            <w:pPr>
              <w:pStyle w:val="AppTableText"/>
            </w:pPr>
            <w:r w:rsidRPr="006300B8">
              <w:t>[0.33 (0.01 to 7.92)]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Hemorrhage gastritis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1/161; 0/165; 0/163; 0/159</w:t>
            </w:r>
          </w:p>
          <w:p w:rsidR="000A3A6E" w:rsidRPr="006300B8" w:rsidRDefault="000A3A6E" w:rsidP="00D11E10">
            <w:pPr>
              <w:pStyle w:val="AppTableText"/>
            </w:pPr>
            <w:r>
              <w:t>[2.96 (0.12 to 72.20)]</w:t>
            </w:r>
          </w:p>
        </w:tc>
        <w:tc>
          <w:tcPr>
            <w:tcW w:w="990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 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 </w:t>
            </w:r>
          </w:p>
        </w:tc>
        <w:tc>
          <w:tcPr>
            <w:tcW w:w="815" w:type="dxa"/>
          </w:tcPr>
          <w:p w:rsidR="000A3A6E" w:rsidRPr="006300B8" w:rsidRDefault="000A3A6E" w:rsidP="00D11E10">
            <w:pPr>
              <w:pStyle w:val="AppTableText"/>
              <w:jc w:val="center"/>
            </w:pPr>
          </w:p>
        </w:tc>
      </w:tr>
      <w:tr w:rsidR="000A3A6E" w:rsidRPr="006300B8" w:rsidTr="00D11E10">
        <w:trPr>
          <w:trHeight w:val="439"/>
        </w:trPr>
        <w:tc>
          <w:tcPr>
            <w:tcW w:w="1255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lastRenderedPageBreak/>
              <w:t>McClung et al, 2004</w:t>
            </w:r>
            <w:r w:rsidRPr="006300B8">
              <w:rPr>
                <w:noProof/>
                <w:vertAlign w:val="superscript"/>
              </w:rPr>
              <w:t>285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(continued)</w:t>
            </w:r>
          </w:p>
        </w:tc>
        <w:tc>
          <w:tcPr>
            <w:tcW w:w="1985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 </w:t>
            </w:r>
          </w:p>
        </w:tc>
        <w:tc>
          <w:tcPr>
            <w:tcW w:w="1345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 </w:t>
            </w:r>
          </w:p>
        </w:tc>
        <w:tc>
          <w:tcPr>
            <w:tcW w:w="2070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 </w:t>
            </w:r>
          </w:p>
        </w:tc>
        <w:tc>
          <w:tcPr>
            <w:tcW w:w="1890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 </w:t>
            </w:r>
          </w:p>
        </w:tc>
        <w:tc>
          <w:tcPr>
            <w:tcW w:w="2610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1mg vs. Placebo: RR not calculable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2.5mg vs. Placebo: RR not calculable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0.96 (0.02 to 48.29)]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[0.98 (0.02 to 48.87)]</w:t>
            </w:r>
          </w:p>
        </w:tc>
        <w:tc>
          <w:tcPr>
            <w:tcW w:w="990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 </w:t>
            </w:r>
          </w:p>
        </w:tc>
        <w:tc>
          <w:tcPr>
            <w:tcW w:w="815" w:type="dxa"/>
          </w:tcPr>
          <w:p w:rsidR="000A3A6E" w:rsidRPr="006300B8" w:rsidRDefault="000A3A6E" w:rsidP="00D11E10">
            <w:pPr>
              <w:pStyle w:val="AppTableText"/>
              <w:jc w:val="center"/>
            </w:pPr>
          </w:p>
        </w:tc>
      </w:tr>
      <w:tr w:rsidR="000A3A6E" w:rsidRPr="006300B8" w:rsidTr="00D11E10">
        <w:trPr>
          <w:trHeight w:val="439"/>
        </w:trPr>
        <w:tc>
          <w:tcPr>
            <w:tcW w:w="1255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Ravn et al, 1996</w:t>
            </w:r>
            <w:r w:rsidRPr="006300B8">
              <w:rPr>
                <w:noProof/>
                <w:vertAlign w:val="superscript"/>
              </w:rPr>
              <w:t>286</w:t>
            </w:r>
          </w:p>
        </w:tc>
        <w:tc>
          <w:tcPr>
            <w:tcW w:w="1985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Women at least 10 years postmenopausal; mean age 65 years; mean T-score -0.852; no prior osteoporotic fractures</w:t>
            </w:r>
          </w:p>
        </w:tc>
        <w:tc>
          <w:tcPr>
            <w:tcW w:w="1345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0.25,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0.5, 1.0, 2.5, or 5.0 mg ibandronate daily; 1 year</w:t>
            </w:r>
          </w:p>
        </w:tc>
        <w:tc>
          <w:tcPr>
            <w:tcW w:w="2070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1/30;4/30;2/30;0/30;6/30; 2/30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[0.50 (0.05 to 5.22)]</w:t>
            </w:r>
          </w:p>
          <w:p w:rsidR="000A3A6E" w:rsidRPr="006300B8" w:rsidRDefault="000A3A6E" w:rsidP="00D11E10">
            <w:pPr>
              <w:pStyle w:val="AppTableText"/>
            </w:pPr>
          </w:p>
          <w:p w:rsidR="000A3A6E" w:rsidRPr="006300B8" w:rsidRDefault="000A3A6E" w:rsidP="00D11E10">
            <w:pPr>
              <w:pStyle w:val="AppTableText"/>
            </w:pPr>
            <w:r w:rsidRPr="006300B8">
              <w:t>[2.00 (0.40 to 10.11)]</w:t>
            </w:r>
          </w:p>
          <w:p w:rsidR="000A3A6E" w:rsidRPr="006300B8" w:rsidRDefault="000A3A6E" w:rsidP="00D11E10">
            <w:pPr>
              <w:pStyle w:val="AppTableText"/>
            </w:pPr>
          </w:p>
          <w:p w:rsidR="000A3A6E" w:rsidRPr="006300B8" w:rsidRDefault="000A3A6E" w:rsidP="00D11E10">
            <w:pPr>
              <w:pStyle w:val="AppTableText"/>
            </w:pPr>
            <w:r w:rsidRPr="006300B8">
              <w:t>[1.00 (0.15 to 6.64)]</w:t>
            </w:r>
          </w:p>
          <w:p w:rsidR="000A3A6E" w:rsidRPr="006300B8" w:rsidRDefault="000A3A6E" w:rsidP="00D11E10">
            <w:pPr>
              <w:pStyle w:val="AppTableText"/>
            </w:pPr>
          </w:p>
          <w:p w:rsidR="000A3A6E" w:rsidRPr="006300B8" w:rsidRDefault="000A3A6E" w:rsidP="00D11E10">
            <w:pPr>
              <w:pStyle w:val="AppTableText"/>
            </w:pPr>
            <w:r w:rsidRPr="006300B8">
              <w:t>[0.20 (0.01 to 4.00)]</w:t>
            </w:r>
          </w:p>
          <w:p w:rsidR="000A3A6E" w:rsidRPr="006300B8" w:rsidRDefault="000A3A6E" w:rsidP="00D11E10">
            <w:pPr>
              <w:pStyle w:val="AppTableText"/>
            </w:pPr>
          </w:p>
          <w:p w:rsidR="000A3A6E" w:rsidRPr="006300B8" w:rsidRDefault="000A3A6E" w:rsidP="00D11E10">
            <w:pPr>
              <w:pStyle w:val="AppTableText"/>
            </w:pPr>
            <w:r w:rsidRPr="006300B8">
              <w:t>[3.00 (0.66 to 13.69)]</w:t>
            </w:r>
          </w:p>
        </w:tc>
        <w:tc>
          <w:tcPr>
            <w:tcW w:w="1890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1/30; 1/30; 0/30; 2/30;1/30; 3/30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[0.33 (0.04 to 3.03)]</w:t>
            </w:r>
          </w:p>
          <w:p w:rsidR="000A3A6E" w:rsidRPr="006300B8" w:rsidRDefault="000A3A6E" w:rsidP="00D11E10">
            <w:pPr>
              <w:pStyle w:val="AppTableText"/>
            </w:pPr>
          </w:p>
          <w:p w:rsidR="000A3A6E" w:rsidRPr="006300B8" w:rsidRDefault="000A3A6E" w:rsidP="00D11E10">
            <w:pPr>
              <w:pStyle w:val="AppTableText"/>
            </w:pPr>
            <w:r w:rsidRPr="006300B8">
              <w:t>[0.33 (0.04 to 3.03)]</w:t>
            </w:r>
          </w:p>
          <w:p w:rsidR="000A3A6E" w:rsidRPr="006300B8" w:rsidRDefault="000A3A6E" w:rsidP="00D11E10">
            <w:pPr>
              <w:pStyle w:val="AppTableText"/>
            </w:pPr>
          </w:p>
          <w:p w:rsidR="000A3A6E" w:rsidRPr="006300B8" w:rsidRDefault="000A3A6E" w:rsidP="00D11E10">
            <w:pPr>
              <w:pStyle w:val="AppTableText"/>
            </w:pPr>
            <w:r w:rsidRPr="006300B8">
              <w:t>[0.14 (0.01 to 2.65)]</w:t>
            </w:r>
          </w:p>
          <w:p w:rsidR="000A3A6E" w:rsidRPr="006300B8" w:rsidRDefault="000A3A6E" w:rsidP="00D11E10">
            <w:pPr>
              <w:pStyle w:val="AppTableText"/>
            </w:pPr>
          </w:p>
          <w:p w:rsidR="000A3A6E" w:rsidRPr="006300B8" w:rsidRDefault="000A3A6E" w:rsidP="00D11E10">
            <w:pPr>
              <w:pStyle w:val="AppTableText"/>
            </w:pPr>
            <w:r w:rsidRPr="006300B8">
              <w:t>[0.67 (0.12 to 3.71)]</w:t>
            </w:r>
          </w:p>
          <w:p w:rsidR="000A3A6E" w:rsidRPr="006300B8" w:rsidRDefault="000A3A6E" w:rsidP="00D11E10">
            <w:pPr>
              <w:pStyle w:val="AppTableText"/>
            </w:pPr>
          </w:p>
          <w:p w:rsidR="000A3A6E" w:rsidRPr="006300B8" w:rsidRDefault="000A3A6E" w:rsidP="00D11E10">
            <w:pPr>
              <w:pStyle w:val="AppTableText"/>
            </w:pPr>
            <w:r w:rsidRPr="006300B8">
              <w:t>[0.33 (0.04 to 3.03)]</w:t>
            </w:r>
          </w:p>
          <w:p w:rsidR="000A3A6E" w:rsidRPr="006300B8" w:rsidRDefault="000A3A6E" w:rsidP="00D11E10">
            <w:pPr>
              <w:pStyle w:val="AppTableText"/>
            </w:pPr>
          </w:p>
          <w:p w:rsidR="000A3A6E" w:rsidRPr="006300B8" w:rsidRDefault="000A3A6E" w:rsidP="00D11E10">
            <w:pPr>
              <w:pStyle w:val="AppTableText"/>
            </w:pPr>
          </w:p>
        </w:tc>
        <w:tc>
          <w:tcPr>
            <w:tcW w:w="2610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GI AEs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12/30; 17/30; 8/30; 5/30; 17/30; 11/30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[1.09 (0.57 to 2.07)]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[1.55 (0.88 to 2.72)]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[0.73 (0.34 to 1.55)]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[0.45 (0.18 to 1.15)]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[1.55 (0.88 to 2.72)]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Diarrhea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6/30; 5/30; 2/30; 2/30; 9/30; 2/30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[3.00 (0.66 to 13.69)]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[2.50 (0.53 to 11.89)]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[1.00 (0.15 to 6.64)]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[1.00 (0.15 to 6.64)]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[4.50 (1.06 to 19.11)]</w:t>
            </w:r>
          </w:p>
        </w:tc>
        <w:tc>
          <w:tcPr>
            <w:tcW w:w="990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Infection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1/26;0/22; 0/26;0/24; 0/18; 0/25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[2.8889 (0.12 to 67.76)]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[1.13 (0.02 to 54.72)]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[0.96 (0.02 to 46.76)]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[1.04 (0.02 to 50.43)]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[1.37 (0.03 to 65.94)]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Death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0/26;0/22; 0/26;1/24; 0/18; 1/25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[0.32 (0.01 to 7.53)]</w:t>
            </w:r>
          </w:p>
        </w:tc>
        <w:tc>
          <w:tcPr>
            <w:tcW w:w="815" w:type="dxa"/>
          </w:tcPr>
          <w:p w:rsidR="000A3A6E" w:rsidRPr="006300B8" w:rsidRDefault="000A3A6E" w:rsidP="00D11E10">
            <w:pPr>
              <w:pStyle w:val="AppTableText"/>
              <w:jc w:val="center"/>
            </w:pPr>
            <w:r w:rsidRPr="006300B8">
              <w:t>Fair</w:t>
            </w:r>
          </w:p>
        </w:tc>
      </w:tr>
      <w:tr w:rsidR="000A3A6E" w:rsidRPr="006300B8" w:rsidTr="00D11E10">
        <w:trPr>
          <w:trHeight w:val="439"/>
        </w:trPr>
        <w:tc>
          <w:tcPr>
            <w:tcW w:w="1255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lastRenderedPageBreak/>
              <w:t>Reginster, et al, 2005</w:t>
            </w:r>
            <w:r w:rsidRPr="006300B8">
              <w:rPr>
                <w:noProof/>
                <w:vertAlign w:val="superscript"/>
              </w:rPr>
              <w:t>287</w:t>
            </w:r>
          </w:p>
        </w:tc>
        <w:tc>
          <w:tcPr>
            <w:tcW w:w="1985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Women at least 3 years postmenopausal; mean age 64 years; mean T-score -1.14; unknown prior fracture</w:t>
            </w:r>
          </w:p>
        </w:tc>
        <w:tc>
          <w:tcPr>
            <w:tcW w:w="1345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50, 50/100, 100,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or 150 mg ibandronate monthly; 3 months</w:t>
            </w:r>
          </w:p>
        </w:tc>
        <w:tc>
          <w:tcPr>
            <w:tcW w:w="2070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Any AE leading to withdrawal: 0/18; 0/18; 0/36;1/36; 2/36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[0.39 (0.02 to 7.71)]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[0.39 (0.02 to 7.71)]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[0.20 (0.01 to 4.03)]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[0.50 (0.05 to 5.27)]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Any drug-related AE leading to withdrawal: 0/18; 0/18; 0/36;1/36; 2/36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[0.39 (0.02 to 7.71)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[0.39 (0.02 to 7.71)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[0.20 (0.01 to 4.03)]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[0.50 (0.05 to 5.27)]</w:t>
            </w:r>
          </w:p>
        </w:tc>
        <w:tc>
          <w:tcPr>
            <w:tcW w:w="1890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0/18; 0/18; 0/36; 0/36; 0/36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RR not calculable</w:t>
            </w:r>
          </w:p>
          <w:p w:rsidR="000A3A6E" w:rsidRPr="006300B8" w:rsidRDefault="000A3A6E" w:rsidP="00D11E10">
            <w:pPr>
              <w:pStyle w:val="AppTableText"/>
            </w:pPr>
          </w:p>
        </w:tc>
        <w:tc>
          <w:tcPr>
            <w:tcW w:w="2610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Upper GI AEs within 3 days of treatment: 0/18; 4/18; 8/36; 9/36; 6/36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[0.15 (0.01 to 2.52)]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[1.33 (0.43 to 4.13)]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[1.33 (0.51 to 3.46)]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[1.50 (0.60 to 3.78)]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Upper GI AEs anytime during treatment: 3/18; 11/18;15/36; 15/36; 12/36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[0.50 (0.16 to 1.55)]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[1.83 (1.02 to 3.31)]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[1.25 (0.68 to 2.28)]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[1.25 (0.68 to 2.28)]</w:t>
            </w:r>
          </w:p>
        </w:tc>
        <w:tc>
          <w:tcPr>
            <w:tcW w:w="990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Deaths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0/18; 0/18; 0/36; 0/36; 0/36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[1.95 (0.04 to 94.37)]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[1.9474 (0.04 to 94.37)]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[1.00 (0.02 to 49.08)]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[1.00 (0.02 to 49.08)]</w:t>
            </w:r>
          </w:p>
        </w:tc>
        <w:tc>
          <w:tcPr>
            <w:tcW w:w="815" w:type="dxa"/>
          </w:tcPr>
          <w:p w:rsidR="000A3A6E" w:rsidRPr="006300B8" w:rsidRDefault="000A3A6E" w:rsidP="00D11E10">
            <w:pPr>
              <w:pStyle w:val="AppTableText"/>
              <w:jc w:val="center"/>
            </w:pPr>
            <w:r w:rsidRPr="006300B8">
              <w:t>Fair</w:t>
            </w:r>
          </w:p>
        </w:tc>
      </w:tr>
      <w:tr w:rsidR="000A3A6E" w:rsidRPr="006300B8" w:rsidTr="00D11E10">
        <w:trPr>
          <w:trHeight w:val="439"/>
        </w:trPr>
        <w:tc>
          <w:tcPr>
            <w:tcW w:w="1255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Riis et al, 2001</w:t>
            </w:r>
            <w:r w:rsidRPr="006300B8">
              <w:rPr>
                <w:noProof/>
                <w:vertAlign w:val="superscript"/>
              </w:rPr>
              <w:t>288</w:t>
            </w:r>
          </w:p>
          <w:p w:rsidR="000A3A6E" w:rsidRPr="006300B8" w:rsidRDefault="000A3A6E" w:rsidP="00D11E10">
            <w:pPr>
              <w:pStyle w:val="AppTableText"/>
            </w:pPr>
          </w:p>
        </w:tc>
        <w:tc>
          <w:tcPr>
            <w:tcW w:w="1985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Women at least 5 years postmenopausal; mean age 67 years; on average spinal T-score was below -3.2; unknown prior fracture</w:t>
            </w:r>
          </w:p>
        </w:tc>
        <w:tc>
          <w:tcPr>
            <w:tcW w:w="1345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Continuoustherapy with 2.5 mg of ibandronate daily orintermittent cyclical therapy with 20 mg of ibandronateevery other day for the first 24 days out of every 3 months,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followed by a 9-week period without active drug; 2 years</w:t>
            </w:r>
          </w:p>
        </w:tc>
        <w:tc>
          <w:tcPr>
            <w:tcW w:w="2070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NR</w:t>
            </w:r>
          </w:p>
        </w:tc>
        <w:tc>
          <w:tcPr>
            <w:tcW w:w="1890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NR</w:t>
            </w:r>
          </w:p>
        </w:tc>
        <w:tc>
          <w:tcPr>
            <w:tcW w:w="2610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No differences between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Continuous treatment, intermittent treatment, and placebo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 xml:space="preserve">During the first 12 months, the ibandronate treated groups showed a numerically higher incidence of diarrhea compared with the placebo groups. 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Incidence of diarrhea was lower during the second year</w:t>
            </w:r>
          </w:p>
        </w:tc>
        <w:tc>
          <w:tcPr>
            <w:tcW w:w="990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Deaths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1/81; 0/78; 1/81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[1.00 (0.06 to 15.72)]</w:t>
            </w:r>
          </w:p>
          <w:p w:rsidR="000A3A6E" w:rsidRPr="006300B8" w:rsidRDefault="000A3A6E" w:rsidP="00D11E10">
            <w:pPr>
              <w:pStyle w:val="AppTableText"/>
            </w:pPr>
          </w:p>
          <w:p w:rsidR="000A3A6E" w:rsidRPr="006300B8" w:rsidRDefault="000A3A6E" w:rsidP="00D11E10">
            <w:pPr>
              <w:pStyle w:val="AppTableText"/>
            </w:pPr>
            <w:r w:rsidRPr="006300B8">
              <w:t>[0.35 (0.01 to 8.37)]</w:t>
            </w:r>
          </w:p>
        </w:tc>
        <w:tc>
          <w:tcPr>
            <w:tcW w:w="815" w:type="dxa"/>
          </w:tcPr>
          <w:p w:rsidR="000A3A6E" w:rsidRPr="006300B8" w:rsidRDefault="000A3A6E" w:rsidP="00D11E10">
            <w:pPr>
              <w:pStyle w:val="AppTableText"/>
              <w:jc w:val="center"/>
            </w:pPr>
            <w:r w:rsidRPr="006300B8">
              <w:t>Fair</w:t>
            </w:r>
          </w:p>
        </w:tc>
      </w:tr>
      <w:tr w:rsidR="000A3A6E" w:rsidRPr="006300B8" w:rsidTr="00D11E10">
        <w:trPr>
          <w:trHeight w:val="437"/>
        </w:trPr>
        <w:tc>
          <w:tcPr>
            <w:tcW w:w="1255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Tanko et al 2003</w:t>
            </w:r>
            <w:r w:rsidRPr="006300B8">
              <w:rPr>
                <w:noProof/>
                <w:vertAlign w:val="superscript"/>
              </w:rPr>
              <w:t>289</w:t>
            </w:r>
          </w:p>
        </w:tc>
        <w:tc>
          <w:tcPr>
            <w:tcW w:w="1985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Women 1-10 years postmenopausal; mean age 55 years; mean T-score for lumbar spine 1.03; no prior osteoporotic fractures</w:t>
            </w:r>
          </w:p>
        </w:tc>
        <w:tc>
          <w:tcPr>
            <w:tcW w:w="1345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5, 10,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or 20 mg ibandronate weekly; 2 years</w:t>
            </w:r>
          </w:p>
        </w:tc>
        <w:tc>
          <w:tcPr>
            <w:tcW w:w="2070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Withdrawals due to AEs related to treatment: 8</w:t>
            </w:r>
          </w:p>
          <w:p w:rsidR="000A3A6E" w:rsidRPr="006300B8" w:rsidRDefault="000A3A6E" w:rsidP="00D11E10">
            <w:pPr>
              <w:pStyle w:val="AppTableText"/>
            </w:pPr>
          </w:p>
          <w:p w:rsidR="000A3A6E" w:rsidRPr="006300B8" w:rsidRDefault="000A3A6E" w:rsidP="00D11E10">
            <w:pPr>
              <w:pStyle w:val="AppTableText"/>
            </w:pPr>
          </w:p>
        </w:tc>
        <w:tc>
          <w:tcPr>
            <w:tcW w:w="1890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12% experienced a serious AE, but none were assessed as related to study drug (6 withdrew as a result of serious AE)</w:t>
            </w:r>
          </w:p>
        </w:tc>
        <w:tc>
          <w:tcPr>
            <w:tcW w:w="2610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Gastrointestinal AEs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6%; 5%; 3%; 3%</w:t>
            </w:r>
          </w:p>
          <w:p w:rsidR="000A3A6E" w:rsidRPr="006300B8" w:rsidRDefault="000A3A6E" w:rsidP="00D11E10">
            <w:pPr>
              <w:pStyle w:val="AppTableText"/>
            </w:pPr>
          </w:p>
          <w:p w:rsidR="000A3A6E" w:rsidRPr="006300B8" w:rsidRDefault="000A3A6E" w:rsidP="00D11E10">
            <w:pPr>
              <w:pStyle w:val="AppTableText"/>
            </w:pPr>
          </w:p>
        </w:tc>
        <w:tc>
          <w:tcPr>
            <w:tcW w:w="990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NR</w:t>
            </w:r>
          </w:p>
        </w:tc>
        <w:tc>
          <w:tcPr>
            <w:tcW w:w="815" w:type="dxa"/>
          </w:tcPr>
          <w:p w:rsidR="000A3A6E" w:rsidRPr="006300B8" w:rsidRDefault="000A3A6E" w:rsidP="00D11E10">
            <w:pPr>
              <w:pStyle w:val="AppTableText"/>
              <w:jc w:val="center"/>
            </w:pPr>
            <w:r w:rsidRPr="006300B8">
              <w:t>Fair</w:t>
            </w:r>
          </w:p>
          <w:p w:rsidR="000A3A6E" w:rsidRPr="006300B8" w:rsidRDefault="000A3A6E" w:rsidP="00D11E10">
            <w:pPr>
              <w:pStyle w:val="AppTableText"/>
              <w:jc w:val="center"/>
            </w:pPr>
          </w:p>
        </w:tc>
      </w:tr>
      <w:tr w:rsidR="000A3A6E" w:rsidRPr="006300B8" w:rsidTr="00D11E10">
        <w:trPr>
          <w:trHeight w:val="437"/>
        </w:trPr>
        <w:tc>
          <w:tcPr>
            <w:tcW w:w="1255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lastRenderedPageBreak/>
              <w:t>Thiebaud et al 1997</w:t>
            </w:r>
            <w:r w:rsidRPr="006300B8">
              <w:rPr>
                <w:noProof/>
                <w:vertAlign w:val="superscript"/>
              </w:rPr>
              <w:t>290</w:t>
            </w:r>
          </w:p>
        </w:tc>
        <w:tc>
          <w:tcPr>
            <w:tcW w:w="1985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Women at least 5 years postmenopausal; mean age 64 years; mean T-score 0.71 lumbar spine; no prior osteoporotic fractures</w:t>
            </w:r>
          </w:p>
        </w:tc>
        <w:tc>
          <w:tcPr>
            <w:tcW w:w="1345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0.25,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0.5, 1.0, or 2.0 mg ibandronate every 3 months; 1 year</w:t>
            </w:r>
          </w:p>
        </w:tc>
        <w:tc>
          <w:tcPr>
            <w:tcW w:w="2070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7 withdrew because of AEs</w:t>
            </w:r>
          </w:p>
          <w:p w:rsidR="000A3A6E" w:rsidRPr="006300B8" w:rsidRDefault="000A3A6E" w:rsidP="00D11E10">
            <w:pPr>
              <w:pStyle w:val="AppTableText"/>
            </w:pPr>
          </w:p>
          <w:p w:rsidR="000A3A6E" w:rsidRPr="006300B8" w:rsidRDefault="000A3A6E" w:rsidP="00D11E10">
            <w:pPr>
              <w:pStyle w:val="AppTableText"/>
            </w:pPr>
          </w:p>
          <w:p w:rsidR="000A3A6E" w:rsidRPr="006300B8" w:rsidRDefault="000A3A6E" w:rsidP="00D11E10">
            <w:pPr>
              <w:pStyle w:val="AppTableText"/>
            </w:pPr>
          </w:p>
        </w:tc>
        <w:tc>
          <w:tcPr>
            <w:tcW w:w="1890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3 non-drug related Serious AEs</w:t>
            </w:r>
          </w:p>
          <w:p w:rsidR="000A3A6E" w:rsidRPr="006300B8" w:rsidRDefault="000A3A6E" w:rsidP="00D11E10">
            <w:pPr>
              <w:pStyle w:val="AppTableText"/>
            </w:pPr>
          </w:p>
          <w:p w:rsidR="000A3A6E" w:rsidRPr="006300B8" w:rsidRDefault="000A3A6E" w:rsidP="00D11E10">
            <w:pPr>
              <w:pStyle w:val="AppTableText"/>
            </w:pPr>
          </w:p>
        </w:tc>
        <w:tc>
          <w:tcPr>
            <w:tcW w:w="2610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6/24; 6/27; 7/26; 3/23; 4/26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No differences between the groups emerged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[1.63 (0.52 to 5.07]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[1.44 (0.46 to 4.54]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[1.75 (0.58 to 5.27]</w:t>
            </w:r>
          </w:p>
          <w:p w:rsidR="000A3A6E" w:rsidRPr="006300B8" w:rsidRDefault="000A3A6E" w:rsidP="00D11E10">
            <w:pPr>
              <w:pStyle w:val="AppTableText"/>
            </w:pPr>
            <w:r w:rsidRPr="006300B8">
              <w:t>[0.85 (0.21 to 3.40)]</w:t>
            </w:r>
          </w:p>
        </w:tc>
        <w:tc>
          <w:tcPr>
            <w:tcW w:w="990" w:type="dxa"/>
          </w:tcPr>
          <w:p w:rsidR="000A3A6E" w:rsidRPr="006300B8" w:rsidRDefault="000A3A6E" w:rsidP="00D11E10">
            <w:pPr>
              <w:pStyle w:val="AppTableText"/>
            </w:pPr>
            <w:r w:rsidRPr="006300B8">
              <w:t>NR</w:t>
            </w:r>
          </w:p>
        </w:tc>
        <w:tc>
          <w:tcPr>
            <w:tcW w:w="815" w:type="dxa"/>
          </w:tcPr>
          <w:p w:rsidR="000A3A6E" w:rsidRPr="006300B8" w:rsidRDefault="000A3A6E" w:rsidP="00D11E10">
            <w:pPr>
              <w:pStyle w:val="AppTableText"/>
              <w:jc w:val="center"/>
            </w:pPr>
            <w:r w:rsidRPr="006300B8">
              <w:t>Fair</w:t>
            </w:r>
          </w:p>
        </w:tc>
      </w:tr>
    </w:tbl>
    <w:p w:rsidR="000A3A6E" w:rsidRPr="00334A31" w:rsidRDefault="000A3A6E" w:rsidP="000A3A6E">
      <w:pPr>
        <w:pStyle w:val="AppTableNote"/>
      </w:pPr>
      <w:r w:rsidRPr="00334A31">
        <w:rPr>
          <w:b/>
        </w:rPr>
        <w:t>Abbreviations:</w:t>
      </w:r>
      <w:r w:rsidRPr="00334A31">
        <w:t xml:space="preserve"> AE</w:t>
      </w:r>
      <w:r>
        <w:t>=</w:t>
      </w:r>
      <w:r w:rsidRPr="00334A31">
        <w:t>adverse event; CI</w:t>
      </w:r>
      <w:r>
        <w:t>=</w:t>
      </w:r>
      <w:r w:rsidRPr="00334A31">
        <w:t>confidence interval; GI</w:t>
      </w:r>
      <w:r>
        <w:t>=</w:t>
      </w:r>
      <w:r w:rsidRPr="00334A31">
        <w:t>gastrointestinal; mg</w:t>
      </w:r>
      <w:r>
        <w:t>=</w:t>
      </w:r>
      <w:r w:rsidRPr="00334A31">
        <w:t>milligram; NR</w:t>
      </w:r>
      <w:r>
        <w:t>=</w:t>
      </w:r>
      <w:r w:rsidRPr="00334A31">
        <w:t>not reported; RR</w:t>
      </w:r>
      <w:r>
        <w:t>=</w:t>
      </w:r>
      <w:r w:rsidRPr="00334A31">
        <w:t>risk ratio</w:t>
      </w:r>
      <w:r>
        <w:t>.</w:t>
      </w:r>
    </w:p>
    <w:p w:rsidR="00D16F27" w:rsidRDefault="00403357">
      <w:bookmarkStart w:id="0" w:name="_GoBack"/>
      <w:bookmarkEnd w:id="0"/>
    </w:p>
    <w:sectPr w:rsidR="00D16F27" w:rsidSect="00403357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pgNumType w:start="10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A6E" w:rsidRDefault="000A3A6E" w:rsidP="000A3A6E">
      <w:r>
        <w:separator/>
      </w:r>
    </w:p>
  </w:endnote>
  <w:endnote w:type="continuationSeparator" w:id="1">
    <w:p w:rsidR="000A3A6E" w:rsidRDefault="000A3A6E" w:rsidP="000A3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357" w:rsidRDefault="00403357" w:rsidP="00403357">
    <w:pPr>
      <w:pStyle w:val="Footer"/>
      <w:jc w:val="center"/>
    </w:pPr>
    <w:r>
      <w:t>F-</w:t>
    </w:r>
    <w:sdt>
      <w:sdtPr>
        <w:id w:val="174006370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105</w:t>
          </w:r>
        </w:fldSimple>
      </w:sdtContent>
    </w:sdt>
  </w:p>
  <w:p w:rsidR="00403357" w:rsidRDefault="004033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A6E" w:rsidRDefault="000A3A6E" w:rsidP="000A3A6E">
      <w:r>
        <w:separator/>
      </w:r>
    </w:p>
  </w:footnote>
  <w:footnote w:type="continuationSeparator" w:id="1">
    <w:p w:rsidR="000A3A6E" w:rsidRDefault="000A3A6E" w:rsidP="000A3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A6E" w:rsidRPr="002F6874" w:rsidRDefault="000A3A6E" w:rsidP="000A3A6E">
    <w:pPr>
      <w:pStyle w:val="AppTableTitle"/>
      <w:spacing w:before="0"/>
    </w:pPr>
    <w:r>
      <w:t>Appendix F Table 20. Harm Outcomes of Placebo-Controlled Primary Prevention Trials of Ibandronate</w:t>
    </w:r>
  </w:p>
  <w:p w:rsidR="000A3A6E" w:rsidRDefault="000A3A6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3A6E"/>
    <w:rsid w:val="000A3A6E"/>
    <w:rsid w:val="000F494B"/>
    <w:rsid w:val="001B0450"/>
    <w:rsid w:val="00403357"/>
    <w:rsid w:val="00B7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6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0A3A6E"/>
    <w:rPr>
      <w:rFonts w:ascii="Arial" w:eastAsia="Times New Roman" w:hAnsi="Arial" w:cs="Times New Roman"/>
      <w:sz w:val="18"/>
      <w:szCs w:val="20"/>
      <w:lang w:val="de-AT" w:eastAsia="de-AT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pPr>
        <w:wordWrap/>
        <w:ind w:leftChars="0" w:left="0" w:firstLineChars="0" w:firstLine="0"/>
        <w:jc w:val="center"/>
      </w:pPr>
      <w:rPr>
        <w:b/>
      </w:rPr>
      <w:tblPr/>
      <w:trPr>
        <w:tblHeader/>
      </w:trPr>
      <w:tcPr>
        <w:shd w:val="clear" w:color="auto" w:fill="BFBFBF" w:themeFill="background1" w:themeFillShade="BF"/>
        <w:vAlign w:val="bottom"/>
      </w:tcPr>
    </w:tblStylePr>
  </w:style>
  <w:style w:type="paragraph" w:customStyle="1" w:styleId="AppTableText">
    <w:name w:val="AppTableText"/>
    <w:basedOn w:val="Normal"/>
    <w:qFormat/>
    <w:rsid w:val="000A3A6E"/>
    <w:rPr>
      <w:rFonts w:ascii="Arial" w:eastAsia="Calibri" w:hAnsi="Arial" w:cs="Arial"/>
      <w:sz w:val="18"/>
      <w:szCs w:val="18"/>
    </w:rPr>
  </w:style>
  <w:style w:type="paragraph" w:customStyle="1" w:styleId="AppTableNote">
    <w:name w:val="AppTableNote"/>
    <w:basedOn w:val="Normal"/>
    <w:qFormat/>
    <w:rsid w:val="000A3A6E"/>
    <w:pPr>
      <w:spacing w:after="120"/>
      <w:contextualSpacing/>
    </w:pPr>
    <w:rPr>
      <w:rFonts w:ascii="Arial" w:hAnsi="Arial"/>
      <w:bCs/>
      <w:sz w:val="18"/>
      <w:szCs w:val="24"/>
    </w:rPr>
  </w:style>
  <w:style w:type="table" w:styleId="TableGrid">
    <w:name w:val="Table Grid"/>
    <w:basedOn w:val="TableNormal"/>
    <w:uiPriority w:val="59"/>
    <w:rsid w:val="000A3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3A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A6E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A3A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A6E"/>
    <w:rPr>
      <w:rFonts w:ascii="Times" w:eastAsia="Times New Roman" w:hAnsi="Times" w:cs="Times New Roman"/>
      <w:sz w:val="24"/>
      <w:szCs w:val="20"/>
    </w:rPr>
  </w:style>
  <w:style w:type="paragraph" w:customStyle="1" w:styleId="AppTableTitle">
    <w:name w:val="AppTableTitle"/>
    <w:basedOn w:val="Normal"/>
    <w:link w:val="AppTableTitleChar"/>
    <w:qFormat/>
    <w:rsid w:val="000A3A6E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AppTableTitleChar">
    <w:name w:val="AppTableTitle Char"/>
    <w:link w:val="AppTableTitle"/>
    <w:rsid w:val="000A3A6E"/>
    <w:rPr>
      <w:rFonts w:ascii="Arial" w:eastAsia="Calibri" w:hAnsi="Arial" w:cs="Times New Roman"/>
      <w:b/>
      <w:color w:val="000000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6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0A3A6E"/>
    <w:rPr>
      <w:rFonts w:ascii="Arial" w:eastAsia="Times New Roman" w:hAnsi="Arial" w:cs="Times New Roman"/>
      <w:sz w:val="18"/>
      <w:szCs w:val="20"/>
      <w:lang w:val="de-AT" w:eastAsia="de-AT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pPr>
        <w:wordWrap/>
        <w:ind w:leftChars="0" w:left="0" w:firstLineChars="0" w:firstLine="0"/>
        <w:jc w:val="center"/>
      </w:pPr>
      <w:rPr>
        <w:b/>
      </w:rPr>
      <w:tblPr/>
      <w:trPr>
        <w:tblHeader/>
      </w:trPr>
      <w:tcPr>
        <w:shd w:val="clear" w:color="auto" w:fill="BFBFBF" w:themeFill="background1" w:themeFillShade="BF"/>
        <w:vAlign w:val="bottom"/>
      </w:tcPr>
    </w:tblStylePr>
  </w:style>
  <w:style w:type="paragraph" w:customStyle="1" w:styleId="AppTableText">
    <w:name w:val="AppTableText"/>
    <w:basedOn w:val="Normal"/>
    <w:qFormat/>
    <w:rsid w:val="000A3A6E"/>
    <w:rPr>
      <w:rFonts w:ascii="Arial" w:eastAsia="Calibri" w:hAnsi="Arial" w:cs="Arial"/>
      <w:sz w:val="18"/>
      <w:szCs w:val="18"/>
    </w:rPr>
  </w:style>
  <w:style w:type="paragraph" w:customStyle="1" w:styleId="AppTableNote">
    <w:name w:val="AppTableNote"/>
    <w:basedOn w:val="Normal"/>
    <w:qFormat/>
    <w:rsid w:val="000A3A6E"/>
    <w:pPr>
      <w:spacing w:after="120"/>
      <w:contextualSpacing/>
    </w:pPr>
    <w:rPr>
      <w:rFonts w:ascii="Arial" w:hAnsi="Arial"/>
      <w:bCs/>
      <w:sz w:val="18"/>
      <w:szCs w:val="24"/>
    </w:rPr>
  </w:style>
  <w:style w:type="table" w:styleId="TableGrid">
    <w:name w:val="Table Grid"/>
    <w:basedOn w:val="TableNormal"/>
    <w:uiPriority w:val="59"/>
    <w:rsid w:val="000A3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3A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A6E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A3A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A6E"/>
    <w:rPr>
      <w:rFonts w:ascii="Times" w:eastAsia="Times New Roman" w:hAnsi="Times" w:cs="Times New Roman"/>
      <w:sz w:val="24"/>
      <w:szCs w:val="20"/>
    </w:rPr>
  </w:style>
  <w:style w:type="paragraph" w:customStyle="1" w:styleId="AppTableTitle">
    <w:name w:val="AppTableTitle"/>
    <w:basedOn w:val="Normal"/>
    <w:link w:val="AppTableTitleChar"/>
    <w:qFormat/>
    <w:rsid w:val="000A3A6E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AppTableTitleChar">
    <w:name w:val="AppTableTitle Char"/>
    <w:link w:val="AppTableTitle"/>
    <w:rsid w:val="000A3A6E"/>
    <w:rPr>
      <w:rFonts w:ascii="Arial" w:eastAsia="Calibri" w:hAnsi="Arial" w:cs="Times New Roman"/>
      <w:b/>
      <w:color w:val="000000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Srinivas</dc:creator>
  <cp:lastModifiedBy>Siva</cp:lastModifiedBy>
  <cp:revision>2</cp:revision>
  <dcterms:created xsi:type="dcterms:W3CDTF">2018-09-08T08:44:00Z</dcterms:created>
  <dcterms:modified xsi:type="dcterms:W3CDTF">2018-09-08T10:15:00Z</dcterms:modified>
</cp:coreProperties>
</file>