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HRQ1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908"/>
        <w:gridCol w:w="1620"/>
        <w:gridCol w:w="2070"/>
        <w:gridCol w:w="1692"/>
        <w:gridCol w:w="2448"/>
        <w:gridCol w:w="1170"/>
        <w:gridCol w:w="1170"/>
      </w:tblGrid>
      <w:tr w:rsidR="00F037D2" w:rsidRPr="002301F9" w:rsidTr="005C57BE">
        <w:trPr>
          <w:tblHeader/>
        </w:trPr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F037D2" w:rsidRPr="002301F9" w:rsidRDefault="00F037D2" w:rsidP="005C57BE">
            <w:pPr>
              <w:pStyle w:val="AppTableText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Study Reference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bottom"/>
          </w:tcPr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Participant Characteristics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Intervention; Duration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Discontinuations due to AE</w:t>
            </w:r>
          </w:p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Risk in Treatment Group; Risk in Control Group</w:t>
            </w:r>
          </w:p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2301F9">
              <w:rPr>
                <w:b/>
                <w:sz w:val="20"/>
                <w:szCs w:val="20"/>
              </w:rPr>
              <w:t xml:space="preserve">RR </w:t>
            </w:r>
            <w:r>
              <w:rPr>
                <w:b/>
                <w:sz w:val="20"/>
                <w:szCs w:val="20"/>
              </w:rPr>
              <w:t>[95% CI</w:t>
            </w:r>
            <w:r w:rsidRPr="002301F9">
              <w:rPr>
                <w:b/>
                <w:sz w:val="20"/>
                <w:szCs w:val="20"/>
              </w:rPr>
              <w:t>])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bottom"/>
          </w:tcPr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Serious AEs</w:t>
            </w:r>
          </w:p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Risk in Treatment Group; Risk in Control Group</w:t>
            </w:r>
          </w:p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2301F9">
              <w:rPr>
                <w:b/>
                <w:sz w:val="20"/>
                <w:szCs w:val="20"/>
              </w:rPr>
              <w:t xml:space="preserve">RR </w:t>
            </w:r>
            <w:r>
              <w:rPr>
                <w:b/>
                <w:sz w:val="20"/>
                <w:szCs w:val="20"/>
              </w:rPr>
              <w:t>[95% CI</w:t>
            </w:r>
            <w:r w:rsidRPr="002301F9">
              <w:rPr>
                <w:b/>
                <w:sz w:val="20"/>
                <w:szCs w:val="20"/>
              </w:rPr>
              <w:t>])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bottom"/>
          </w:tcPr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Gastrointestinal Adverse Events</w:t>
            </w:r>
            <w:r w:rsidRPr="002301F9">
              <w:rPr>
                <w:b/>
                <w:sz w:val="20"/>
                <w:szCs w:val="20"/>
                <w:vertAlign w:val="superscript"/>
              </w:rPr>
              <w:t>a</w:t>
            </w:r>
          </w:p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Risk in Treatment Group; Risk in Control Group</w:t>
            </w:r>
          </w:p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2301F9">
              <w:rPr>
                <w:b/>
                <w:sz w:val="20"/>
                <w:szCs w:val="20"/>
              </w:rPr>
              <w:t xml:space="preserve">RR </w:t>
            </w:r>
            <w:r>
              <w:rPr>
                <w:b/>
                <w:sz w:val="20"/>
                <w:szCs w:val="20"/>
              </w:rPr>
              <w:t>[</w:t>
            </w:r>
            <w:r w:rsidRPr="002301F9">
              <w:rPr>
                <w:b/>
                <w:sz w:val="20"/>
                <w:szCs w:val="20"/>
              </w:rPr>
              <w:t>95% CI])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Other Adverse Events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F037D2" w:rsidRPr="002301F9" w:rsidRDefault="00F037D2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2301F9">
              <w:rPr>
                <w:b/>
                <w:sz w:val="20"/>
                <w:szCs w:val="20"/>
              </w:rPr>
              <w:t>Quality Rating</w:t>
            </w:r>
          </w:p>
        </w:tc>
      </w:tr>
      <w:tr w:rsidR="00F037D2" w:rsidRPr="002301F9" w:rsidTr="005C57BE">
        <w:tc>
          <w:tcPr>
            <w:tcW w:w="1350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>Herd et al, 1997</w:t>
            </w:r>
            <w:r w:rsidRPr="002301F9">
              <w:rPr>
                <w:noProof/>
                <w:vertAlign w:val="superscript"/>
              </w:rPr>
              <w:t>228</w:t>
            </w:r>
          </w:p>
        </w:tc>
        <w:tc>
          <w:tcPr>
            <w:tcW w:w="1908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 xml:space="preserve">Women 1-10 years postmenopausal; mean age 54.8 years; mean T-score -1.3; no prior fracture </w:t>
            </w:r>
          </w:p>
        </w:tc>
        <w:tc>
          <w:tcPr>
            <w:tcW w:w="1620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 xml:space="preserve">Cyclical etidronate 400 mg/day; 2 years </w:t>
            </w:r>
          </w:p>
        </w:tc>
        <w:tc>
          <w:tcPr>
            <w:tcW w:w="2070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>5/75; 0/77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[11.23 (0.64 to 200.68)]</w:t>
            </w:r>
          </w:p>
        </w:tc>
        <w:tc>
          <w:tcPr>
            <w:tcW w:w="1692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>8/75; 7/77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[1.17 (0.44 to 3.07)]</w:t>
            </w:r>
          </w:p>
        </w:tc>
        <w:tc>
          <w:tcPr>
            <w:tcW w:w="2448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>GI AE events: 9/75; 17/77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[0.54 (0.26 to 1.14)]</w:t>
            </w:r>
          </w:p>
        </w:tc>
        <w:tc>
          <w:tcPr>
            <w:tcW w:w="1170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>Infection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18/74; 22/76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[0.84 (0.49 to 1.43)]</w:t>
            </w:r>
          </w:p>
          <w:p w:rsidR="00F037D2" w:rsidRPr="002301F9" w:rsidRDefault="00F037D2" w:rsidP="005C57BE">
            <w:pPr>
              <w:pStyle w:val="AppTableText"/>
            </w:pPr>
          </w:p>
        </w:tc>
        <w:tc>
          <w:tcPr>
            <w:tcW w:w="1170" w:type="dxa"/>
          </w:tcPr>
          <w:p w:rsidR="00F037D2" w:rsidRPr="002301F9" w:rsidRDefault="00F037D2" w:rsidP="005C57BE">
            <w:pPr>
              <w:pStyle w:val="AppTableText"/>
              <w:jc w:val="center"/>
            </w:pPr>
            <w:r w:rsidRPr="002301F9">
              <w:t>Fair</w:t>
            </w:r>
          </w:p>
        </w:tc>
      </w:tr>
      <w:tr w:rsidR="00F037D2" w:rsidRPr="002301F9" w:rsidTr="005C57BE">
        <w:tc>
          <w:tcPr>
            <w:tcW w:w="1350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>Meunier et al, 1997</w:t>
            </w:r>
            <w:r w:rsidRPr="002301F9">
              <w:rPr>
                <w:noProof/>
                <w:vertAlign w:val="superscript"/>
              </w:rPr>
              <w:t>229</w:t>
            </w:r>
          </w:p>
        </w:tc>
        <w:tc>
          <w:tcPr>
            <w:tcW w:w="1908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 xml:space="preserve">Women 6-60 months postmenopausal; mean age 52.7 years; mean T-score -1.1; unknown prior fracture </w:t>
            </w:r>
          </w:p>
        </w:tc>
        <w:tc>
          <w:tcPr>
            <w:tcW w:w="1620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 xml:space="preserve">Cyclical etidronate 400 mg/day; 2 years </w:t>
            </w:r>
          </w:p>
        </w:tc>
        <w:tc>
          <w:tcPr>
            <w:tcW w:w="2070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>0/27; 2/27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[0.20 (0.01 to 3.98)]</w:t>
            </w:r>
          </w:p>
        </w:tc>
        <w:tc>
          <w:tcPr>
            <w:tcW w:w="1692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>NR</w:t>
            </w:r>
          </w:p>
        </w:tc>
        <w:tc>
          <w:tcPr>
            <w:tcW w:w="2448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 xml:space="preserve">Severe GI 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0/27; 0/27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 xml:space="preserve">RR not calculable 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Mild abdominal pain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4/27; 1/27 (all had history of GI problems)</w:t>
            </w:r>
          </w:p>
          <w:p w:rsidR="00F037D2" w:rsidRPr="002301F9" w:rsidRDefault="00F037D2" w:rsidP="005C57BE">
            <w:pPr>
              <w:pStyle w:val="AppTableText"/>
            </w:pPr>
            <w:r w:rsidRPr="002301F9">
              <w:t>[4.00 (0.48 to 33.51)]</w:t>
            </w:r>
          </w:p>
        </w:tc>
        <w:tc>
          <w:tcPr>
            <w:tcW w:w="1170" w:type="dxa"/>
          </w:tcPr>
          <w:p w:rsidR="00F037D2" w:rsidRPr="002301F9" w:rsidRDefault="00F037D2" w:rsidP="005C57BE">
            <w:pPr>
              <w:pStyle w:val="AppTableText"/>
            </w:pPr>
            <w:r w:rsidRPr="002301F9">
              <w:t>NR</w:t>
            </w:r>
          </w:p>
          <w:p w:rsidR="00F037D2" w:rsidRPr="002301F9" w:rsidRDefault="00F037D2" w:rsidP="005C57BE">
            <w:pPr>
              <w:pStyle w:val="AppTableText"/>
            </w:pPr>
          </w:p>
        </w:tc>
        <w:tc>
          <w:tcPr>
            <w:tcW w:w="1170" w:type="dxa"/>
          </w:tcPr>
          <w:p w:rsidR="00F037D2" w:rsidRPr="002301F9" w:rsidRDefault="00F037D2" w:rsidP="005C57BE">
            <w:pPr>
              <w:pStyle w:val="AppTableText"/>
              <w:jc w:val="center"/>
            </w:pPr>
            <w:r w:rsidRPr="002301F9">
              <w:t>Fair</w:t>
            </w:r>
          </w:p>
        </w:tc>
      </w:tr>
    </w:tbl>
    <w:p w:rsidR="00DB76EC" w:rsidRDefault="00F037D2">
      <w:r w:rsidRPr="00334A31">
        <w:rPr>
          <w:b/>
        </w:rPr>
        <w:t>Abbreviations:</w:t>
      </w:r>
      <w:r w:rsidRPr="00334A31">
        <w:t xml:space="preserve"> AE</w:t>
      </w:r>
      <w:r>
        <w:t>=</w:t>
      </w:r>
      <w:r w:rsidRPr="00334A31">
        <w:t>adverse event; CI</w:t>
      </w:r>
      <w:r>
        <w:t>=</w:t>
      </w:r>
      <w:r w:rsidRPr="00334A31">
        <w:t>confidence interval; GI</w:t>
      </w:r>
      <w:r>
        <w:t>=</w:t>
      </w:r>
      <w:r w:rsidRPr="00334A31">
        <w:t>gastrointestinal; mg</w:t>
      </w:r>
      <w:r>
        <w:t>=</w:t>
      </w:r>
      <w:r w:rsidRPr="00334A31">
        <w:t>milligram; NR</w:t>
      </w:r>
      <w:r>
        <w:t>=</w:t>
      </w:r>
      <w:r w:rsidRPr="00334A31">
        <w:t>not reported; RR</w:t>
      </w:r>
      <w:r>
        <w:t>=</w:t>
      </w:r>
      <w:r w:rsidRPr="00334A31">
        <w:t>risk ratio</w:t>
      </w:r>
      <w:r>
        <w:t>.</w:t>
      </w:r>
    </w:p>
    <w:sectPr w:rsidR="00DB76EC" w:rsidSect="00F037D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D2" w:rsidRDefault="00F037D2" w:rsidP="00F037D2">
      <w:r>
        <w:separator/>
      </w:r>
    </w:p>
  </w:endnote>
  <w:endnote w:type="continuationSeparator" w:id="1">
    <w:p w:rsidR="00F037D2" w:rsidRDefault="00F037D2" w:rsidP="00F0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D2" w:rsidRDefault="00F037D2" w:rsidP="00F037D2">
    <w:pPr>
      <w:pStyle w:val="Footer"/>
      <w:jc w:val="center"/>
    </w:pPr>
    <w:r>
      <w:t>F-101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D2" w:rsidRDefault="00F037D2" w:rsidP="00F037D2">
      <w:r>
        <w:separator/>
      </w:r>
    </w:p>
  </w:footnote>
  <w:footnote w:type="continuationSeparator" w:id="1">
    <w:p w:rsidR="00F037D2" w:rsidRDefault="00F037D2" w:rsidP="00F0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D2" w:rsidRDefault="00F037D2">
    <w:pPr>
      <w:pStyle w:val="Header"/>
    </w:pPr>
    <w:r>
      <w:t>Appendix F Table 19. Harm Outcomes of Placebo-Controlled Primary Prevention Trials of Etidronate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D2"/>
    <w:rsid w:val="00DB76EC"/>
    <w:rsid w:val="00E11596"/>
    <w:rsid w:val="00F0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D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F037D2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Text">
    <w:name w:val="AppTableText"/>
    <w:basedOn w:val="Normal"/>
    <w:qFormat/>
    <w:rsid w:val="00F037D2"/>
    <w:rPr>
      <w:rFonts w:ascii="Arial" w:eastAsia="Calibri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F0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3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7D2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03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7D2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Siva</cp:lastModifiedBy>
  <cp:revision>1</cp:revision>
  <dcterms:created xsi:type="dcterms:W3CDTF">2018-09-08T10:13:00Z</dcterms:created>
  <dcterms:modified xsi:type="dcterms:W3CDTF">2018-09-08T10:14:00Z</dcterms:modified>
</cp:coreProperties>
</file>