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1985"/>
        <w:gridCol w:w="1435"/>
        <w:gridCol w:w="1620"/>
        <w:gridCol w:w="1805"/>
        <w:gridCol w:w="1975"/>
        <w:gridCol w:w="1890"/>
        <w:gridCol w:w="995"/>
      </w:tblGrid>
      <w:tr w:rsidR="0062353F" w:rsidRPr="00F33586" w:rsidTr="005C57BE">
        <w:trPr>
          <w:tblHeader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Study Reference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Participant Characteristics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Intervention; Duration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Incident Fracture VertebralRisk in Treatment Group; Risk in Control Group</w:t>
            </w:r>
          </w:p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(RR [</w:t>
            </w:r>
            <w:r w:rsidRPr="00F33586">
              <w:rPr>
                <w:b/>
                <w:sz w:val="20"/>
                <w:szCs w:val="20"/>
              </w:rPr>
              <w:t>95% CI])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Incident Fracture NonvertebralRisk in Treatment Group; Risk in Control Group</w:t>
            </w:r>
          </w:p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33586">
              <w:rPr>
                <w:b/>
                <w:sz w:val="20"/>
                <w:szCs w:val="20"/>
              </w:rPr>
              <w:t xml:space="preserve">RR </w:t>
            </w:r>
            <w:r>
              <w:rPr>
                <w:b/>
                <w:sz w:val="20"/>
                <w:szCs w:val="20"/>
              </w:rPr>
              <w:t>[</w:t>
            </w:r>
            <w:r w:rsidRPr="00F33586">
              <w:rPr>
                <w:b/>
                <w:sz w:val="20"/>
                <w:szCs w:val="20"/>
              </w:rPr>
              <w:t>95% CI])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HipRisk in Treatment Group; Risk in Control Group</w:t>
            </w:r>
          </w:p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(RR [</w:t>
            </w:r>
            <w:r w:rsidRPr="00F33586">
              <w:rPr>
                <w:b/>
                <w:sz w:val="20"/>
                <w:szCs w:val="20"/>
              </w:rPr>
              <w:t>95% CI])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Other Incident FracturesRisk in Treatment Group; Risk in Control Group</w:t>
            </w:r>
          </w:p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(RR [</w:t>
            </w:r>
            <w:r w:rsidRPr="00F33586">
              <w:rPr>
                <w:b/>
                <w:sz w:val="20"/>
                <w:szCs w:val="20"/>
              </w:rPr>
              <w:t>95% CI])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bottom"/>
          </w:tcPr>
          <w:p w:rsidR="0062353F" w:rsidRPr="00F33586" w:rsidRDefault="0062353F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F33586">
              <w:rPr>
                <w:b/>
                <w:sz w:val="20"/>
                <w:szCs w:val="20"/>
              </w:rPr>
              <w:t>Quality Rating</w:t>
            </w:r>
          </w:p>
        </w:tc>
      </w:tr>
      <w:tr w:rsidR="0062353F" w:rsidRPr="00F33586" w:rsidTr="005C57BE">
        <w:tc>
          <w:tcPr>
            <w:tcW w:w="125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McClung et al, 2001</w:t>
            </w:r>
            <w:r w:rsidRPr="00F33586">
              <w:rPr>
                <w:noProof/>
                <w:vertAlign w:val="superscript"/>
              </w:rPr>
              <w:t>223</w:t>
            </w:r>
          </w:p>
        </w:tc>
        <w:tc>
          <w:tcPr>
            <w:tcW w:w="198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Women 70 years and older;, mean femoral neck T-score -3.7</w:t>
            </w:r>
          </w:p>
        </w:tc>
        <w:tc>
          <w:tcPr>
            <w:tcW w:w="143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Risedronate 5 mg/day; 2 years treatment (mean follow-up 2.3 years) </w:t>
            </w:r>
          </w:p>
        </w:tc>
        <w:tc>
          <w:tcPr>
            <w:tcW w:w="162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NR </w:t>
            </w:r>
          </w:p>
        </w:tc>
        <w:tc>
          <w:tcPr>
            <w:tcW w:w="180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NR </w:t>
            </w:r>
          </w:p>
        </w:tc>
        <w:tc>
          <w:tcPr>
            <w:tcW w:w="197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137/6197; 95/3134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[0.73 (0.56 to 0.94)]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Subgroup aged 70-79 without prevalent vertebral fracture</w:t>
            </w:r>
            <w:r w:rsidRPr="00F33586">
              <w:rPr>
                <w:vertAlign w:val="superscript"/>
              </w:rPr>
              <w:t>b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 xml:space="preserve">14/1773; 12/875 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[0.58 (0.27 to 1.24)]</w:t>
            </w:r>
          </w:p>
        </w:tc>
        <w:tc>
          <w:tcPr>
            <w:tcW w:w="189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NR</w:t>
            </w:r>
          </w:p>
        </w:tc>
        <w:tc>
          <w:tcPr>
            <w:tcW w:w="995" w:type="dxa"/>
          </w:tcPr>
          <w:p w:rsidR="0062353F" w:rsidRPr="00F33586" w:rsidRDefault="0062353F" w:rsidP="005C57BE">
            <w:pPr>
              <w:pStyle w:val="AppTableText"/>
              <w:jc w:val="center"/>
            </w:pPr>
            <w:r w:rsidRPr="00F33586">
              <w:t>Fair</w:t>
            </w:r>
          </w:p>
        </w:tc>
      </w:tr>
      <w:tr w:rsidR="0062353F" w:rsidRPr="00F33586" w:rsidTr="005C57BE">
        <w:tc>
          <w:tcPr>
            <w:tcW w:w="125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Mortensen et al, 1998</w:t>
            </w:r>
            <w:r w:rsidRPr="00F33586">
              <w:rPr>
                <w:noProof/>
                <w:vertAlign w:val="superscript"/>
              </w:rPr>
              <w:t>224</w:t>
            </w:r>
          </w:p>
        </w:tc>
        <w:tc>
          <w:tcPr>
            <w:tcW w:w="198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Women 6-60 months postmenopausal; mean age 51.5 years; mean T-score -1.1; no prior osteoporotic fracture </w:t>
            </w:r>
          </w:p>
        </w:tc>
        <w:tc>
          <w:tcPr>
            <w:tcW w:w="143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Risedronate 5 mg/day; 2 years treatment (follow-up 3 years) </w:t>
            </w:r>
          </w:p>
        </w:tc>
        <w:tc>
          <w:tcPr>
            <w:tcW w:w="162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1/37; 0/36 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 xml:space="preserve">[2.92 (CI, 0.12-69.43)] </w:t>
            </w:r>
            <w:r w:rsidRPr="00F33586">
              <w:rPr>
                <w:vertAlign w:val="superscript"/>
              </w:rPr>
              <w:t>a</w:t>
            </w:r>
          </w:p>
        </w:tc>
        <w:tc>
          <w:tcPr>
            <w:tcW w:w="180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0/37; 3/36 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[0.14 (0.01-2.60)]</w:t>
            </w:r>
            <w:r w:rsidRPr="00F33586">
              <w:rPr>
                <w:vertAlign w:val="superscript"/>
              </w:rPr>
              <w:t>a</w:t>
            </w:r>
          </w:p>
        </w:tc>
        <w:tc>
          <w:tcPr>
            <w:tcW w:w="197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0/37; 0/36 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RR not estimable</w:t>
            </w:r>
            <w:r w:rsidRPr="00F33586">
              <w:rPr>
                <w:vertAlign w:val="superscript"/>
              </w:rPr>
              <w:t>a</w:t>
            </w:r>
          </w:p>
        </w:tc>
        <w:tc>
          <w:tcPr>
            <w:tcW w:w="189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NR</w:t>
            </w:r>
          </w:p>
        </w:tc>
        <w:tc>
          <w:tcPr>
            <w:tcW w:w="995" w:type="dxa"/>
          </w:tcPr>
          <w:p w:rsidR="0062353F" w:rsidRPr="00F33586" w:rsidRDefault="0062353F" w:rsidP="005C57BE">
            <w:pPr>
              <w:pStyle w:val="AppTableText"/>
              <w:jc w:val="center"/>
            </w:pPr>
            <w:r w:rsidRPr="00F33586">
              <w:t>Fair</w:t>
            </w:r>
          </w:p>
        </w:tc>
      </w:tr>
      <w:tr w:rsidR="0062353F" w:rsidRPr="00F33586" w:rsidTr="005C57BE">
        <w:trPr>
          <w:trHeight w:val="1915"/>
        </w:trPr>
        <w:tc>
          <w:tcPr>
            <w:tcW w:w="125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Valimaki et al, 2007</w:t>
            </w:r>
            <w:r w:rsidRPr="00F33586">
              <w:rPr>
                <w:noProof/>
                <w:vertAlign w:val="superscript"/>
              </w:rPr>
              <w:t>225</w:t>
            </w:r>
          </w:p>
        </w:tc>
        <w:tc>
          <w:tcPr>
            <w:tcW w:w="198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Women ≥5 years postmenopausal; osteoporosis risk factors or low hip BMD; mean age 65.9 years; mean femoral neck T-score -1.2; unknown prior fracture </w:t>
            </w:r>
          </w:p>
        </w:tc>
        <w:tc>
          <w:tcPr>
            <w:tcW w:w="143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Risedronate 5 mg/day; 2 years</w:t>
            </w:r>
          </w:p>
        </w:tc>
        <w:tc>
          <w:tcPr>
            <w:tcW w:w="162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0/114; 0/56 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RR not estimable</w:t>
            </w:r>
            <w:r w:rsidRPr="00F33586">
              <w:rPr>
                <w:vertAlign w:val="superscript"/>
              </w:rPr>
              <w:t>a</w:t>
            </w:r>
          </w:p>
        </w:tc>
        <w:tc>
          <w:tcPr>
            <w:tcW w:w="180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 xml:space="preserve">2/114; 2/56 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0.49 (0.07-3.40)</w:t>
            </w:r>
            <w:r w:rsidRPr="00F33586">
              <w:rPr>
                <w:vertAlign w:val="superscript"/>
              </w:rPr>
              <w:t xml:space="preserve"> a</w:t>
            </w:r>
          </w:p>
        </w:tc>
        <w:tc>
          <w:tcPr>
            <w:tcW w:w="197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NR</w:t>
            </w:r>
          </w:p>
        </w:tc>
        <w:tc>
          <w:tcPr>
            <w:tcW w:w="189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NR</w:t>
            </w:r>
          </w:p>
        </w:tc>
        <w:tc>
          <w:tcPr>
            <w:tcW w:w="995" w:type="dxa"/>
          </w:tcPr>
          <w:p w:rsidR="0062353F" w:rsidRPr="00F33586" w:rsidRDefault="0062353F" w:rsidP="005C57BE">
            <w:pPr>
              <w:pStyle w:val="AppTableText"/>
              <w:jc w:val="center"/>
            </w:pPr>
            <w:r w:rsidRPr="00F33586">
              <w:t>Fair</w:t>
            </w:r>
          </w:p>
        </w:tc>
      </w:tr>
      <w:tr w:rsidR="0062353F" w:rsidRPr="00F33586" w:rsidTr="005C57BE">
        <w:tc>
          <w:tcPr>
            <w:tcW w:w="125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rPr>
                <w:vertAlign w:val="superscript"/>
              </w:rPr>
              <w:t>c</w:t>
            </w:r>
            <w:r w:rsidRPr="00F33586">
              <w:t>Fogelman et al, 2000</w:t>
            </w:r>
            <w:r w:rsidRPr="00F33586">
              <w:rPr>
                <w:noProof/>
                <w:vertAlign w:val="superscript"/>
              </w:rPr>
              <w:t>226</w:t>
            </w:r>
          </w:p>
        </w:tc>
        <w:tc>
          <w:tcPr>
            <w:tcW w:w="198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Postmenopausal women less than age 80 years, with mean lumbar T-score of -2.0 or less; mean age 65 years; 31 % with vertebral fractures</w:t>
            </w:r>
          </w:p>
        </w:tc>
        <w:tc>
          <w:tcPr>
            <w:tcW w:w="143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Risedronate 5 mg/day; 2 years</w:t>
            </w:r>
          </w:p>
        </w:tc>
        <w:tc>
          <w:tcPr>
            <w:tcW w:w="162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8/112;17/125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[0.53 (0.24 to 1.17)]</w:t>
            </w:r>
            <w:r w:rsidRPr="00F33586">
              <w:rPr>
                <w:vertAlign w:val="superscript"/>
              </w:rPr>
              <w:t xml:space="preserve"> a</w:t>
            </w:r>
          </w:p>
        </w:tc>
        <w:tc>
          <w:tcPr>
            <w:tcW w:w="180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7/112;13/125</w:t>
            </w:r>
          </w:p>
          <w:p w:rsidR="0062353F" w:rsidRPr="00F33586" w:rsidRDefault="0062353F" w:rsidP="005C57BE">
            <w:pPr>
              <w:pStyle w:val="AppTableText"/>
            </w:pPr>
            <w:r w:rsidRPr="00F33586">
              <w:t>[0.68 (0.30 to 1.58)]</w:t>
            </w:r>
            <w:r w:rsidRPr="00F33586">
              <w:rPr>
                <w:vertAlign w:val="superscript"/>
              </w:rPr>
              <w:t xml:space="preserve"> a</w:t>
            </w:r>
          </w:p>
        </w:tc>
        <w:tc>
          <w:tcPr>
            <w:tcW w:w="1975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NR</w:t>
            </w:r>
          </w:p>
        </w:tc>
        <w:tc>
          <w:tcPr>
            <w:tcW w:w="1890" w:type="dxa"/>
          </w:tcPr>
          <w:p w:rsidR="0062353F" w:rsidRPr="00F33586" w:rsidRDefault="0062353F" w:rsidP="005C57BE">
            <w:pPr>
              <w:pStyle w:val="AppTableText"/>
            </w:pPr>
            <w:r w:rsidRPr="00F33586">
              <w:t>NR</w:t>
            </w:r>
          </w:p>
        </w:tc>
        <w:tc>
          <w:tcPr>
            <w:tcW w:w="995" w:type="dxa"/>
          </w:tcPr>
          <w:p w:rsidR="0062353F" w:rsidRPr="00F33586" w:rsidRDefault="0062353F" w:rsidP="005C57BE">
            <w:pPr>
              <w:pStyle w:val="AppTableText"/>
              <w:jc w:val="center"/>
            </w:pPr>
            <w:r w:rsidRPr="00F33586">
              <w:t>Fair</w:t>
            </w:r>
          </w:p>
        </w:tc>
      </w:tr>
    </w:tbl>
    <w:p w:rsidR="0062353F" w:rsidRPr="00334A31" w:rsidRDefault="0062353F" w:rsidP="0062353F">
      <w:pPr>
        <w:pStyle w:val="AppTableNote"/>
      </w:pPr>
      <w:r w:rsidRPr="00334A31">
        <w:rPr>
          <w:vertAlign w:val="superscript"/>
        </w:rPr>
        <w:t>a</w:t>
      </w:r>
      <w:r w:rsidRPr="00334A31">
        <w:t xml:space="preserve"> Fractures were not primary or secondary efficacy measures in these studies, and studies were not powered based on fracture outcomes. </w:t>
      </w:r>
    </w:p>
    <w:p w:rsidR="0062353F" w:rsidRPr="00334A31" w:rsidRDefault="0062353F" w:rsidP="0062353F">
      <w:pPr>
        <w:pStyle w:val="AppTableNote"/>
      </w:pPr>
      <w:r w:rsidRPr="00334A31">
        <w:rPr>
          <w:vertAlign w:val="superscript"/>
        </w:rPr>
        <w:t>b</w:t>
      </w:r>
      <w:r w:rsidRPr="00334A31">
        <w:t xml:space="preserve"> Results from a post-hoc analysis of women aged 70 to 79 without prevalent vertebral fracture at baseline. The RR in women aged 70-79 with prevalent vertebral fracture at baseline was 0.4 (95% CI, 0.2 to 0.8).</w:t>
      </w:r>
    </w:p>
    <w:p w:rsidR="0062353F" w:rsidRDefault="0062353F" w:rsidP="0062353F">
      <w:pPr>
        <w:pStyle w:val="AppTableNote"/>
      </w:pPr>
      <w:r w:rsidRPr="00334A31">
        <w:rPr>
          <w:vertAlign w:val="superscript"/>
        </w:rPr>
        <w:t>c</w:t>
      </w:r>
      <w:r w:rsidRPr="00334A31">
        <w:t xml:space="preserve"> Excluded from previous review because &gt;=20% of study had prior or prevalent fracture; however, this study was considered in the prior review’s sensitivity analysis. </w:t>
      </w:r>
    </w:p>
    <w:p w:rsidR="0062353F" w:rsidRPr="00334A31" w:rsidRDefault="0062353F" w:rsidP="0062353F">
      <w:pPr>
        <w:pStyle w:val="AppTableNote"/>
      </w:pPr>
    </w:p>
    <w:p w:rsidR="00DB76EC" w:rsidRDefault="0062353F" w:rsidP="0062353F">
      <w:r w:rsidRPr="00334A31">
        <w:rPr>
          <w:b/>
        </w:rPr>
        <w:t>Abbreviations:</w:t>
      </w:r>
      <w:r w:rsidRPr="00334A31">
        <w:t xml:space="preserve"> BMD</w:t>
      </w:r>
      <w:r>
        <w:t>=</w:t>
      </w:r>
      <w:r w:rsidRPr="00334A31">
        <w:t>bone mineral density; CI</w:t>
      </w:r>
      <w:r>
        <w:t>=</w:t>
      </w:r>
      <w:r w:rsidRPr="00334A31">
        <w:t>confidence interval; mg</w:t>
      </w:r>
      <w:r>
        <w:t>=</w:t>
      </w:r>
      <w:r w:rsidRPr="00334A31">
        <w:t>milligram; NR</w:t>
      </w:r>
      <w:r>
        <w:t>=</w:t>
      </w:r>
      <w:r w:rsidRPr="00334A31">
        <w:t>not reported; RR</w:t>
      </w:r>
      <w:r>
        <w:t>=</w:t>
      </w:r>
      <w:r w:rsidRPr="00334A31">
        <w:t>risk ratio</w:t>
      </w:r>
      <w:r>
        <w:t>.</w:t>
      </w:r>
    </w:p>
    <w:sectPr w:rsidR="00DB76EC" w:rsidSect="0062353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3F" w:rsidRDefault="0062353F" w:rsidP="0062353F">
      <w:r>
        <w:separator/>
      </w:r>
    </w:p>
  </w:endnote>
  <w:endnote w:type="continuationSeparator" w:id="1">
    <w:p w:rsidR="0062353F" w:rsidRDefault="0062353F" w:rsidP="0062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3F" w:rsidRDefault="0062353F" w:rsidP="0062353F">
    <w:pPr>
      <w:pStyle w:val="Footer"/>
      <w:jc w:val="center"/>
    </w:pPr>
    <w:r>
      <w:t>F-</w:t>
    </w:r>
    <w:sdt>
      <w:sdtPr>
        <w:id w:val="174006334"/>
        <w:docPartObj>
          <w:docPartGallery w:val="Page Numbers (Bottom of Page)"/>
          <w:docPartUnique/>
        </w:docPartObj>
      </w:sdtPr>
      <w:sdtContent>
        <w:r>
          <w:t>86</w:t>
        </w:r>
      </w:sdtContent>
    </w:sdt>
  </w:p>
  <w:p w:rsidR="0062353F" w:rsidRDefault="006235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3F" w:rsidRDefault="0062353F" w:rsidP="0062353F">
      <w:r>
        <w:separator/>
      </w:r>
    </w:p>
  </w:footnote>
  <w:footnote w:type="continuationSeparator" w:id="1">
    <w:p w:rsidR="0062353F" w:rsidRDefault="0062353F" w:rsidP="0062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3F" w:rsidRDefault="0062353F">
    <w:pPr>
      <w:pStyle w:val="Header"/>
    </w:pPr>
    <w:r>
      <w:t>Appendix F Table 11. Fracture Outcomes of Placebo-Controlled Primary Prevention Trials of Risedronate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53F"/>
    <w:rsid w:val="0062353F"/>
    <w:rsid w:val="00DB76EC"/>
    <w:rsid w:val="00E1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3F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62353F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62353F"/>
    <w:rPr>
      <w:rFonts w:ascii="Arial" w:eastAsia="Calibri" w:hAnsi="Arial" w:cs="Arial"/>
      <w:sz w:val="18"/>
      <w:szCs w:val="18"/>
    </w:rPr>
  </w:style>
  <w:style w:type="paragraph" w:customStyle="1" w:styleId="AppTableNote">
    <w:name w:val="AppTableNote"/>
    <w:basedOn w:val="Normal"/>
    <w:qFormat/>
    <w:rsid w:val="0062353F"/>
    <w:pPr>
      <w:spacing w:after="120"/>
      <w:contextualSpacing/>
    </w:pPr>
    <w:rPr>
      <w:rFonts w:ascii="Arial" w:hAnsi="Arial"/>
      <w:bCs/>
      <w:sz w:val="18"/>
      <w:szCs w:val="24"/>
    </w:rPr>
  </w:style>
  <w:style w:type="table" w:styleId="TableGrid">
    <w:name w:val="Table Grid"/>
    <w:basedOn w:val="TableNormal"/>
    <w:uiPriority w:val="59"/>
    <w:rsid w:val="0062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3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53F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23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3F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Siva</cp:lastModifiedBy>
  <cp:revision>1</cp:revision>
  <dcterms:created xsi:type="dcterms:W3CDTF">2018-09-08T09:56:00Z</dcterms:created>
  <dcterms:modified xsi:type="dcterms:W3CDTF">2018-09-08T09:58:00Z</dcterms:modified>
</cp:coreProperties>
</file>