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980"/>
        <w:gridCol w:w="1710"/>
        <w:gridCol w:w="2700"/>
        <w:gridCol w:w="5108"/>
        <w:gridCol w:w="827"/>
      </w:tblGrid>
      <w:tr w:rsidR="00C2726A" w:rsidRPr="00C2726A" w:rsidTr="00C2726A">
        <w:trPr>
          <w:trHeight w:val="260"/>
        </w:trPr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Design</w:t>
            </w: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Purpose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Study</w:t>
            </w: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Country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</w:t>
            </w: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Duration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Followup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bottom"/>
            <w:hideMark/>
          </w:tcPr>
          <w:p w:rsidR="00C2726A" w:rsidRPr="00C2726A" w:rsidRDefault="00C2726A" w:rsidP="00C2726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C2726A" w:rsidRPr="00C2726A" w:rsidTr="00C2726A">
        <w:trPr>
          <w:trHeight w:val="3059"/>
        </w:trPr>
        <w:tc>
          <w:tcPr>
            <w:tcW w:w="1530" w:type="dxa"/>
            <w:shd w:val="clear" w:color="auto" w:fill="auto"/>
            <w:hideMark/>
          </w:tcPr>
          <w:p w:rsidR="00C2726A" w:rsidRPr="00C2726A" w:rsidRDefault="00C2726A" w:rsidP="00C2726A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Coleman, 2006</w:t>
            </w:r>
            <w:r w:rsidRPr="00C2726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1980" w:type="dxa"/>
            <w:shd w:val="clear" w:color="auto" w:fill="auto"/>
            <w:hideMark/>
          </w:tcPr>
          <w:p w:rsid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To evaluate the benefits of eyeglasses and magnifiers in elderly patients with uncorrected refractive error </w:t>
            </w:r>
          </w:p>
          <w:p w:rsidR="00C2726A" w:rsidRP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U.S.</w:t>
            </w:r>
          </w:p>
        </w:tc>
        <w:tc>
          <w:tcPr>
            <w:tcW w:w="1710" w:type="dxa"/>
            <w:shd w:val="clear" w:color="auto" w:fill="auto"/>
            <w:hideMark/>
          </w:tcPr>
          <w:p w:rsid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N=131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Mean age 80.4 years (SD 8.2)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72% female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63%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hite; 18%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lack; 8% Asian; 3% Hispanic; 8%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ther </w:t>
            </w:r>
          </w:p>
          <w:p w:rsidR="00C2726A" w:rsidRP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Mean baseline visual acuity 20/63</w:t>
            </w:r>
          </w:p>
        </w:tc>
        <w:tc>
          <w:tcPr>
            <w:tcW w:w="2700" w:type="dxa"/>
            <w:shd w:val="clear" w:color="auto" w:fill="auto"/>
            <w:hideMark/>
          </w:tcPr>
          <w:p w:rsidR="00C2726A" w:rsidRDefault="00C2726A" w:rsidP="00C2726A">
            <w:pPr>
              <w:ind w:right="-1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Intervention group: Received vision correction aids immediately (glasses, magnifier or both)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Control group: Received a voucher and prescription to obtain vision correction aids at the conclusion of the trial (3 months later) </w:t>
            </w:r>
          </w:p>
          <w:p w:rsidR="00C2726A" w:rsidRPr="00C2726A" w:rsidRDefault="00C2726A" w:rsidP="00C2726A">
            <w:pPr>
              <w:ind w:right="-1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3-month followup</w:t>
            </w:r>
          </w:p>
        </w:tc>
        <w:tc>
          <w:tcPr>
            <w:tcW w:w="5108" w:type="dxa"/>
            <w:shd w:val="clear" w:color="auto" w:fill="auto"/>
            <w:hideMark/>
          </w:tcPr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Mean change from baseline at 3 months, with glasses vs. without glasses </w:t>
            </w:r>
          </w:p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National Eye Institute Visual Functioning Questionnaire: Composite score: 6.5 (SD 9.3) vs. -0.8 (SD 10.8); p&lt;0.01 Selected individual components: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General health: 4.2 (SD 18.0) vs. -0.4 (SD 17.4); p=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.17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General vision: 10.4 (SD 18.2) vs. -2.1 (SD 14.0); p&lt;0.01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Near vision: 7.6 (SD 19.1) vs. 0.4 (SD 17.4); p=0.04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Distance vision: 3.3 (SD 23.2) vs. -6.3 (SD 22.7); p=0.03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Social functioning: 4.5 (SD 21.0) vs. -0.9 (SD 19.6); p=0.17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Mental health: 11.2 (SD 25.3) vs. 0.4 (SD 24.2); p=0.02 </w:t>
            </w:r>
          </w:p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GDS score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 -0.3 (SD 1.9) vs. -0.1 (SD 2.1); p=0.58 </w:t>
            </w:r>
          </w:p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Rosow-Breslau functioning scale: 0.07 (SD 1.3) vs. -0.4 (SD 1.4); p=0.07 </w:t>
            </w:r>
          </w:p>
          <w:p w:rsidR="00C2726A" w:rsidRP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Distance visual acuity: 5.5 (SD 10.0) vs. 3.9 (10.4); p=0.41 Near visual acuity: 6.1 (SD 13.3) vs. 2.2 (SD 11.4); p=0.10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C2726A" w:rsidRPr="00C2726A" w:rsidRDefault="00C2726A" w:rsidP="00C272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C2726A" w:rsidRPr="00C2726A" w:rsidTr="00C2726A">
        <w:trPr>
          <w:trHeight w:val="3059"/>
        </w:trPr>
        <w:tc>
          <w:tcPr>
            <w:tcW w:w="1530" w:type="dxa"/>
            <w:shd w:val="clear" w:color="auto" w:fill="auto"/>
            <w:hideMark/>
          </w:tcPr>
          <w:p w:rsidR="00C2726A" w:rsidRPr="00C2726A" w:rsidRDefault="00C2726A" w:rsidP="00C2726A">
            <w:pPr>
              <w:ind w:right="-8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Owsley, 2007</w:t>
            </w:r>
            <w:r w:rsidRPr="00C2726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980" w:type="dxa"/>
            <w:shd w:val="clear" w:color="auto" w:fill="auto"/>
            <w:hideMark/>
          </w:tcPr>
          <w:p w:rsidR="00C2726A" w:rsidRP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To examine the effect of treating uncorrected refractive error through spectacle correction on vision-targeted health-related quality of life and depressive symptoms in nursing home residents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U.S.</w:t>
            </w:r>
          </w:p>
        </w:tc>
        <w:tc>
          <w:tcPr>
            <w:tcW w:w="1710" w:type="dxa"/>
            <w:shd w:val="clear" w:color="auto" w:fill="auto"/>
            <w:hideMark/>
          </w:tcPr>
          <w:p w:rsidR="00C2726A" w:rsidRP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N=151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Mean age 78.7 years (SD 8.3)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76% female</w:t>
            </w:r>
          </w:p>
        </w:tc>
        <w:tc>
          <w:tcPr>
            <w:tcW w:w="2700" w:type="dxa"/>
            <w:shd w:val="clear" w:color="auto" w:fill="auto"/>
            <w:hideMark/>
          </w:tcPr>
          <w:p w:rsidR="00C2726A" w:rsidRPr="00C2726A" w:rsidRDefault="00C2726A" w:rsidP="00C2726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Immediate (within 1 week) refractive error correction with glasses vs. delayed correction (glasses dispensed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months later)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2-month follow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up</w:t>
            </w:r>
          </w:p>
        </w:tc>
        <w:tc>
          <w:tcPr>
            <w:tcW w:w="5108" w:type="dxa"/>
            <w:shd w:val="clear" w:color="auto" w:fill="auto"/>
            <w:hideMark/>
          </w:tcPr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Immediate vs delayed correction at 2 months: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NHVQoL subscale score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range 0-100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):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General vision: 77.3 vs. 65.0; p&lt;0.001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Reading: 92.9 vs. 84.7; p&lt;0.001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Ocular symptoms: 81.4 vs. 78.3; p=0.23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obility: 91.5 vs. 90.0; p=0.24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Psychological distress: 76.0 vs. 70.7; p=0.02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Activities of daily living: 99.7 vs. 99.1; p=0.17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Activities and hobbies: 98.0 vs. 94.0; p=0.04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Adaptation and coping: 92.4 vs. 90.0; p=0.11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Social interaction: 97.3 vs. 94.1; p=0.03</w:t>
            </w:r>
          </w:p>
          <w:p w:rsid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VF-14 total score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range 0-100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95.7 vs. 83.1; p&lt;0.001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SF-36 score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range 0-100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</w:p>
          <w:p w:rsidR="00C2726A" w:rsidRDefault="00C2726A" w:rsidP="00C2726A">
            <w:pPr>
              <w:ind w:left="162"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Mental component summary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 81.9 vs. 80.8; p=0.96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br/>
              <w:t>Physical component summary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 47.6 vs. 46.1; p=0.24</w:t>
            </w:r>
          </w:p>
          <w:p w:rsidR="00C2726A" w:rsidRPr="00C2726A" w:rsidRDefault="00C2726A" w:rsidP="00C2726A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GDS score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C2726A">
              <w:rPr>
                <w:rFonts w:ascii="Arial" w:eastAsia="Times New Roman" w:hAnsi="Arial" w:cs="Arial"/>
                <w:sz w:val="18"/>
                <w:szCs w:val="18"/>
              </w:rPr>
              <w:t xml:space="preserve"> 3.6 vs. 4.9; p=0.003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C2726A" w:rsidRPr="00C2726A" w:rsidRDefault="00C2726A" w:rsidP="00C272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2726A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</w:tbl>
    <w:p w:rsidR="009267E8" w:rsidRDefault="00C2726A" w:rsidP="000A77F5">
      <w:pPr>
        <w:rPr>
          <w:rFonts w:ascii="Arial" w:hAnsi="Arial" w:cs="Arial"/>
          <w:sz w:val="18"/>
          <w:szCs w:val="18"/>
        </w:rPr>
      </w:pPr>
      <w:r w:rsidRPr="00C2726A">
        <w:rPr>
          <w:rFonts w:ascii="Arial" w:hAnsi="Arial" w:cs="Arial"/>
          <w:b/>
          <w:sz w:val="18"/>
          <w:szCs w:val="18"/>
        </w:rPr>
        <w:t>Abbreviations:</w:t>
      </w:r>
      <w:r w:rsidRPr="00C2726A">
        <w:rPr>
          <w:rFonts w:ascii="Arial" w:hAnsi="Arial" w:cs="Arial"/>
          <w:sz w:val="18"/>
          <w:szCs w:val="18"/>
        </w:rPr>
        <w:t xml:space="preserve"> GDS = Geriatric Depression Scale</w:t>
      </w:r>
      <w:r>
        <w:rPr>
          <w:rFonts w:ascii="Arial" w:hAnsi="Arial" w:cs="Arial"/>
          <w:sz w:val="18"/>
          <w:szCs w:val="18"/>
        </w:rPr>
        <w:t>;</w:t>
      </w:r>
      <w:r w:rsidRPr="00C2726A">
        <w:rPr>
          <w:rFonts w:ascii="Arial" w:hAnsi="Arial" w:cs="Arial"/>
          <w:sz w:val="18"/>
          <w:szCs w:val="18"/>
        </w:rPr>
        <w:t xml:space="preserve"> NHVQoL = Nursing Home Vision-Targeted Health-Related Quality of Life Questionnaire</w:t>
      </w:r>
      <w:r w:rsidR="005E04B8">
        <w:rPr>
          <w:rFonts w:ascii="Arial" w:hAnsi="Arial" w:cs="Arial"/>
          <w:sz w:val="18"/>
          <w:szCs w:val="18"/>
        </w:rPr>
        <w:t>;</w:t>
      </w:r>
      <w:r w:rsidRPr="00C2726A">
        <w:rPr>
          <w:rFonts w:ascii="Arial" w:hAnsi="Arial" w:cs="Arial"/>
          <w:sz w:val="18"/>
          <w:szCs w:val="18"/>
        </w:rPr>
        <w:t xml:space="preserve"> SD = standard deviation</w:t>
      </w:r>
      <w:r w:rsidR="005E04B8">
        <w:rPr>
          <w:rFonts w:ascii="Arial" w:hAnsi="Arial" w:cs="Arial"/>
          <w:sz w:val="18"/>
          <w:szCs w:val="18"/>
        </w:rPr>
        <w:t>;</w:t>
      </w:r>
      <w:r w:rsidRPr="00C2726A">
        <w:rPr>
          <w:rFonts w:ascii="Arial" w:hAnsi="Arial" w:cs="Arial"/>
          <w:sz w:val="18"/>
          <w:szCs w:val="18"/>
        </w:rPr>
        <w:t xml:space="preserve"> RCT = randomized controlled trial</w:t>
      </w:r>
      <w:r w:rsidR="005E04B8">
        <w:rPr>
          <w:rFonts w:ascii="Arial" w:hAnsi="Arial" w:cs="Arial"/>
          <w:sz w:val="18"/>
          <w:szCs w:val="18"/>
        </w:rPr>
        <w:t>;</w:t>
      </w:r>
      <w:r w:rsidRPr="00C2726A">
        <w:rPr>
          <w:rFonts w:ascii="Arial" w:hAnsi="Arial" w:cs="Arial"/>
          <w:sz w:val="18"/>
          <w:szCs w:val="18"/>
        </w:rPr>
        <w:t xml:space="preserve"> SF-36 = Short</w:t>
      </w:r>
      <w:r w:rsidR="005E04B8">
        <w:rPr>
          <w:rFonts w:ascii="Arial" w:hAnsi="Arial" w:cs="Arial"/>
          <w:sz w:val="18"/>
          <w:szCs w:val="18"/>
        </w:rPr>
        <w:t>-</w:t>
      </w:r>
      <w:r w:rsidRPr="00C2726A">
        <w:rPr>
          <w:rFonts w:ascii="Arial" w:hAnsi="Arial" w:cs="Arial"/>
          <w:sz w:val="18"/>
          <w:szCs w:val="18"/>
        </w:rPr>
        <w:t>Form Health Survey 36</w:t>
      </w:r>
      <w:r w:rsidR="005E04B8">
        <w:rPr>
          <w:rFonts w:ascii="Arial" w:hAnsi="Arial" w:cs="Arial"/>
          <w:sz w:val="18"/>
          <w:szCs w:val="18"/>
        </w:rPr>
        <w:t>-item;</w:t>
      </w:r>
      <w:r w:rsidRPr="00C2726A">
        <w:rPr>
          <w:rFonts w:ascii="Arial" w:hAnsi="Arial" w:cs="Arial"/>
          <w:sz w:val="18"/>
          <w:szCs w:val="18"/>
        </w:rPr>
        <w:t xml:space="preserve"> VF-14 = Visual Function (14 Questions).</w:t>
      </w:r>
    </w:p>
    <w:sectPr w:rsidR="009267E8" w:rsidSect="000A77F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8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41" w:rsidRDefault="00CD1E41">
      <w:r>
        <w:separator/>
      </w:r>
    </w:p>
  </w:endnote>
  <w:endnote w:type="continuationSeparator" w:id="1">
    <w:p w:rsidR="00CD1E41" w:rsidRDefault="00CD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F5" w:rsidRDefault="000A77F5" w:rsidP="000A77F5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82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41" w:rsidRDefault="00CD1E41">
      <w:r>
        <w:separator/>
      </w:r>
    </w:p>
  </w:footnote>
  <w:footnote w:type="continuationSeparator" w:id="1">
    <w:p w:rsidR="00CD1E41" w:rsidRDefault="00CD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0A77F5" w:rsidP="00407404">
    <w:pPr>
      <w:pStyle w:val="Header"/>
    </w:pPr>
    <w:r w:rsidRPr="00C2726A">
      <w:rPr>
        <w:rFonts w:ascii="Arial" w:hAnsi="Arial" w:cs="Arial"/>
        <w:b/>
        <w:sz w:val="20"/>
        <w:szCs w:val="20"/>
      </w:rPr>
      <w:t>Appendix B4. Trials of Treatment of Uncorrected Refractive Error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A77F5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67E4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CD1E41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2016-03-10T04:22:00Z</dcterms:modified>
</cp:coreProperties>
</file>