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3275" w:type="dxa"/>
        <w:tblLayout w:type="fixed"/>
        <w:tblLook w:val="04A0" w:firstRow="1" w:lastRow="0" w:firstColumn="1" w:lastColumn="0" w:noHBand="0" w:noVBand="1"/>
      </w:tblPr>
      <w:tblGrid>
        <w:gridCol w:w="1107"/>
        <w:gridCol w:w="1251"/>
        <w:gridCol w:w="2070"/>
        <w:gridCol w:w="1350"/>
        <w:gridCol w:w="1080"/>
        <w:gridCol w:w="4950"/>
        <w:gridCol w:w="1467"/>
      </w:tblGrid>
      <w:tr w:rsidR="0022127B" w:rsidRPr="0022127B" w:rsidTr="0038150E">
        <w:trPr>
          <w:cantSplit/>
          <w:tblHeader/>
        </w:trPr>
        <w:tc>
          <w:tcPr>
            <w:tcW w:w="1107" w:type="dxa"/>
            <w:shd w:val="clear" w:color="auto" w:fill="D9D9D9" w:themeFill="background1" w:themeFillShade="D9"/>
            <w:vAlign w:val="bottom"/>
            <w:hideMark/>
          </w:tcPr>
          <w:p w:rsidR="0022127B" w:rsidRPr="0022127B" w:rsidRDefault="0022127B" w:rsidP="0022127B">
            <w:pPr>
              <w:rPr>
                <w:rFonts w:ascii="Arial" w:hAnsi="Arial" w:cs="Arial"/>
                <w:b/>
                <w:bCs/>
                <w:color w:val="000000"/>
                <w:sz w:val="18"/>
                <w:szCs w:val="18"/>
              </w:rPr>
            </w:pPr>
            <w:r w:rsidRPr="0022127B">
              <w:rPr>
                <w:rFonts w:ascii="Arial" w:hAnsi="Arial" w:cs="Arial"/>
                <w:b/>
                <w:bCs/>
                <w:color w:val="000000"/>
                <w:sz w:val="18"/>
                <w:szCs w:val="18"/>
              </w:rPr>
              <w:t>Author, year</w:t>
            </w:r>
          </w:p>
        </w:tc>
        <w:tc>
          <w:tcPr>
            <w:tcW w:w="1251" w:type="dxa"/>
            <w:shd w:val="clear" w:color="auto" w:fill="D9D9D9" w:themeFill="background1" w:themeFillShade="D9"/>
            <w:vAlign w:val="bottom"/>
            <w:hideMark/>
          </w:tcPr>
          <w:p w:rsidR="0022127B" w:rsidRPr="0022127B" w:rsidRDefault="0022127B" w:rsidP="0022127B">
            <w:pPr>
              <w:jc w:val="center"/>
              <w:rPr>
                <w:rFonts w:ascii="Arial" w:hAnsi="Arial" w:cs="Arial"/>
                <w:b/>
                <w:bCs/>
                <w:color w:val="000000"/>
                <w:sz w:val="18"/>
                <w:szCs w:val="18"/>
              </w:rPr>
            </w:pPr>
            <w:r w:rsidRPr="0022127B">
              <w:rPr>
                <w:rFonts w:ascii="Arial" w:hAnsi="Arial" w:cs="Arial"/>
                <w:b/>
                <w:bCs/>
                <w:color w:val="000000"/>
                <w:sz w:val="18"/>
                <w:szCs w:val="18"/>
              </w:rPr>
              <w:t>Study design</w:t>
            </w:r>
          </w:p>
        </w:tc>
        <w:tc>
          <w:tcPr>
            <w:tcW w:w="2070" w:type="dxa"/>
            <w:shd w:val="clear" w:color="auto" w:fill="D9D9D9" w:themeFill="background1" w:themeFillShade="D9"/>
            <w:vAlign w:val="bottom"/>
            <w:hideMark/>
          </w:tcPr>
          <w:p w:rsidR="0022127B" w:rsidRDefault="0022127B" w:rsidP="0022127B">
            <w:pPr>
              <w:ind w:left="-108" w:right="-106"/>
              <w:jc w:val="center"/>
              <w:rPr>
                <w:rFonts w:ascii="Arial" w:hAnsi="Arial" w:cs="Arial"/>
                <w:b/>
                <w:bCs/>
                <w:color w:val="000000"/>
                <w:sz w:val="18"/>
                <w:szCs w:val="18"/>
              </w:rPr>
            </w:pPr>
            <w:r w:rsidRPr="0022127B">
              <w:rPr>
                <w:rFonts w:ascii="Arial" w:hAnsi="Arial" w:cs="Arial"/>
                <w:b/>
                <w:bCs/>
                <w:color w:val="000000"/>
                <w:sz w:val="18"/>
                <w:szCs w:val="18"/>
              </w:rPr>
              <w:t xml:space="preserve">Age, </w:t>
            </w:r>
            <w:r w:rsidRPr="0022127B">
              <w:rPr>
                <w:rFonts w:ascii="Arial" w:hAnsi="Arial" w:cs="Arial"/>
                <w:b/>
                <w:bCs/>
                <w:i/>
                <w:color w:val="000000"/>
                <w:sz w:val="18"/>
                <w:szCs w:val="18"/>
              </w:rPr>
              <w:t>years</w:t>
            </w:r>
            <w:r w:rsidRPr="0022127B">
              <w:rPr>
                <w:rFonts w:ascii="Arial" w:hAnsi="Arial" w:cs="Arial"/>
                <w:b/>
                <w:bCs/>
                <w:color w:val="000000"/>
                <w:sz w:val="18"/>
                <w:szCs w:val="18"/>
              </w:rPr>
              <w:t xml:space="preserve"> (mean or </w:t>
            </w:r>
          </w:p>
          <w:p w:rsidR="0022127B" w:rsidRPr="0022127B" w:rsidRDefault="0022127B" w:rsidP="0022127B">
            <w:pPr>
              <w:ind w:left="-108" w:right="-106"/>
              <w:jc w:val="center"/>
              <w:rPr>
                <w:rFonts w:ascii="Arial" w:hAnsi="Arial" w:cs="Arial"/>
                <w:b/>
                <w:bCs/>
                <w:color w:val="000000"/>
                <w:sz w:val="18"/>
                <w:szCs w:val="18"/>
              </w:rPr>
            </w:pPr>
            <w:r w:rsidRPr="0022127B">
              <w:rPr>
                <w:rFonts w:ascii="Arial" w:hAnsi="Arial" w:cs="Arial"/>
                <w:b/>
                <w:bCs/>
                <w:color w:val="000000"/>
                <w:sz w:val="18"/>
                <w:szCs w:val="18"/>
              </w:rPr>
              <w:t>%); setting; population</w:t>
            </w:r>
          </w:p>
        </w:tc>
        <w:tc>
          <w:tcPr>
            <w:tcW w:w="1350" w:type="dxa"/>
            <w:shd w:val="clear" w:color="auto" w:fill="D9D9D9" w:themeFill="background1" w:themeFillShade="D9"/>
            <w:vAlign w:val="bottom"/>
            <w:hideMark/>
          </w:tcPr>
          <w:p w:rsidR="0022127B" w:rsidRPr="0022127B" w:rsidRDefault="0022127B" w:rsidP="0022127B">
            <w:pPr>
              <w:ind w:left="-108" w:right="-108"/>
              <w:jc w:val="center"/>
              <w:rPr>
                <w:rFonts w:ascii="Arial" w:hAnsi="Arial" w:cs="Arial"/>
                <w:b/>
                <w:bCs/>
                <w:color w:val="000000"/>
                <w:sz w:val="18"/>
                <w:szCs w:val="18"/>
              </w:rPr>
            </w:pPr>
            <w:r w:rsidRPr="0022127B">
              <w:rPr>
                <w:rFonts w:ascii="Arial" w:hAnsi="Arial" w:cs="Arial"/>
                <w:b/>
                <w:bCs/>
                <w:color w:val="000000"/>
                <w:sz w:val="18"/>
                <w:szCs w:val="18"/>
              </w:rPr>
              <w:t>Comparisons</w:t>
            </w:r>
          </w:p>
        </w:tc>
        <w:tc>
          <w:tcPr>
            <w:tcW w:w="1080" w:type="dxa"/>
            <w:shd w:val="clear" w:color="auto" w:fill="D9D9D9" w:themeFill="background1" w:themeFillShade="D9"/>
            <w:vAlign w:val="bottom"/>
            <w:hideMark/>
          </w:tcPr>
          <w:p w:rsidR="0022127B" w:rsidRPr="0022127B" w:rsidRDefault="0022127B" w:rsidP="0022127B">
            <w:pPr>
              <w:jc w:val="center"/>
              <w:rPr>
                <w:rFonts w:ascii="Arial" w:hAnsi="Arial" w:cs="Arial"/>
                <w:b/>
                <w:bCs/>
                <w:color w:val="000000"/>
                <w:sz w:val="18"/>
                <w:szCs w:val="18"/>
              </w:rPr>
            </w:pPr>
            <w:r w:rsidRPr="0022127B">
              <w:rPr>
                <w:rFonts w:ascii="Arial" w:hAnsi="Arial" w:cs="Arial"/>
                <w:b/>
                <w:bCs/>
                <w:color w:val="000000"/>
                <w:sz w:val="18"/>
                <w:szCs w:val="18"/>
              </w:rPr>
              <w:t>Measures</w:t>
            </w:r>
          </w:p>
        </w:tc>
        <w:tc>
          <w:tcPr>
            <w:tcW w:w="4950" w:type="dxa"/>
            <w:shd w:val="clear" w:color="auto" w:fill="D9D9D9" w:themeFill="background1" w:themeFillShade="D9"/>
            <w:vAlign w:val="bottom"/>
            <w:hideMark/>
          </w:tcPr>
          <w:p w:rsidR="0022127B" w:rsidRPr="0022127B" w:rsidRDefault="0022127B" w:rsidP="0022127B">
            <w:pPr>
              <w:jc w:val="center"/>
              <w:rPr>
                <w:rFonts w:ascii="Arial" w:hAnsi="Arial" w:cs="Arial"/>
                <w:b/>
                <w:bCs/>
                <w:color w:val="000000"/>
                <w:sz w:val="18"/>
                <w:szCs w:val="18"/>
              </w:rPr>
            </w:pPr>
            <w:r w:rsidRPr="0022127B">
              <w:rPr>
                <w:rFonts w:ascii="Arial" w:hAnsi="Arial" w:cs="Arial"/>
                <w:b/>
                <w:bCs/>
                <w:color w:val="000000"/>
                <w:sz w:val="18"/>
                <w:szCs w:val="18"/>
              </w:rPr>
              <w:t>Outcomes</w:t>
            </w:r>
          </w:p>
        </w:tc>
        <w:tc>
          <w:tcPr>
            <w:tcW w:w="1467" w:type="dxa"/>
            <w:shd w:val="clear" w:color="auto" w:fill="D9D9D9" w:themeFill="background1" w:themeFillShade="D9"/>
            <w:vAlign w:val="bottom"/>
            <w:hideMark/>
          </w:tcPr>
          <w:p w:rsidR="0022127B" w:rsidRPr="0022127B" w:rsidRDefault="0022127B" w:rsidP="0022127B">
            <w:pPr>
              <w:jc w:val="center"/>
              <w:rPr>
                <w:rFonts w:ascii="Arial" w:hAnsi="Arial" w:cs="Arial"/>
                <w:b/>
                <w:bCs/>
                <w:color w:val="000000"/>
                <w:sz w:val="18"/>
                <w:szCs w:val="18"/>
              </w:rPr>
            </w:pPr>
            <w:r w:rsidRPr="0022127B">
              <w:rPr>
                <w:rFonts w:ascii="Arial" w:hAnsi="Arial" w:cs="Arial"/>
                <w:b/>
                <w:bCs/>
                <w:color w:val="000000"/>
                <w:sz w:val="18"/>
                <w:szCs w:val="18"/>
              </w:rPr>
              <w:t>Quality rating; limitations</w:t>
            </w:r>
          </w:p>
        </w:tc>
      </w:tr>
      <w:tr w:rsidR="0022127B" w:rsidRPr="0022127B" w:rsidTr="0038150E">
        <w:trPr>
          <w:cantSplit/>
          <w:trHeight w:val="1331"/>
        </w:trPr>
        <w:tc>
          <w:tcPr>
            <w:tcW w:w="1107" w:type="dxa"/>
            <w:hideMark/>
          </w:tcPr>
          <w:p w:rsidR="0022127B" w:rsidRPr="0022127B" w:rsidRDefault="0022127B" w:rsidP="008F21F3">
            <w:pPr>
              <w:ind w:right="-99"/>
              <w:rPr>
                <w:rFonts w:ascii="Arial" w:hAnsi="Arial" w:cs="Arial"/>
                <w:color w:val="000000"/>
                <w:sz w:val="18"/>
                <w:szCs w:val="18"/>
              </w:rPr>
            </w:pPr>
            <w:r w:rsidRPr="0022127B">
              <w:rPr>
                <w:rFonts w:ascii="Arial" w:hAnsi="Arial" w:cs="Arial"/>
                <w:color w:val="000000"/>
                <w:sz w:val="18"/>
                <w:szCs w:val="18"/>
              </w:rPr>
              <w:t>Bredal et al, 2013</w:t>
            </w:r>
            <w:r w:rsidRPr="0022127B">
              <w:rPr>
                <w:rFonts w:ascii="Arial" w:hAnsi="Arial" w:cs="Arial"/>
                <w:noProof/>
                <w:color w:val="000000"/>
                <w:sz w:val="18"/>
                <w:szCs w:val="18"/>
                <w:vertAlign w:val="superscript"/>
              </w:rPr>
              <w:t>207</w:t>
            </w:r>
            <w:r w:rsidRPr="0022127B">
              <w:rPr>
                <w:rFonts w:ascii="Arial" w:hAnsi="Arial" w:cs="Arial"/>
                <w:color w:val="000000"/>
                <w:sz w:val="18"/>
                <w:szCs w:val="18"/>
              </w:rPr>
              <w:br/>
            </w:r>
          </w:p>
        </w:tc>
        <w:tc>
          <w:tcPr>
            <w:tcW w:w="1251"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Before-after study</w:t>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57.7; women recalled in a screening program in Oslo, Norway</w:t>
            </w:r>
          </w:p>
        </w:tc>
        <w:tc>
          <w:tcPr>
            <w:tcW w:w="13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 xml:space="preserve">FP (n=560) and TP (n=80) at recall vs. 4 weeks later </w:t>
            </w:r>
          </w:p>
        </w:tc>
        <w:tc>
          <w:tcPr>
            <w:tcW w:w="108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 xml:space="preserve">HADS (score </w:t>
            </w:r>
            <w:r w:rsidRPr="0022127B">
              <w:rPr>
                <w:rFonts w:ascii="Arial" w:eastAsia="MS Gothic" w:hAnsi="Arial" w:cs="Arial"/>
                <w:color w:val="000000"/>
                <w:sz w:val="18"/>
                <w:szCs w:val="18"/>
              </w:rPr>
              <w:t>≥11)</w:t>
            </w:r>
            <w:r w:rsidRPr="0022127B">
              <w:rPr>
                <w:rFonts w:ascii="Arial" w:hAnsi="Arial" w:cs="Arial"/>
                <w:color w:val="000000"/>
                <w:sz w:val="18"/>
                <w:szCs w:val="18"/>
              </w:rPr>
              <w:t xml:space="preserve"> </w:t>
            </w:r>
          </w:p>
        </w:tc>
        <w:tc>
          <w:tcPr>
            <w:tcW w:w="4950" w:type="dxa"/>
            <w:hideMark/>
          </w:tcPr>
          <w:p w:rsidR="0022127B" w:rsidRPr="0022127B" w:rsidRDefault="0022127B" w:rsidP="0022127B">
            <w:pPr>
              <w:ind w:right="-89"/>
              <w:rPr>
                <w:rFonts w:ascii="Arial" w:hAnsi="Arial" w:cs="Arial"/>
                <w:b/>
                <w:sz w:val="18"/>
                <w:szCs w:val="18"/>
              </w:rPr>
            </w:pPr>
            <w:r w:rsidRPr="0022127B">
              <w:rPr>
                <w:rFonts w:ascii="Arial" w:hAnsi="Arial" w:cs="Arial"/>
                <w:b/>
                <w:sz w:val="18"/>
                <w:szCs w:val="18"/>
              </w:rPr>
              <w:t xml:space="preserve">Recall vs. 4 weeks later:  </w:t>
            </w:r>
            <w:r w:rsidRPr="0022127B">
              <w:rPr>
                <w:rFonts w:ascii="Arial" w:hAnsi="Arial" w:cs="Arial"/>
                <w:sz w:val="18"/>
                <w:szCs w:val="18"/>
              </w:rPr>
              <w:t>a</w:t>
            </w:r>
            <w:r w:rsidRPr="0022127B">
              <w:rPr>
                <w:rFonts w:ascii="Arial" w:hAnsi="Arial" w:cs="Arial"/>
                <w:color w:val="000000"/>
                <w:sz w:val="18"/>
                <w:szCs w:val="18"/>
              </w:rPr>
              <w:t>nxiety (% cases): FP 15% vs. 5.5% (NS), TP 19% vs. 16.7% (NS); depression (% cases): FP 1.4% vs. 1.3% (NS), TP 1.3% vs. 6.9% (NS).  Factors predicting anxiety or depression in multivariate models: low general life expectations, previous history of anxiety and/or depression, anxiety at baseline, satisfaction with information (predicts depression only).</w:t>
            </w:r>
          </w:p>
        </w:tc>
        <w:tc>
          <w:tcPr>
            <w:tcW w:w="1467" w:type="dxa"/>
            <w:hideMark/>
          </w:tcPr>
          <w:p w:rsidR="0022127B" w:rsidRPr="0022127B" w:rsidRDefault="0022127B" w:rsidP="0022127B">
            <w:pPr>
              <w:jc w:val="center"/>
              <w:rPr>
                <w:rFonts w:ascii="Arial" w:hAnsi="Arial" w:cs="Arial"/>
                <w:sz w:val="18"/>
                <w:szCs w:val="18"/>
              </w:rPr>
            </w:pPr>
            <w:r w:rsidRPr="0022127B">
              <w:rPr>
                <w:rFonts w:ascii="Arial" w:hAnsi="Arial" w:cs="Arial"/>
                <w:sz w:val="18"/>
                <w:szCs w:val="18"/>
              </w:rPr>
              <w:t>NA*</w:t>
            </w:r>
          </w:p>
        </w:tc>
      </w:tr>
      <w:tr w:rsidR="0022127B" w:rsidRPr="0022127B" w:rsidTr="0038150E">
        <w:trPr>
          <w:cantSplit/>
          <w:trHeight w:val="3590"/>
        </w:trPr>
        <w:tc>
          <w:tcPr>
            <w:tcW w:w="1107" w:type="dxa"/>
            <w:hideMark/>
          </w:tcPr>
          <w:p w:rsidR="0022127B" w:rsidRPr="0022127B" w:rsidRDefault="0022127B" w:rsidP="008F21F3">
            <w:pPr>
              <w:ind w:right="-99"/>
              <w:rPr>
                <w:rFonts w:ascii="Arial" w:hAnsi="Arial" w:cs="Arial"/>
                <w:color w:val="000000"/>
                <w:sz w:val="18"/>
                <w:szCs w:val="18"/>
              </w:rPr>
            </w:pPr>
            <w:r w:rsidRPr="0022127B">
              <w:rPr>
                <w:rFonts w:ascii="Arial" w:hAnsi="Arial" w:cs="Arial"/>
                <w:color w:val="000000"/>
                <w:sz w:val="18"/>
                <w:szCs w:val="18"/>
              </w:rPr>
              <w:t>Brodersen and Siersma, 2013</w:t>
            </w:r>
            <w:r w:rsidRPr="0022127B">
              <w:rPr>
                <w:rFonts w:ascii="Arial" w:hAnsi="Arial" w:cs="Arial"/>
                <w:noProof/>
                <w:color w:val="000000"/>
                <w:sz w:val="18"/>
                <w:szCs w:val="18"/>
                <w:vertAlign w:val="superscript"/>
              </w:rPr>
              <w:t>203</w:t>
            </w:r>
            <w:r w:rsidRPr="0022127B">
              <w:rPr>
                <w:rFonts w:ascii="Arial" w:hAnsi="Arial" w:cs="Arial"/>
                <w:color w:val="000000"/>
                <w:sz w:val="18"/>
                <w:szCs w:val="18"/>
              </w:rPr>
              <w:br/>
            </w:r>
          </w:p>
        </w:tc>
        <w:tc>
          <w:tcPr>
            <w:tcW w:w="1251"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Nested case-control</w:t>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28% 50-54, 32% 55-59, 23% 60-64, 17% ≥65; women in screening programs in Copenhagen and Funen, Denmark; cases=recalled; controls=normal results in the same clinic and day as cases</w:t>
            </w:r>
          </w:p>
        </w:tc>
        <w:tc>
          <w:tcPr>
            <w:tcW w:w="13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FP (n=272) vs. Normal screen (n=864) vs. TP (n=174)</w:t>
            </w:r>
          </w:p>
        </w:tc>
        <w:tc>
          <w:tcPr>
            <w:tcW w:w="1080"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COS-BC</w:t>
            </w:r>
          </w:p>
        </w:tc>
        <w:tc>
          <w:tcPr>
            <w:tcW w:w="4950" w:type="dxa"/>
            <w:hideMark/>
          </w:tcPr>
          <w:p w:rsidR="0022127B" w:rsidRPr="0022127B" w:rsidRDefault="0022127B" w:rsidP="0022127B">
            <w:pPr>
              <w:ind w:right="-89"/>
              <w:rPr>
                <w:rFonts w:ascii="Arial" w:hAnsi="Arial" w:cs="Arial"/>
                <w:b/>
                <w:bCs/>
                <w:color w:val="000000"/>
                <w:sz w:val="18"/>
                <w:szCs w:val="18"/>
              </w:rPr>
            </w:pPr>
            <w:r w:rsidRPr="0022127B">
              <w:rPr>
                <w:rFonts w:ascii="Arial" w:hAnsi="Arial" w:cs="Arial"/>
                <w:b/>
                <w:bCs/>
                <w:color w:val="000000"/>
                <w:sz w:val="18"/>
                <w:szCs w:val="18"/>
              </w:rPr>
              <w:t xml:space="preserve">After screening mammography: </w:t>
            </w:r>
            <w:r w:rsidRPr="0022127B">
              <w:rPr>
                <w:rFonts w:ascii="Arial" w:hAnsi="Arial" w:cs="Arial"/>
                <w:color w:val="000000"/>
                <w:sz w:val="18"/>
                <w:szCs w:val="18"/>
              </w:rPr>
              <w:t>Normal screen vs. FP and TP had significantly better scores on subscales for sense of dejection, anxiety, negative impact on behavior, sleep, or sexuality, breast examination, and on single items of feeling less attractive and keeping mind off things (p&lt;0.001 for all outcomes); no differences between FP and TP on any subscales.</w:t>
            </w:r>
            <w:r w:rsidRPr="0022127B">
              <w:rPr>
                <w:rFonts w:ascii="Arial" w:hAnsi="Arial" w:cs="Arial"/>
                <w:color w:val="000000"/>
                <w:sz w:val="18"/>
                <w:szCs w:val="18"/>
              </w:rPr>
              <w:br/>
            </w:r>
            <w:r w:rsidRPr="0022127B">
              <w:rPr>
                <w:rFonts w:ascii="Arial" w:hAnsi="Arial" w:cs="Arial"/>
                <w:b/>
                <w:bCs/>
                <w:color w:val="000000"/>
                <w:sz w:val="18"/>
                <w:szCs w:val="18"/>
              </w:rPr>
              <w:t>3 year followup:</w:t>
            </w:r>
            <w:r w:rsidRPr="0022127B">
              <w:rPr>
                <w:rFonts w:ascii="Arial" w:hAnsi="Arial" w:cs="Arial"/>
                <w:color w:val="000000"/>
                <w:sz w:val="18"/>
                <w:szCs w:val="18"/>
              </w:rPr>
              <w:t xml:space="preserve"> TP vs. FP and Normal screen had significantly worse scores on subscales of sense of dejection, anxiety, negative impact on behavior, sleep, or sexuality, social network, and on single items of feeling less attractive and keeping mind off things (p&lt;0.001 for all outcomes) and additional differences vs. Normal screen on subscales of inner calm, social networking, and existential values (p&lt;0.001 for all outcomes); FP vs. Normal screen had significantly worse scores on subscales for sense of dejection, anxiety, negative impact on behavior, sleep, or sexuality, breast examination, inner calm, social network, existential values, and on single items of feeling less attractive and keeping mind off things (p&lt;0.05). </w:t>
            </w:r>
          </w:p>
        </w:tc>
        <w:tc>
          <w:tcPr>
            <w:tcW w:w="1467" w:type="dxa"/>
            <w:hideMark/>
          </w:tcPr>
          <w:p w:rsidR="0022127B" w:rsidRPr="0022127B" w:rsidRDefault="0022127B" w:rsidP="0022127B">
            <w:pPr>
              <w:jc w:val="center"/>
              <w:rPr>
                <w:rFonts w:ascii="Arial" w:hAnsi="Arial" w:cs="Arial"/>
                <w:bCs/>
                <w:color w:val="000000"/>
                <w:sz w:val="18"/>
                <w:szCs w:val="18"/>
              </w:rPr>
            </w:pPr>
            <w:r w:rsidRPr="0022127B">
              <w:rPr>
                <w:rFonts w:ascii="Arial" w:hAnsi="Arial" w:cs="Arial"/>
                <w:bCs/>
                <w:color w:val="000000"/>
                <w:sz w:val="18"/>
                <w:szCs w:val="18"/>
              </w:rPr>
              <w:t>Good</w:t>
            </w:r>
          </w:p>
        </w:tc>
      </w:tr>
      <w:tr w:rsidR="0022127B" w:rsidRPr="0022127B" w:rsidTr="0038150E">
        <w:trPr>
          <w:cantSplit/>
          <w:trHeight w:val="1223"/>
        </w:trPr>
        <w:tc>
          <w:tcPr>
            <w:tcW w:w="1107" w:type="dxa"/>
            <w:hideMark/>
          </w:tcPr>
          <w:p w:rsidR="0022127B" w:rsidRPr="0022127B" w:rsidRDefault="0022127B" w:rsidP="008F21F3">
            <w:pPr>
              <w:ind w:right="-99"/>
              <w:rPr>
                <w:rFonts w:ascii="Arial" w:hAnsi="Arial" w:cs="Arial"/>
                <w:color w:val="000000"/>
                <w:sz w:val="18"/>
                <w:szCs w:val="18"/>
              </w:rPr>
            </w:pPr>
            <w:r w:rsidRPr="0022127B">
              <w:rPr>
                <w:rFonts w:ascii="Arial" w:hAnsi="Arial" w:cs="Arial"/>
                <w:color w:val="000000"/>
                <w:sz w:val="18"/>
                <w:szCs w:val="18"/>
              </w:rPr>
              <w:t xml:space="preserve">Espasa </w:t>
            </w:r>
            <w:r w:rsidR="008F21F3">
              <w:rPr>
                <w:rFonts w:ascii="Arial" w:hAnsi="Arial" w:cs="Arial"/>
                <w:color w:val="000000"/>
                <w:sz w:val="18"/>
                <w:szCs w:val="18"/>
              </w:rPr>
              <w:t>et al</w:t>
            </w:r>
            <w:r w:rsidRPr="0022127B">
              <w:rPr>
                <w:rFonts w:ascii="Arial" w:hAnsi="Arial" w:cs="Arial"/>
                <w:color w:val="000000"/>
                <w:sz w:val="18"/>
                <w:szCs w:val="18"/>
              </w:rPr>
              <w:t>, 2012</w:t>
            </w:r>
            <w:r w:rsidRPr="0022127B">
              <w:rPr>
                <w:rFonts w:ascii="Arial" w:hAnsi="Arial" w:cs="Arial"/>
                <w:noProof/>
                <w:color w:val="000000"/>
                <w:sz w:val="18"/>
                <w:szCs w:val="18"/>
                <w:vertAlign w:val="superscript"/>
              </w:rPr>
              <w:t>206</w:t>
            </w:r>
            <w:r w:rsidRPr="0022127B">
              <w:rPr>
                <w:rFonts w:ascii="Arial" w:hAnsi="Arial" w:cs="Arial"/>
                <w:color w:val="000000"/>
                <w:sz w:val="18"/>
                <w:szCs w:val="18"/>
              </w:rPr>
              <w:br/>
            </w:r>
          </w:p>
        </w:tc>
        <w:tc>
          <w:tcPr>
            <w:tcW w:w="1251"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Case-control</w:t>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55% 50-59, 45% 60-69; women in screening program in Spain; cases=FP; controls=TN matched on age, education, marital and working status, and previous mammograms</w:t>
            </w:r>
          </w:p>
        </w:tc>
        <w:tc>
          <w:tcPr>
            <w:tcW w:w="1350"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FP (n=100) vs. Normal screen (n=50)</w:t>
            </w:r>
          </w:p>
        </w:tc>
        <w:tc>
          <w:tcPr>
            <w:tcW w:w="1080"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HADS, structured interview</w:t>
            </w:r>
          </w:p>
        </w:tc>
        <w:tc>
          <w:tcPr>
            <w:tcW w:w="4950" w:type="dxa"/>
            <w:hideMark/>
          </w:tcPr>
          <w:p w:rsidR="0022127B" w:rsidRPr="0022127B" w:rsidRDefault="0022127B" w:rsidP="008F21F3">
            <w:pPr>
              <w:ind w:right="-89"/>
              <w:rPr>
                <w:rFonts w:ascii="Arial" w:hAnsi="Arial" w:cs="Arial"/>
                <w:b/>
                <w:bCs/>
                <w:color w:val="000000"/>
                <w:sz w:val="18"/>
                <w:szCs w:val="18"/>
              </w:rPr>
            </w:pPr>
            <w:r w:rsidRPr="0022127B">
              <w:rPr>
                <w:rFonts w:ascii="Arial" w:hAnsi="Arial" w:cs="Arial"/>
                <w:b/>
                <w:color w:val="000000"/>
                <w:sz w:val="18"/>
                <w:szCs w:val="18"/>
              </w:rPr>
              <w:t>After 22 days of followup:</w:t>
            </w:r>
            <w:r w:rsidRPr="0022127B">
              <w:rPr>
                <w:rFonts w:ascii="Arial" w:hAnsi="Arial" w:cs="Arial"/>
                <w:color w:val="000000"/>
                <w:sz w:val="18"/>
                <w:szCs w:val="18"/>
              </w:rPr>
              <w:t xml:space="preserve"> FP vs. Normal screen worried about having breast cancer (49% vs. 10%, p&lt;0.0001) and had worries that affected mood or daily activities (31% vs. 2%, p&lt;0.0001); but no differences in anxiety (11% vs. 14%, p=0.83) or depression (2% vs. 2%).</w:t>
            </w:r>
          </w:p>
        </w:tc>
        <w:tc>
          <w:tcPr>
            <w:tcW w:w="1467" w:type="dxa"/>
            <w:hideMark/>
          </w:tcPr>
          <w:p w:rsidR="0022127B" w:rsidRPr="0022127B" w:rsidRDefault="0022127B" w:rsidP="008F21F3">
            <w:pPr>
              <w:ind w:right="-81"/>
              <w:rPr>
                <w:rFonts w:ascii="Arial" w:hAnsi="Arial" w:cs="Arial"/>
                <w:color w:val="000000"/>
                <w:sz w:val="18"/>
                <w:szCs w:val="18"/>
              </w:rPr>
            </w:pPr>
            <w:r w:rsidRPr="0022127B">
              <w:rPr>
                <w:rFonts w:ascii="Arial" w:hAnsi="Arial" w:cs="Arial"/>
                <w:color w:val="000000"/>
                <w:sz w:val="18"/>
                <w:szCs w:val="18"/>
              </w:rPr>
              <w:t>Fair; enrolled selected group of women; 2:1 ratio of cases to controls; did not control for confounders</w:t>
            </w:r>
          </w:p>
        </w:tc>
      </w:tr>
      <w:tr w:rsidR="0022127B" w:rsidRPr="0022127B" w:rsidTr="0038150E">
        <w:trPr>
          <w:cantSplit/>
          <w:trHeight w:val="1745"/>
        </w:trPr>
        <w:tc>
          <w:tcPr>
            <w:tcW w:w="1107" w:type="dxa"/>
            <w:hideMark/>
          </w:tcPr>
          <w:p w:rsidR="0022127B" w:rsidRPr="0022127B" w:rsidRDefault="008F21F3" w:rsidP="008F21F3">
            <w:pPr>
              <w:ind w:right="-99"/>
              <w:rPr>
                <w:rFonts w:ascii="Arial" w:hAnsi="Arial" w:cs="Arial"/>
                <w:color w:val="000000"/>
                <w:sz w:val="18"/>
                <w:szCs w:val="18"/>
              </w:rPr>
            </w:pPr>
            <w:r>
              <w:rPr>
                <w:rFonts w:ascii="Arial" w:hAnsi="Arial" w:cs="Arial"/>
                <w:color w:val="000000"/>
                <w:sz w:val="18"/>
                <w:szCs w:val="18"/>
              </w:rPr>
              <w:lastRenderedPageBreak/>
              <w:t>Fitzpatrick et al</w:t>
            </w:r>
            <w:r w:rsidR="0022127B" w:rsidRPr="0022127B">
              <w:rPr>
                <w:rFonts w:ascii="Arial" w:hAnsi="Arial" w:cs="Arial"/>
                <w:color w:val="000000"/>
                <w:sz w:val="18"/>
                <w:szCs w:val="18"/>
              </w:rPr>
              <w:t>, 2011</w:t>
            </w:r>
            <w:r w:rsidR="0022127B" w:rsidRPr="0022127B">
              <w:rPr>
                <w:rFonts w:ascii="Arial" w:hAnsi="Arial" w:cs="Arial"/>
                <w:noProof/>
                <w:color w:val="000000"/>
                <w:sz w:val="18"/>
                <w:szCs w:val="18"/>
                <w:vertAlign w:val="superscript"/>
              </w:rPr>
              <w:t>200</w:t>
            </w:r>
          </w:p>
        </w:tc>
        <w:tc>
          <w:tcPr>
            <w:tcW w:w="1251" w:type="dxa"/>
            <w:hideMark/>
          </w:tcPr>
          <w:p w:rsidR="0022127B" w:rsidRPr="0022127B" w:rsidRDefault="0022127B" w:rsidP="0022127B">
            <w:pPr>
              <w:ind w:right="-108"/>
              <w:rPr>
                <w:rFonts w:ascii="Arial" w:hAnsi="Arial" w:cs="Arial"/>
                <w:color w:val="000000"/>
                <w:sz w:val="18"/>
                <w:szCs w:val="18"/>
              </w:rPr>
            </w:pPr>
            <w:r w:rsidRPr="0022127B">
              <w:rPr>
                <w:rFonts w:ascii="Arial" w:hAnsi="Arial" w:cs="Arial"/>
                <w:color w:val="000000"/>
                <w:sz w:val="18"/>
                <w:szCs w:val="18"/>
              </w:rPr>
              <w:t>Retrospective cohort</w:t>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Mean age: NR, range: 50-62; women screened through the National Breast Screening Programme in Ireland</w:t>
            </w:r>
          </w:p>
        </w:tc>
        <w:tc>
          <w:tcPr>
            <w:tcW w:w="13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FP (n=9,746) vs. Normal screen (n=148,589)</w:t>
            </w:r>
          </w:p>
        </w:tc>
        <w:tc>
          <w:tcPr>
            <w:tcW w:w="108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Re-attendance</w:t>
            </w:r>
          </w:p>
        </w:tc>
        <w:tc>
          <w:tcPr>
            <w:tcW w:w="4950" w:type="dxa"/>
            <w:hideMark/>
          </w:tcPr>
          <w:p w:rsidR="0022127B" w:rsidRPr="0022127B" w:rsidRDefault="0022127B" w:rsidP="008F21F3">
            <w:pPr>
              <w:ind w:right="-89"/>
              <w:rPr>
                <w:rFonts w:ascii="Arial" w:hAnsi="Arial" w:cs="Arial"/>
                <w:bCs/>
                <w:color w:val="000000"/>
                <w:sz w:val="18"/>
                <w:szCs w:val="18"/>
              </w:rPr>
            </w:pPr>
            <w:r w:rsidRPr="0022127B">
              <w:rPr>
                <w:rFonts w:ascii="Arial" w:hAnsi="Arial" w:cs="Arial"/>
                <w:b/>
                <w:bCs/>
                <w:color w:val="000000"/>
                <w:sz w:val="18"/>
                <w:szCs w:val="18"/>
              </w:rPr>
              <w:t xml:space="preserve">Rate of re-attendance: </w:t>
            </w:r>
            <w:r w:rsidRPr="0022127B">
              <w:rPr>
                <w:rFonts w:ascii="Arial" w:hAnsi="Arial" w:cs="Arial"/>
                <w:bCs/>
                <w:color w:val="000000"/>
                <w:sz w:val="18"/>
                <w:szCs w:val="18"/>
              </w:rPr>
              <w:t>90.7% vs. 89.0%, p&lt;0.001; age group 50-54 years: 91.0% vs. 89.6%, p&lt;0.001; age group 55-59 years: 90.4% vs. 88.7%, p&lt;0.001; age group 60-62 years: 90.4% vs. 87.4%, p&lt;0.001</w:t>
            </w:r>
          </w:p>
          <w:p w:rsidR="0022127B" w:rsidRPr="0022127B" w:rsidRDefault="0022127B" w:rsidP="008F21F3">
            <w:pPr>
              <w:ind w:right="-89"/>
              <w:rPr>
                <w:rFonts w:ascii="Arial" w:hAnsi="Arial" w:cs="Arial"/>
                <w:bCs/>
                <w:color w:val="000000"/>
                <w:sz w:val="18"/>
                <w:szCs w:val="18"/>
              </w:rPr>
            </w:pPr>
            <w:r w:rsidRPr="0022127B">
              <w:rPr>
                <w:rFonts w:ascii="Arial" w:hAnsi="Arial" w:cs="Arial"/>
                <w:b/>
                <w:bCs/>
                <w:color w:val="000000"/>
                <w:sz w:val="18"/>
                <w:szCs w:val="18"/>
              </w:rPr>
              <w:t xml:space="preserve">Adjusted OR of predictors of re-attendance (95% CI): </w:t>
            </w:r>
            <w:r w:rsidRPr="0022127B">
              <w:rPr>
                <w:rFonts w:ascii="Arial" w:hAnsi="Arial" w:cs="Arial"/>
                <w:bCs/>
                <w:color w:val="000000"/>
                <w:sz w:val="18"/>
                <w:szCs w:val="18"/>
              </w:rPr>
              <w:t>0.8 (0.7 to 0.9) for age group 55-59 years and 0.8 (0.6 to 0.9) for age group 60-62 years vs. age group 50-54; 1.8 (1.5 to 2.2) for subsequent screen vs. initial screen; 0.9 (0.8 to 1.1) for core biopsy and 0.4 (0.3 to 0.6) for open benign biopsy vs. no tissue sampling; 0.997 (0.994 to 0.999) for every additional day from recall to assessment to non-malignant diagnosis</w:t>
            </w:r>
          </w:p>
        </w:tc>
        <w:tc>
          <w:tcPr>
            <w:tcW w:w="1467" w:type="dxa"/>
            <w:hideMark/>
          </w:tcPr>
          <w:p w:rsidR="0022127B" w:rsidRPr="0022127B" w:rsidRDefault="0022127B" w:rsidP="008F21F3">
            <w:pPr>
              <w:ind w:right="-81"/>
              <w:rPr>
                <w:rFonts w:ascii="Arial" w:hAnsi="Arial" w:cs="Arial"/>
                <w:bCs/>
                <w:color w:val="000000"/>
                <w:sz w:val="18"/>
                <w:szCs w:val="18"/>
              </w:rPr>
            </w:pPr>
            <w:r w:rsidRPr="0022127B">
              <w:rPr>
                <w:rFonts w:ascii="Arial" w:hAnsi="Arial" w:cs="Arial"/>
                <w:bCs/>
                <w:color w:val="000000"/>
                <w:sz w:val="18"/>
                <w:szCs w:val="18"/>
              </w:rPr>
              <w:t>Fair, unclear if random or consecutive sample; baseline data not provided; did not control for confounders</w:t>
            </w:r>
          </w:p>
        </w:tc>
      </w:tr>
      <w:tr w:rsidR="0022127B" w:rsidRPr="0022127B" w:rsidTr="0038150E">
        <w:trPr>
          <w:cantSplit/>
          <w:trHeight w:val="1295"/>
        </w:trPr>
        <w:tc>
          <w:tcPr>
            <w:tcW w:w="1107" w:type="dxa"/>
            <w:hideMark/>
          </w:tcPr>
          <w:p w:rsidR="0022127B" w:rsidRPr="0022127B" w:rsidRDefault="0022127B" w:rsidP="008F21F3">
            <w:pPr>
              <w:ind w:right="-99"/>
              <w:rPr>
                <w:rFonts w:ascii="Arial" w:hAnsi="Arial" w:cs="Arial"/>
                <w:color w:val="000000"/>
                <w:sz w:val="18"/>
                <w:szCs w:val="18"/>
              </w:rPr>
            </w:pPr>
            <w:r w:rsidRPr="0022127B">
              <w:rPr>
                <w:rFonts w:ascii="Arial" w:hAnsi="Arial" w:cs="Arial"/>
                <w:color w:val="000000"/>
                <w:sz w:val="18"/>
                <w:szCs w:val="18"/>
              </w:rPr>
              <w:t>Gibson et al, 2009</w:t>
            </w:r>
            <w:r w:rsidRPr="0022127B">
              <w:rPr>
                <w:rFonts w:ascii="Arial" w:hAnsi="Arial" w:cs="Arial"/>
                <w:noProof/>
                <w:color w:val="000000"/>
                <w:sz w:val="18"/>
                <w:szCs w:val="18"/>
                <w:vertAlign w:val="superscript"/>
              </w:rPr>
              <w:t>198</w:t>
            </w:r>
            <w:r w:rsidRPr="0022127B">
              <w:rPr>
                <w:rFonts w:ascii="Arial" w:hAnsi="Arial" w:cs="Arial"/>
                <w:color w:val="000000"/>
                <w:sz w:val="18"/>
                <w:szCs w:val="18"/>
              </w:rPr>
              <w:br/>
            </w:r>
          </w:p>
        </w:tc>
        <w:tc>
          <w:tcPr>
            <w:tcW w:w="1251" w:type="dxa"/>
            <w:hideMark/>
          </w:tcPr>
          <w:p w:rsidR="0022127B" w:rsidRPr="0022127B" w:rsidRDefault="0022127B" w:rsidP="008F21F3">
            <w:pPr>
              <w:rPr>
                <w:rFonts w:ascii="Arial" w:hAnsi="Arial" w:cs="Arial"/>
                <w:color w:val="000000"/>
                <w:sz w:val="18"/>
                <w:szCs w:val="18"/>
              </w:rPr>
            </w:pPr>
            <w:r w:rsidRPr="0022127B">
              <w:rPr>
                <w:rFonts w:ascii="Arial" w:hAnsi="Arial" w:cs="Arial"/>
                <w:color w:val="000000"/>
                <w:sz w:val="18"/>
                <w:szCs w:val="18"/>
              </w:rPr>
              <w:t>Prospective cohort</w:t>
            </w:r>
            <w:r w:rsidRPr="0022127B">
              <w:rPr>
                <w:rFonts w:ascii="Arial" w:hAnsi="Arial" w:cs="Arial"/>
                <w:color w:val="000000"/>
                <w:sz w:val="18"/>
                <w:szCs w:val="18"/>
              </w:rPr>
              <w:br/>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6% &lt;50, 32% 50-59, 34% 60-69, 22% 70-79, 6% ≥80; women registered in the New Hampshire Mammography Network and the New Hampshire Women for Health study</w:t>
            </w:r>
          </w:p>
        </w:tc>
        <w:tc>
          <w:tcPr>
            <w:tcW w:w="13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FP (n=2,107) vs. Normal screen (n=11,384) reference group</w:t>
            </w:r>
          </w:p>
        </w:tc>
        <w:tc>
          <w:tcPr>
            <w:tcW w:w="108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WHQ</w:t>
            </w:r>
          </w:p>
        </w:tc>
        <w:tc>
          <w:tcPr>
            <w:tcW w:w="4950" w:type="dxa"/>
            <w:hideMark/>
          </w:tcPr>
          <w:p w:rsidR="0022127B" w:rsidRPr="0022127B" w:rsidRDefault="0022127B" w:rsidP="008F21F3">
            <w:pPr>
              <w:ind w:right="-89"/>
              <w:rPr>
                <w:rFonts w:ascii="Arial" w:hAnsi="Arial" w:cs="Arial"/>
                <w:color w:val="000000"/>
                <w:sz w:val="18"/>
                <w:szCs w:val="18"/>
              </w:rPr>
            </w:pPr>
            <w:r w:rsidRPr="0022127B">
              <w:rPr>
                <w:rFonts w:ascii="Arial" w:hAnsi="Arial" w:cs="Arial"/>
                <w:b/>
                <w:bCs/>
                <w:color w:val="000000"/>
                <w:sz w:val="18"/>
                <w:szCs w:val="18"/>
              </w:rPr>
              <w:t>OR for depression (95% CI)</w:t>
            </w:r>
            <w:r w:rsidRPr="0022127B">
              <w:rPr>
                <w:rFonts w:ascii="Arial" w:hAnsi="Arial" w:cs="Arial"/>
                <w:color w:val="000000"/>
                <w:sz w:val="18"/>
                <w:szCs w:val="18"/>
              </w:rPr>
              <w:t>:  overall FP 0.96 (0.72 to 1.28); white FP 0.84 (0.62 to 1.15); non-white FP 3.23 (1.32 to 7.91).</w:t>
            </w:r>
          </w:p>
        </w:tc>
        <w:tc>
          <w:tcPr>
            <w:tcW w:w="1467" w:type="dxa"/>
            <w:hideMark/>
          </w:tcPr>
          <w:p w:rsidR="0022127B" w:rsidRPr="0022127B" w:rsidRDefault="0022127B" w:rsidP="008F21F3">
            <w:pPr>
              <w:ind w:right="-81"/>
              <w:rPr>
                <w:rFonts w:ascii="Arial" w:hAnsi="Arial" w:cs="Arial"/>
                <w:bCs/>
                <w:color w:val="000000"/>
                <w:sz w:val="18"/>
                <w:szCs w:val="18"/>
              </w:rPr>
            </w:pPr>
            <w:r w:rsidRPr="0022127B">
              <w:rPr>
                <w:rFonts w:ascii="Arial" w:hAnsi="Arial" w:cs="Arial"/>
                <w:bCs/>
                <w:color w:val="000000"/>
                <w:sz w:val="18"/>
                <w:szCs w:val="18"/>
              </w:rPr>
              <w:t xml:space="preserve">Fair; unclear how women were selected; baseline data not provided for groups of interest; outcomes self-reported </w:t>
            </w:r>
          </w:p>
        </w:tc>
      </w:tr>
      <w:tr w:rsidR="0022127B" w:rsidRPr="0022127B" w:rsidTr="0038150E">
        <w:trPr>
          <w:cantSplit/>
          <w:trHeight w:val="962"/>
        </w:trPr>
        <w:tc>
          <w:tcPr>
            <w:tcW w:w="1107" w:type="dxa"/>
            <w:hideMark/>
          </w:tcPr>
          <w:p w:rsidR="0022127B" w:rsidRPr="0022127B" w:rsidRDefault="0022127B" w:rsidP="008F21F3">
            <w:pPr>
              <w:ind w:right="-99"/>
              <w:rPr>
                <w:rFonts w:ascii="Arial" w:hAnsi="Arial" w:cs="Arial"/>
                <w:color w:val="000000"/>
                <w:sz w:val="18"/>
                <w:szCs w:val="18"/>
              </w:rPr>
            </w:pPr>
            <w:r w:rsidRPr="0022127B">
              <w:rPr>
                <w:rFonts w:ascii="Arial" w:hAnsi="Arial" w:cs="Arial"/>
                <w:color w:val="000000"/>
                <w:sz w:val="18"/>
                <w:szCs w:val="18"/>
              </w:rPr>
              <w:t>Hafslund et al, 2012</w:t>
            </w:r>
            <w:r w:rsidRPr="0022127B">
              <w:rPr>
                <w:rFonts w:ascii="Arial" w:hAnsi="Arial" w:cs="Arial"/>
                <w:noProof/>
                <w:color w:val="000000"/>
                <w:sz w:val="18"/>
                <w:szCs w:val="18"/>
                <w:vertAlign w:val="superscript"/>
              </w:rPr>
              <w:t>205</w:t>
            </w:r>
            <w:r w:rsidRPr="0022127B">
              <w:rPr>
                <w:rFonts w:ascii="Arial" w:hAnsi="Arial" w:cs="Arial"/>
                <w:color w:val="000000"/>
                <w:sz w:val="18"/>
                <w:szCs w:val="18"/>
              </w:rPr>
              <w:br/>
            </w:r>
          </w:p>
        </w:tc>
        <w:tc>
          <w:tcPr>
            <w:tcW w:w="1251"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Nested case-control</w:t>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57 (SD 5.8) for FP vs. 58 (SD 5.5) for TN; women from Hordaland, Sogn, and Fjordane Counties, Norway; cases=FP; controls=TN</w:t>
            </w:r>
          </w:p>
        </w:tc>
        <w:tc>
          <w:tcPr>
            <w:tcW w:w="13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FP (n=128) vs. Normal screen (n=195)</w:t>
            </w:r>
          </w:p>
        </w:tc>
        <w:tc>
          <w:tcPr>
            <w:tcW w:w="108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SF-36, HADS</w:t>
            </w:r>
          </w:p>
        </w:tc>
        <w:tc>
          <w:tcPr>
            <w:tcW w:w="4950" w:type="dxa"/>
            <w:hideMark/>
          </w:tcPr>
          <w:p w:rsidR="0022127B" w:rsidRPr="0022127B" w:rsidRDefault="0022127B" w:rsidP="008F21F3">
            <w:pPr>
              <w:ind w:right="-89"/>
              <w:rPr>
                <w:rFonts w:ascii="Arial" w:hAnsi="Arial" w:cs="Arial"/>
                <w:b/>
                <w:bCs/>
                <w:color w:val="000000"/>
                <w:sz w:val="18"/>
                <w:szCs w:val="18"/>
              </w:rPr>
            </w:pPr>
            <w:r w:rsidRPr="0022127B">
              <w:rPr>
                <w:rFonts w:ascii="Arial" w:hAnsi="Arial" w:cs="Arial"/>
                <w:b/>
                <w:bCs/>
                <w:color w:val="000000"/>
                <w:sz w:val="18"/>
                <w:szCs w:val="18"/>
              </w:rPr>
              <w:t xml:space="preserve">6 months followup: </w:t>
            </w:r>
            <w:r w:rsidRPr="0022127B">
              <w:rPr>
                <w:rFonts w:ascii="Arial" w:hAnsi="Arial" w:cs="Arial"/>
                <w:bCs/>
                <w:color w:val="000000"/>
                <w:sz w:val="18"/>
                <w:szCs w:val="18"/>
              </w:rPr>
              <w:t>FP vs. Normal screen c</w:t>
            </w:r>
            <w:r w:rsidRPr="0022127B">
              <w:rPr>
                <w:rFonts w:ascii="Arial" w:hAnsi="Arial" w:cs="Arial"/>
                <w:color w:val="000000"/>
                <w:sz w:val="18"/>
                <w:szCs w:val="18"/>
              </w:rPr>
              <w:t>linical anxiety (mean HADS-A) 4.1 vs. 4.0, p=0.81; clinical depression (mean HADS-D) 3.2 vs. 2.4, p=0.045; mental function (mean SF-36) 80.6 vs. 85.0; p=0.03; vitality (mean SF-36) 70.3 vs. 77.0; p=0.02.</w:t>
            </w:r>
          </w:p>
        </w:tc>
        <w:tc>
          <w:tcPr>
            <w:tcW w:w="1467" w:type="dxa"/>
            <w:hideMark/>
          </w:tcPr>
          <w:p w:rsidR="0022127B" w:rsidRPr="0022127B" w:rsidRDefault="0022127B" w:rsidP="008F21F3">
            <w:pPr>
              <w:ind w:right="-81"/>
              <w:rPr>
                <w:rFonts w:ascii="Arial" w:hAnsi="Arial" w:cs="Arial"/>
                <w:bCs/>
                <w:color w:val="000000"/>
                <w:sz w:val="18"/>
                <w:szCs w:val="18"/>
              </w:rPr>
            </w:pPr>
            <w:r w:rsidRPr="0022127B">
              <w:rPr>
                <w:rFonts w:ascii="Arial" w:hAnsi="Arial" w:cs="Arial"/>
                <w:bCs/>
                <w:color w:val="000000"/>
                <w:sz w:val="18"/>
                <w:szCs w:val="18"/>
              </w:rPr>
              <w:t>Fair; enrolled selected group of women; higher response rate in control group</w:t>
            </w:r>
          </w:p>
        </w:tc>
      </w:tr>
      <w:tr w:rsidR="0022127B" w:rsidRPr="0022127B" w:rsidTr="0038150E">
        <w:trPr>
          <w:cantSplit/>
          <w:trHeight w:val="1610"/>
        </w:trPr>
        <w:tc>
          <w:tcPr>
            <w:tcW w:w="1107"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Keyzer-Dekker, 2012</w:t>
            </w:r>
            <w:r w:rsidRPr="0022127B">
              <w:rPr>
                <w:rFonts w:ascii="Arial" w:hAnsi="Arial" w:cs="Arial"/>
                <w:noProof/>
                <w:color w:val="000000"/>
                <w:sz w:val="18"/>
                <w:szCs w:val="18"/>
                <w:vertAlign w:val="superscript"/>
              </w:rPr>
              <w:t>199</w:t>
            </w:r>
            <w:r w:rsidRPr="0022127B">
              <w:rPr>
                <w:rFonts w:ascii="Arial" w:hAnsi="Arial" w:cs="Arial"/>
                <w:color w:val="000000"/>
                <w:sz w:val="18"/>
                <w:szCs w:val="18"/>
              </w:rPr>
              <w:br/>
            </w:r>
          </w:p>
        </w:tc>
        <w:tc>
          <w:tcPr>
            <w:tcW w:w="1251" w:type="dxa"/>
            <w:hideMark/>
          </w:tcPr>
          <w:p w:rsidR="0022127B" w:rsidRPr="0022127B" w:rsidRDefault="0022127B" w:rsidP="008F21F3">
            <w:pPr>
              <w:rPr>
                <w:rFonts w:ascii="Arial" w:hAnsi="Arial" w:cs="Arial"/>
                <w:color w:val="000000"/>
                <w:sz w:val="18"/>
                <w:szCs w:val="18"/>
              </w:rPr>
            </w:pPr>
            <w:r w:rsidRPr="0022127B">
              <w:rPr>
                <w:rFonts w:ascii="Arial" w:hAnsi="Arial" w:cs="Arial"/>
                <w:color w:val="000000"/>
                <w:sz w:val="18"/>
                <w:szCs w:val="18"/>
              </w:rPr>
              <w:t>Prospective cohort</w:t>
            </w:r>
            <w:r w:rsidRPr="0022127B">
              <w:rPr>
                <w:rFonts w:ascii="Arial" w:hAnsi="Arial" w:cs="Arial"/>
                <w:color w:val="000000"/>
                <w:sz w:val="18"/>
                <w:szCs w:val="18"/>
              </w:rPr>
              <w:br/>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50 (SD 0.8) for 1st screen recalls vs. 61 (SD 5.9) for repeat screen recalls, p&lt;0.001; women with abnormal results referred to hospitals in The Netherlands</w:t>
            </w:r>
          </w:p>
        </w:tc>
        <w:tc>
          <w:tcPr>
            <w:tcW w:w="13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1st screen recalls (n=186) vs. repeat screen recalls (n=296)</w:t>
            </w:r>
          </w:p>
        </w:tc>
        <w:tc>
          <w:tcPr>
            <w:tcW w:w="1080"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STAI, NEO-FFI, CES-D, WHOQOL</w:t>
            </w:r>
          </w:p>
        </w:tc>
        <w:tc>
          <w:tcPr>
            <w:tcW w:w="4950" w:type="dxa"/>
            <w:hideMark/>
          </w:tcPr>
          <w:p w:rsidR="0022127B" w:rsidRPr="0022127B" w:rsidRDefault="0022127B" w:rsidP="008F21F3">
            <w:pPr>
              <w:ind w:right="-89"/>
              <w:rPr>
                <w:rFonts w:ascii="Arial" w:hAnsi="Arial" w:cs="Arial"/>
                <w:b/>
                <w:bCs/>
                <w:color w:val="000000"/>
                <w:sz w:val="18"/>
                <w:szCs w:val="18"/>
              </w:rPr>
            </w:pPr>
            <w:r w:rsidRPr="0022127B">
              <w:rPr>
                <w:rFonts w:ascii="Arial" w:hAnsi="Arial" w:cs="Arial"/>
                <w:b/>
                <w:color w:val="000000"/>
                <w:sz w:val="18"/>
                <w:szCs w:val="18"/>
              </w:rPr>
              <w:t>After recall before diagnosis:</w:t>
            </w:r>
            <w:r w:rsidRPr="0022127B">
              <w:rPr>
                <w:rFonts w:ascii="Arial" w:hAnsi="Arial" w:cs="Arial"/>
                <w:color w:val="000000"/>
                <w:sz w:val="18"/>
                <w:szCs w:val="18"/>
              </w:rPr>
              <w:t xml:space="preserve"> anxiety (mean STAI) 13.3 vs. 12.8, p=0.209; depression (mean CES-D) 8.9 vs. 9.0, p=0.836).</w:t>
            </w:r>
            <w:r w:rsidRPr="0022127B">
              <w:rPr>
                <w:rFonts w:ascii="Arial" w:hAnsi="Arial" w:cs="Arial"/>
                <w:color w:val="000000"/>
                <w:sz w:val="18"/>
                <w:szCs w:val="18"/>
              </w:rPr>
              <w:br/>
            </w:r>
            <w:r w:rsidRPr="0022127B">
              <w:rPr>
                <w:rFonts w:ascii="Arial" w:hAnsi="Arial" w:cs="Arial"/>
                <w:b/>
                <w:color w:val="000000"/>
                <w:sz w:val="18"/>
                <w:szCs w:val="18"/>
              </w:rPr>
              <w:t>6 month followup:</w:t>
            </w:r>
            <w:r w:rsidRPr="0022127B">
              <w:rPr>
                <w:rFonts w:ascii="Arial" w:hAnsi="Arial" w:cs="Arial"/>
                <w:color w:val="000000"/>
                <w:sz w:val="18"/>
                <w:szCs w:val="18"/>
              </w:rPr>
              <w:t xml:space="preserve"> anxiety (mean STAI estimated from graph) 10.6 vs. 10.3, p&lt;0.001 for change over time for both groups; depression p&lt;0.001 for change over time for both groups (data not shown), with no differences between groups.</w:t>
            </w:r>
          </w:p>
        </w:tc>
        <w:tc>
          <w:tcPr>
            <w:tcW w:w="1467" w:type="dxa"/>
            <w:hideMark/>
          </w:tcPr>
          <w:p w:rsidR="0022127B" w:rsidRPr="0022127B" w:rsidRDefault="0022127B" w:rsidP="008F21F3">
            <w:pPr>
              <w:ind w:right="-81"/>
              <w:rPr>
                <w:rFonts w:ascii="Arial" w:hAnsi="Arial" w:cs="Arial"/>
                <w:color w:val="000000"/>
                <w:sz w:val="18"/>
                <w:szCs w:val="18"/>
              </w:rPr>
            </w:pPr>
            <w:r w:rsidRPr="0022127B">
              <w:rPr>
                <w:rFonts w:ascii="Arial" w:hAnsi="Arial" w:cs="Arial"/>
                <w:color w:val="000000"/>
                <w:sz w:val="18"/>
                <w:szCs w:val="18"/>
              </w:rPr>
              <w:t>Fair; older women in repeat screen group; outcomes were self-reported; did not report attrition</w:t>
            </w:r>
          </w:p>
        </w:tc>
      </w:tr>
      <w:tr w:rsidR="0022127B" w:rsidRPr="0022127B" w:rsidTr="0038150E">
        <w:trPr>
          <w:cantSplit/>
          <w:trHeight w:val="1520"/>
        </w:trPr>
        <w:tc>
          <w:tcPr>
            <w:tcW w:w="1107" w:type="dxa"/>
            <w:hideMark/>
          </w:tcPr>
          <w:p w:rsidR="0022127B" w:rsidRPr="0022127B" w:rsidRDefault="0022127B" w:rsidP="008F21F3">
            <w:pPr>
              <w:ind w:right="-99"/>
              <w:rPr>
                <w:rFonts w:ascii="Arial" w:hAnsi="Arial" w:cs="Arial"/>
                <w:color w:val="000000"/>
                <w:sz w:val="18"/>
                <w:szCs w:val="18"/>
              </w:rPr>
            </w:pPr>
            <w:r w:rsidRPr="0022127B">
              <w:rPr>
                <w:rFonts w:ascii="Arial" w:hAnsi="Arial" w:cs="Arial"/>
                <w:color w:val="000000"/>
                <w:sz w:val="18"/>
                <w:szCs w:val="18"/>
              </w:rPr>
              <w:lastRenderedPageBreak/>
              <w:t>Klompen</w:t>
            </w:r>
            <w:r w:rsidR="008F21F3">
              <w:rPr>
                <w:rFonts w:ascii="Arial" w:hAnsi="Arial" w:cs="Arial"/>
                <w:color w:val="000000"/>
                <w:sz w:val="18"/>
                <w:szCs w:val="18"/>
              </w:rPr>
              <w:t>-houwer et al</w:t>
            </w:r>
            <w:r w:rsidRPr="0022127B">
              <w:rPr>
                <w:rFonts w:ascii="Arial" w:hAnsi="Arial" w:cs="Arial"/>
                <w:color w:val="000000"/>
                <w:sz w:val="18"/>
                <w:szCs w:val="18"/>
              </w:rPr>
              <w:t>, 2014</w:t>
            </w:r>
            <w:r w:rsidRPr="0022127B">
              <w:rPr>
                <w:rFonts w:ascii="Arial" w:hAnsi="Arial" w:cs="Arial"/>
                <w:noProof/>
                <w:color w:val="000000"/>
                <w:sz w:val="18"/>
                <w:szCs w:val="18"/>
                <w:vertAlign w:val="superscript"/>
              </w:rPr>
              <w:t>202</w:t>
            </w:r>
          </w:p>
        </w:tc>
        <w:tc>
          <w:tcPr>
            <w:tcW w:w="1251"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Retrospective cohort</w:t>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Mean age: NR, range: 50-75;  women being screened in one of the specialized screening units in The Netherlands</w:t>
            </w:r>
          </w:p>
        </w:tc>
        <w:tc>
          <w:tcPr>
            <w:tcW w:w="13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Normal screen (n=373,474) vs. 1</w:t>
            </w:r>
            <w:r w:rsidRPr="0022127B">
              <w:rPr>
                <w:rFonts w:ascii="Arial" w:hAnsi="Arial" w:cs="Arial"/>
                <w:color w:val="000000"/>
                <w:sz w:val="18"/>
                <w:szCs w:val="18"/>
                <w:vertAlign w:val="superscript"/>
              </w:rPr>
              <w:t>st</w:t>
            </w:r>
            <w:r w:rsidRPr="0022127B">
              <w:rPr>
                <w:rFonts w:ascii="Arial" w:hAnsi="Arial" w:cs="Arial"/>
                <w:color w:val="000000"/>
                <w:sz w:val="18"/>
                <w:szCs w:val="18"/>
              </w:rPr>
              <w:t xml:space="preserve"> screen recalls (n=6,672) vs. repeat screen recalls for different lesion (n=161) vs. repeat screen recalls for same lesion (n=89)</w:t>
            </w:r>
          </w:p>
        </w:tc>
        <w:tc>
          <w:tcPr>
            <w:tcW w:w="108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Re-attendance rates</w:t>
            </w:r>
          </w:p>
        </w:tc>
        <w:tc>
          <w:tcPr>
            <w:tcW w:w="49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b/>
                <w:color w:val="000000"/>
                <w:sz w:val="18"/>
                <w:szCs w:val="18"/>
              </w:rPr>
              <w:t>Rate of re-attendance:</w:t>
            </w:r>
            <w:r w:rsidRPr="0022127B">
              <w:rPr>
                <w:rFonts w:ascii="Arial" w:hAnsi="Arial" w:cs="Arial"/>
                <w:color w:val="000000"/>
                <w:sz w:val="18"/>
                <w:szCs w:val="18"/>
              </w:rPr>
              <w:t xml:space="preserve"> 93.2% (95% CI, 93.1% to 93.3%) vs. 65.4% (95% CI, 64.0% to 66.8%) vs. 56.7% (95% CI, 47.1% to 66.4%) vs. 44.3% (95% CI, 31.4% to 57.1%); and 52.1% (95% CI, 44.4% to 59.8%) for all recalled groups combined</w:t>
            </w:r>
          </w:p>
        </w:tc>
        <w:tc>
          <w:tcPr>
            <w:tcW w:w="1467"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 xml:space="preserve">Fair, </w:t>
            </w:r>
            <w:r w:rsidRPr="0022127B">
              <w:rPr>
                <w:rFonts w:ascii="Arial" w:hAnsi="Arial" w:cs="Arial"/>
                <w:bCs/>
                <w:color w:val="000000"/>
                <w:sz w:val="18"/>
                <w:szCs w:val="18"/>
              </w:rPr>
              <w:t>baseline data not provided for groups; did not control for confounders</w:t>
            </w:r>
          </w:p>
        </w:tc>
      </w:tr>
      <w:tr w:rsidR="0022127B" w:rsidRPr="0022127B" w:rsidTr="0038150E">
        <w:trPr>
          <w:cantSplit/>
          <w:trHeight w:val="1520"/>
        </w:trPr>
        <w:tc>
          <w:tcPr>
            <w:tcW w:w="1107" w:type="dxa"/>
            <w:hideMark/>
          </w:tcPr>
          <w:p w:rsidR="0022127B" w:rsidRPr="0022127B" w:rsidRDefault="0022127B" w:rsidP="008F21F3">
            <w:pPr>
              <w:rPr>
                <w:rFonts w:ascii="Arial" w:hAnsi="Arial" w:cs="Arial"/>
                <w:color w:val="000000"/>
                <w:sz w:val="18"/>
                <w:szCs w:val="18"/>
              </w:rPr>
            </w:pPr>
            <w:r w:rsidRPr="0022127B">
              <w:rPr>
                <w:rFonts w:ascii="Arial" w:hAnsi="Arial" w:cs="Arial"/>
                <w:color w:val="000000"/>
                <w:sz w:val="18"/>
                <w:szCs w:val="18"/>
              </w:rPr>
              <w:t>Maxwell et al, 2013</w:t>
            </w:r>
            <w:r w:rsidRPr="0022127B">
              <w:rPr>
                <w:rFonts w:ascii="Arial" w:hAnsi="Arial" w:cs="Arial"/>
                <w:noProof/>
                <w:color w:val="000000"/>
                <w:sz w:val="18"/>
                <w:szCs w:val="18"/>
                <w:vertAlign w:val="superscript"/>
              </w:rPr>
              <w:t>201</w:t>
            </w:r>
          </w:p>
        </w:tc>
        <w:tc>
          <w:tcPr>
            <w:tcW w:w="1251" w:type="dxa"/>
            <w:hideMark/>
          </w:tcPr>
          <w:p w:rsidR="0022127B" w:rsidRPr="0022127B" w:rsidRDefault="008F21F3" w:rsidP="008F21F3">
            <w:pPr>
              <w:ind w:right="-108"/>
              <w:rPr>
                <w:rFonts w:ascii="Arial" w:hAnsi="Arial" w:cs="Arial"/>
                <w:color w:val="000000"/>
                <w:sz w:val="18"/>
                <w:szCs w:val="18"/>
              </w:rPr>
            </w:pPr>
            <w:r>
              <w:rPr>
                <w:rFonts w:ascii="Arial" w:hAnsi="Arial" w:cs="Arial"/>
                <w:color w:val="000000"/>
                <w:sz w:val="18"/>
                <w:szCs w:val="18"/>
              </w:rPr>
              <w:t>Retro</w:t>
            </w:r>
            <w:r w:rsidR="0022127B" w:rsidRPr="0022127B">
              <w:rPr>
                <w:rFonts w:ascii="Arial" w:hAnsi="Arial" w:cs="Arial"/>
                <w:color w:val="000000"/>
                <w:sz w:val="18"/>
                <w:szCs w:val="18"/>
              </w:rPr>
              <w:t>spective cohort</w:t>
            </w:r>
          </w:p>
        </w:tc>
        <w:tc>
          <w:tcPr>
            <w:tcW w:w="207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Mean age: NR, range: 49-66; women screened at 1 of 5 breast screening programs in the United Kingdom</w:t>
            </w:r>
          </w:p>
        </w:tc>
        <w:tc>
          <w:tcPr>
            <w:tcW w:w="13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FP (n-9,367) vs. Normal screen (n=243,650)</w:t>
            </w:r>
          </w:p>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and</w:t>
            </w:r>
          </w:p>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Prevalent screen (n=54,716) vs. incident screen (n=198,301)</w:t>
            </w:r>
          </w:p>
        </w:tc>
        <w:tc>
          <w:tcPr>
            <w:tcW w:w="108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color w:val="000000"/>
                <w:sz w:val="18"/>
                <w:szCs w:val="18"/>
              </w:rPr>
              <w:t>Re-attendance rates</w:t>
            </w:r>
          </w:p>
        </w:tc>
        <w:tc>
          <w:tcPr>
            <w:tcW w:w="4950" w:type="dxa"/>
            <w:hideMark/>
          </w:tcPr>
          <w:p w:rsidR="0022127B" w:rsidRPr="0022127B" w:rsidRDefault="0022127B" w:rsidP="008F21F3">
            <w:pPr>
              <w:ind w:right="-108"/>
              <w:rPr>
                <w:rFonts w:ascii="Arial" w:hAnsi="Arial" w:cs="Arial"/>
                <w:color w:val="000000"/>
                <w:sz w:val="18"/>
                <w:szCs w:val="18"/>
              </w:rPr>
            </w:pPr>
            <w:r w:rsidRPr="0022127B">
              <w:rPr>
                <w:rFonts w:ascii="Arial" w:hAnsi="Arial" w:cs="Arial"/>
                <w:b/>
                <w:color w:val="000000"/>
                <w:sz w:val="18"/>
                <w:szCs w:val="18"/>
              </w:rPr>
              <w:t xml:space="preserve">Rate of re-attendance: </w:t>
            </w:r>
            <w:r w:rsidRPr="0022127B">
              <w:rPr>
                <w:rFonts w:ascii="Arial" w:hAnsi="Arial" w:cs="Arial"/>
                <w:color w:val="000000"/>
                <w:sz w:val="18"/>
                <w:szCs w:val="18"/>
              </w:rPr>
              <w:t>87.7% of prevalent FP screen vs. 86.0% of prevalent normal screen, difference of 1.61% (95% CI, 0.54% to 2.62%); 92.0% of incident FP vs. 92.4% of incident normal screen, difference of -0.04% (95% CI, -1.18% to 0.31%); 86.2% of all prevalent screens vs. 92.4% of all incident screens</w:t>
            </w:r>
          </w:p>
          <w:p w:rsidR="0022127B" w:rsidRPr="0022127B" w:rsidRDefault="0022127B" w:rsidP="008F21F3">
            <w:pPr>
              <w:ind w:right="-108"/>
              <w:rPr>
                <w:rFonts w:ascii="Arial" w:hAnsi="Arial" w:cs="Arial"/>
                <w:color w:val="000000"/>
                <w:sz w:val="18"/>
                <w:szCs w:val="18"/>
              </w:rPr>
            </w:pPr>
            <w:r w:rsidRPr="0022127B">
              <w:rPr>
                <w:rFonts w:ascii="Arial" w:hAnsi="Arial" w:cs="Arial"/>
                <w:b/>
                <w:color w:val="000000"/>
                <w:sz w:val="18"/>
                <w:szCs w:val="18"/>
              </w:rPr>
              <w:t>OR (95% CI) of re-attendance after additional procedures (reference is normal screen):</w:t>
            </w:r>
            <w:r w:rsidRPr="0022127B">
              <w:rPr>
                <w:rFonts w:ascii="Arial" w:hAnsi="Arial" w:cs="Arial"/>
                <w:color w:val="000000"/>
                <w:sz w:val="18"/>
                <w:szCs w:val="18"/>
              </w:rPr>
              <w:t xml:space="preserve"> needle sampling only after prevalent screen 1.06 (0.90 to 1.24); needle sampling only after incident screen 0.88 (0.84 to 0.92); open biopsy after prevalent screen 0.64 (0.31 to 1.33); open biopsy after incident screen 0.40 (0.25 to 0.66); no tissue sampling after prevalent screen 1.20 (1.10 to 1.30); no tissue sampling after incident screen 1.00 (0.91 to 1.09)</w:t>
            </w:r>
          </w:p>
          <w:p w:rsidR="0022127B" w:rsidRPr="0022127B" w:rsidRDefault="0022127B" w:rsidP="008F21F3">
            <w:pPr>
              <w:ind w:right="-108"/>
              <w:rPr>
                <w:rFonts w:ascii="Arial" w:hAnsi="Arial" w:cs="Arial"/>
                <w:color w:val="000000"/>
                <w:sz w:val="18"/>
                <w:szCs w:val="18"/>
              </w:rPr>
            </w:pPr>
            <w:r w:rsidRPr="0022127B">
              <w:rPr>
                <w:rFonts w:ascii="Arial" w:hAnsi="Arial" w:cs="Arial"/>
                <w:b/>
                <w:color w:val="000000"/>
                <w:sz w:val="18"/>
                <w:szCs w:val="18"/>
              </w:rPr>
              <w:t>OR (95% CI) of re-attendance by age:</w:t>
            </w:r>
            <w:r w:rsidRPr="0022127B">
              <w:rPr>
                <w:rFonts w:ascii="Arial" w:hAnsi="Arial" w:cs="Arial"/>
                <w:color w:val="000000"/>
                <w:sz w:val="18"/>
                <w:szCs w:val="18"/>
              </w:rPr>
              <w:t xml:space="preserve"> 0.89 (0.86 to 0.93) for older age at prevalent screen with a reduction in the odds of re-attendance of 11% for each year’s increase in a women’s age; 0.99 (0.98 to 0.99) for older age at incident screen with a reduction in the odds of re-attendance of 1% for each year’s increase in a women’s age</w:t>
            </w:r>
          </w:p>
        </w:tc>
        <w:tc>
          <w:tcPr>
            <w:tcW w:w="1467" w:type="dxa"/>
            <w:hideMark/>
          </w:tcPr>
          <w:p w:rsidR="0022127B" w:rsidRPr="0022127B" w:rsidRDefault="0022127B" w:rsidP="0022127B">
            <w:pPr>
              <w:rPr>
                <w:rFonts w:ascii="Arial" w:hAnsi="Arial" w:cs="Arial"/>
                <w:color w:val="000000"/>
                <w:sz w:val="18"/>
                <w:szCs w:val="18"/>
              </w:rPr>
            </w:pPr>
            <w:r w:rsidRPr="0022127B">
              <w:rPr>
                <w:rFonts w:ascii="Arial" w:hAnsi="Arial" w:cs="Arial"/>
                <w:color w:val="000000"/>
                <w:sz w:val="18"/>
                <w:szCs w:val="18"/>
              </w:rPr>
              <w:t xml:space="preserve">Fair, </w:t>
            </w:r>
            <w:r w:rsidRPr="0022127B">
              <w:rPr>
                <w:rFonts w:ascii="Arial" w:hAnsi="Arial" w:cs="Arial"/>
                <w:bCs/>
                <w:color w:val="000000"/>
                <w:sz w:val="18"/>
                <w:szCs w:val="18"/>
              </w:rPr>
              <w:t>baseline data not provided for groups; did not control for confounders</w:t>
            </w:r>
          </w:p>
        </w:tc>
      </w:tr>
      <w:tr w:rsidR="0022127B" w:rsidRPr="0022127B" w:rsidTr="0038150E">
        <w:trPr>
          <w:cantSplit/>
          <w:trHeight w:val="935"/>
        </w:trPr>
        <w:tc>
          <w:tcPr>
            <w:tcW w:w="1107" w:type="dxa"/>
            <w:hideMark/>
          </w:tcPr>
          <w:p w:rsidR="0022127B" w:rsidRPr="0022127B" w:rsidRDefault="0022127B" w:rsidP="008F21F3">
            <w:pPr>
              <w:keepNext/>
              <w:rPr>
                <w:rFonts w:ascii="Arial" w:hAnsi="Arial" w:cs="Arial"/>
                <w:color w:val="000000"/>
                <w:sz w:val="18"/>
                <w:szCs w:val="18"/>
              </w:rPr>
            </w:pPr>
            <w:r w:rsidRPr="0022127B">
              <w:rPr>
                <w:rFonts w:ascii="Arial" w:hAnsi="Arial" w:cs="Arial"/>
                <w:color w:val="000000"/>
                <w:sz w:val="18"/>
                <w:szCs w:val="18"/>
              </w:rPr>
              <w:t>Tosteson et al, 2014</w:t>
            </w:r>
            <w:r w:rsidRPr="0022127B">
              <w:rPr>
                <w:rFonts w:ascii="Arial" w:hAnsi="Arial" w:cs="Arial"/>
                <w:noProof/>
                <w:color w:val="000000"/>
                <w:sz w:val="18"/>
                <w:szCs w:val="18"/>
                <w:vertAlign w:val="superscript"/>
              </w:rPr>
              <w:t>202</w:t>
            </w:r>
            <w:r w:rsidRPr="0022127B">
              <w:rPr>
                <w:rFonts w:ascii="Arial" w:hAnsi="Arial" w:cs="Arial"/>
                <w:color w:val="000000"/>
                <w:sz w:val="18"/>
                <w:szCs w:val="18"/>
              </w:rPr>
              <w:br/>
            </w:r>
          </w:p>
        </w:tc>
        <w:tc>
          <w:tcPr>
            <w:tcW w:w="1251" w:type="dxa"/>
            <w:hideMark/>
          </w:tcPr>
          <w:p w:rsidR="0022127B" w:rsidRPr="0022127B" w:rsidRDefault="0022127B" w:rsidP="008F21F3">
            <w:pPr>
              <w:keepNext/>
              <w:rPr>
                <w:rFonts w:ascii="Arial" w:hAnsi="Arial" w:cs="Arial"/>
                <w:color w:val="000000"/>
                <w:sz w:val="18"/>
                <w:szCs w:val="18"/>
              </w:rPr>
            </w:pPr>
            <w:r w:rsidRPr="0022127B">
              <w:rPr>
                <w:rFonts w:ascii="Arial" w:hAnsi="Arial" w:cs="Arial"/>
                <w:color w:val="000000"/>
                <w:sz w:val="18"/>
                <w:szCs w:val="18"/>
              </w:rPr>
              <w:t>Nested case-control</w:t>
            </w:r>
            <w:r w:rsidRPr="0022127B">
              <w:rPr>
                <w:rFonts w:ascii="Arial" w:hAnsi="Arial" w:cs="Arial"/>
                <w:color w:val="000000"/>
                <w:sz w:val="18"/>
                <w:szCs w:val="18"/>
              </w:rPr>
              <w:br/>
            </w:r>
          </w:p>
        </w:tc>
        <w:tc>
          <w:tcPr>
            <w:tcW w:w="2070" w:type="dxa"/>
            <w:hideMark/>
          </w:tcPr>
          <w:p w:rsidR="0022127B" w:rsidRPr="0022127B" w:rsidRDefault="0022127B" w:rsidP="008F21F3">
            <w:pPr>
              <w:keepNext/>
              <w:ind w:right="-108"/>
              <w:rPr>
                <w:rFonts w:ascii="Arial" w:hAnsi="Arial" w:cs="Arial"/>
                <w:color w:val="000000"/>
                <w:sz w:val="18"/>
                <w:szCs w:val="18"/>
              </w:rPr>
            </w:pPr>
            <w:r w:rsidRPr="0022127B">
              <w:rPr>
                <w:rFonts w:ascii="Arial" w:hAnsi="Arial" w:cs="Arial"/>
                <w:color w:val="000000"/>
                <w:sz w:val="18"/>
                <w:szCs w:val="18"/>
              </w:rPr>
              <w:t>41% &lt;50, 45% 50-64, 14% ≥65 years; women participating in DMIST in the United States; cases=FP; controls=TN matched by institution and age</w:t>
            </w:r>
          </w:p>
        </w:tc>
        <w:tc>
          <w:tcPr>
            <w:tcW w:w="1350" w:type="dxa"/>
            <w:hideMark/>
          </w:tcPr>
          <w:p w:rsidR="0022127B" w:rsidRPr="0022127B" w:rsidRDefault="0022127B" w:rsidP="008F21F3">
            <w:pPr>
              <w:keepNext/>
              <w:ind w:right="-108"/>
              <w:rPr>
                <w:rFonts w:ascii="Arial" w:hAnsi="Arial" w:cs="Arial"/>
                <w:color w:val="000000"/>
                <w:sz w:val="18"/>
                <w:szCs w:val="18"/>
              </w:rPr>
            </w:pPr>
            <w:r w:rsidRPr="0022127B">
              <w:rPr>
                <w:rFonts w:ascii="Arial" w:hAnsi="Arial" w:cs="Arial"/>
                <w:color w:val="000000"/>
                <w:sz w:val="18"/>
                <w:szCs w:val="18"/>
              </w:rPr>
              <w:t>FP (n=494) vs. Normal screen (n=534)</w:t>
            </w:r>
          </w:p>
        </w:tc>
        <w:tc>
          <w:tcPr>
            <w:tcW w:w="1080" w:type="dxa"/>
            <w:hideMark/>
          </w:tcPr>
          <w:p w:rsidR="0022127B" w:rsidRPr="0022127B" w:rsidRDefault="0022127B" w:rsidP="008F21F3">
            <w:pPr>
              <w:keepNext/>
              <w:rPr>
                <w:rFonts w:ascii="Arial" w:hAnsi="Arial" w:cs="Arial"/>
                <w:color w:val="000000"/>
                <w:sz w:val="18"/>
                <w:szCs w:val="18"/>
              </w:rPr>
            </w:pPr>
            <w:r w:rsidRPr="0022127B">
              <w:rPr>
                <w:rFonts w:ascii="Arial" w:hAnsi="Arial" w:cs="Arial"/>
                <w:color w:val="000000"/>
                <w:sz w:val="18"/>
                <w:szCs w:val="18"/>
              </w:rPr>
              <w:t>STAI, EuroQOL EQ-5D</w:t>
            </w:r>
          </w:p>
        </w:tc>
        <w:tc>
          <w:tcPr>
            <w:tcW w:w="4950" w:type="dxa"/>
            <w:hideMark/>
          </w:tcPr>
          <w:p w:rsidR="0022127B" w:rsidRPr="0022127B" w:rsidRDefault="0022127B" w:rsidP="008F21F3">
            <w:pPr>
              <w:keepNext/>
              <w:ind w:right="-108"/>
              <w:rPr>
                <w:rFonts w:ascii="Arial" w:hAnsi="Arial" w:cs="Arial"/>
                <w:color w:val="000000"/>
                <w:sz w:val="18"/>
                <w:szCs w:val="18"/>
              </w:rPr>
            </w:pPr>
            <w:r w:rsidRPr="0022127B">
              <w:rPr>
                <w:rFonts w:ascii="Arial" w:hAnsi="Arial" w:cs="Arial"/>
                <w:b/>
                <w:color w:val="000000"/>
                <w:sz w:val="18"/>
                <w:szCs w:val="18"/>
              </w:rPr>
              <w:t>After mammography:</w:t>
            </w:r>
            <w:r w:rsidRPr="0022127B">
              <w:rPr>
                <w:rFonts w:ascii="Arial" w:hAnsi="Arial" w:cs="Arial"/>
                <w:b/>
                <w:bCs/>
                <w:color w:val="000000"/>
                <w:sz w:val="18"/>
                <w:szCs w:val="18"/>
              </w:rPr>
              <w:t xml:space="preserve"> </w:t>
            </w:r>
            <w:r w:rsidRPr="0022127B">
              <w:rPr>
                <w:rFonts w:ascii="Arial" w:hAnsi="Arial" w:cs="Arial"/>
                <w:bCs/>
                <w:color w:val="000000"/>
                <w:sz w:val="18"/>
                <w:szCs w:val="18"/>
              </w:rPr>
              <w:t>FP vs. Normal</w:t>
            </w:r>
            <w:r w:rsidRPr="0022127B">
              <w:rPr>
                <w:rFonts w:ascii="Arial" w:hAnsi="Arial" w:cs="Arial"/>
                <w:b/>
                <w:bCs/>
                <w:color w:val="000000"/>
                <w:sz w:val="18"/>
                <w:szCs w:val="18"/>
              </w:rPr>
              <w:t xml:space="preserve"> </w:t>
            </w:r>
            <w:r w:rsidRPr="0022127B">
              <w:rPr>
                <w:rFonts w:ascii="Arial" w:hAnsi="Arial" w:cs="Arial"/>
                <w:bCs/>
                <w:color w:val="000000"/>
                <w:sz w:val="18"/>
                <w:szCs w:val="18"/>
              </w:rPr>
              <w:t xml:space="preserve">screen </w:t>
            </w:r>
            <w:r w:rsidRPr="0022127B">
              <w:rPr>
                <w:rFonts w:ascii="Arial" w:hAnsi="Arial" w:cs="Arial"/>
                <w:color w:val="000000"/>
                <w:sz w:val="18"/>
                <w:szCs w:val="18"/>
              </w:rPr>
              <w:t>anxiety (mean STAI) 35 vs. 33, p=NR; QOL (mean EQ-5D) 0.90 vs. 0.90, p=NR.</w:t>
            </w:r>
            <w:r w:rsidRPr="0022127B">
              <w:rPr>
                <w:rFonts w:ascii="Arial" w:hAnsi="Arial" w:cs="Arial"/>
                <w:color w:val="000000"/>
                <w:sz w:val="18"/>
                <w:szCs w:val="18"/>
              </w:rPr>
              <w:br/>
            </w:r>
            <w:r w:rsidRPr="0022127B">
              <w:rPr>
                <w:rFonts w:ascii="Arial" w:hAnsi="Arial" w:cs="Arial"/>
                <w:b/>
                <w:color w:val="000000"/>
                <w:sz w:val="18"/>
                <w:szCs w:val="18"/>
              </w:rPr>
              <w:t>1 year followup:</w:t>
            </w:r>
            <w:r w:rsidRPr="0022127B">
              <w:rPr>
                <w:rFonts w:ascii="Arial" w:hAnsi="Arial" w:cs="Arial"/>
                <w:color w:val="000000"/>
                <w:sz w:val="18"/>
                <w:szCs w:val="18"/>
              </w:rPr>
              <w:t xml:space="preserve"> FP anxiety (STAI mean difference) -1.53 (SD 13.14), p=0.01; QOL (EQ-5D mean difference) 0.001 (SD 0.13), p=0.13); Normal screen anxiety and QOL did not change over time.</w:t>
            </w:r>
          </w:p>
        </w:tc>
        <w:tc>
          <w:tcPr>
            <w:tcW w:w="1467" w:type="dxa"/>
            <w:hideMark/>
          </w:tcPr>
          <w:p w:rsidR="0022127B" w:rsidRPr="0022127B" w:rsidRDefault="0022127B" w:rsidP="008F21F3">
            <w:pPr>
              <w:keepNext/>
              <w:jc w:val="center"/>
              <w:rPr>
                <w:rFonts w:ascii="Arial" w:hAnsi="Arial" w:cs="Arial"/>
                <w:color w:val="000000"/>
                <w:sz w:val="18"/>
                <w:szCs w:val="18"/>
              </w:rPr>
            </w:pPr>
            <w:r w:rsidRPr="0022127B">
              <w:rPr>
                <w:rFonts w:ascii="Arial" w:hAnsi="Arial" w:cs="Arial"/>
                <w:color w:val="000000"/>
                <w:sz w:val="18"/>
                <w:szCs w:val="18"/>
              </w:rPr>
              <w:t>Good</w:t>
            </w:r>
          </w:p>
        </w:tc>
      </w:tr>
    </w:tbl>
    <w:p w:rsidR="008F21F3" w:rsidRPr="008F21F3" w:rsidRDefault="008F21F3" w:rsidP="008F21F3">
      <w:pPr>
        <w:rPr>
          <w:rFonts w:ascii="Arial" w:hAnsi="Arial"/>
          <w:sz w:val="18"/>
          <w:szCs w:val="18"/>
        </w:rPr>
      </w:pPr>
      <w:r w:rsidRPr="008F21F3">
        <w:rPr>
          <w:rFonts w:ascii="Arial" w:hAnsi="Arial"/>
          <w:sz w:val="18"/>
          <w:szCs w:val="18"/>
        </w:rPr>
        <w:t>*Quality rating criteria not available for this study design.</w:t>
      </w:r>
    </w:p>
    <w:p w:rsidR="0038150E" w:rsidRDefault="008F21F3" w:rsidP="008F21F3">
      <w:pPr>
        <w:autoSpaceDE w:val="0"/>
        <w:autoSpaceDN w:val="0"/>
        <w:adjustRightInd w:val="0"/>
        <w:rPr>
          <w:rFonts w:ascii="Arial" w:hAnsi="Arial"/>
          <w:color w:val="000000"/>
          <w:sz w:val="18"/>
          <w:szCs w:val="18"/>
        </w:rPr>
      </w:pPr>
      <w:r w:rsidRPr="008F21F3">
        <w:rPr>
          <w:rFonts w:ascii="Arial" w:hAnsi="Arial"/>
          <w:b/>
          <w:color w:val="000000"/>
          <w:sz w:val="18"/>
          <w:szCs w:val="18"/>
        </w:rPr>
        <w:lastRenderedPageBreak/>
        <w:t xml:space="preserve">Abbreviations: </w:t>
      </w:r>
      <w:r w:rsidRPr="008F21F3">
        <w:rPr>
          <w:rFonts w:ascii="Arial" w:hAnsi="Arial"/>
          <w:color w:val="000000"/>
          <w:sz w:val="18"/>
          <w:szCs w:val="18"/>
        </w:rPr>
        <w:t>CES-D=Center for Epidemiological Studies-Depression Scale; CI=confidence interval; COS-BC=Consequences of Screening in Breast Cancer; DMIST=Digital Mammographic Imaging Screening Trial; FP=false-positive; HADS=Hospital Depression and Anxiety Scale; HADS-A=HADS-Anxiety Subscale; HADS-D=HADS-Depression Subscale; n=number; NA=not available; NEO-FFI=Neuroticism-Extraversion-Openness-Five Factor Inventory; NR=not reported; NS=not significant; OR=odds ratio; QOL=quality of life; SD=standard deviation; SF-36=Short-form 36 Health Survey; STAI=Spielberger State-Trait Anxiety Inventory; TP=true positive; vs.=versus; WHOQOL=World Health Organization Quality of Life Assessment Instrument; WHQ=Women's Health Questionnaire.</w:t>
      </w:r>
    </w:p>
    <w:sectPr w:rsidR="0038150E" w:rsidSect="00A769E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2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36" w:rsidRDefault="00092236" w:rsidP="00C64D95">
      <w:r>
        <w:separator/>
      </w:r>
    </w:p>
  </w:endnote>
  <w:endnote w:type="continuationSeparator" w:id="0">
    <w:p w:rsidR="00092236" w:rsidRDefault="00092236" w:rsidP="00C6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0" w:rsidRDefault="00A76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0" w:rsidRPr="00FD72F2" w:rsidRDefault="00A769E0" w:rsidP="00A769E0">
    <w:pPr>
      <w:pStyle w:val="Footer"/>
      <w:tabs>
        <w:tab w:val="clear" w:pos="4680"/>
        <w:tab w:val="clear" w:pos="9360"/>
        <w:tab w:val="center" w:pos="6480"/>
        <w:tab w:val="right" w:pos="12960"/>
      </w:tabs>
    </w:pPr>
    <w:bookmarkStart w:id="0" w:name="_GoBack"/>
    <w:bookmarkEnd w:id="0"/>
    <w:r w:rsidRPr="00A25F3D">
      <w:rPr>
        <w:rFonts w:ascii="Arial" w:hAnsi="Arial"/>
        <w:sz w:val="16"/>
        <w:szCs w:val="16"/>
      </w:rPr>
      <w:t>Screening for Breast Cancer</w:t>
    </w:r>
    <w:r w:rsidRPr="00A25F3D">
      <w:rPr>
        <w:rFonts w:ascii="Arial" w:hAnsi="Arial"/>
        <w:sz w:val="16"/>
        <w:szCs w:val="16"/>
      </w:rPr>
      <w:tab/>
    </w:r>
    <w:r w:rsidRPr="00A25F3D">
      <w:rPr>
        <w:rFonts w:ascii="Arial" w:hAnsi="Arial"/>
        <w:sz w:val="16"/>
        <w:szCs w:val="16"/>
      </w:rPr>
      <w:fldChar w:fldCharType="begin"/>
    </w:r>
    <w:r w:rsidRPr="00A25F3D">
      <w:rPr>
        <w:rFonts w:ascii="Arial" w:hAnsi="Arial"/>
        <w:sz w:val="16"/>
        <w:szCs w:val="16"/>
      </w:rPr>
      <w:instrText xml:space="preserve"> PAGE   \* MERGEFORMAT </w:instrText>
    </w:r>
    <w:r w:rsidRPr="00A25F3D">
      <w:rPr>
        <w:rFonts w:ascii="Arial" w:hAnsi="Arial"/>
        <w:sz w:val="16"/>
        <w:szCs w:val="16"/>
      </w:rPr>
      <w:fldChar w:fldCharType="separate"/>
    </w:r>
    <w:r w:rsidRPr="00A769E0">
      <w:rPr>
        <w:rFonts w:ascii="Arial" w:hAnsi="Arial" w:cs="Times New Roman"/>
        <w:noProof/>
        <w:sz w:val="16"/>
        <w:szCs w:val="16"/>
      </w:rPr>
      <w:t>271</w:t>
    </w:r>
    <w:r w:rsidRPr="00A25F3D">
      <w:rPr>
        <w:rFonts w:ascii="Arial" w:hAnsi="Arial"/>
        <w:noProof/>
        <w:sz w:val="16"/>
        <w:szCs w:val="16"/>
      </w:rPr>
      <w:fldChar w:fldCharType="end"/>
    </w:r>
    <w:r w:rsidRPr="00A25F3D">
      <w:rPr>
        <w:rFonts w:ascii="Arial" w:hAnsi="Arial"/>
        <w:noProof/>
        <w:sz w:val="16"/>
        <w:szCs w:val="16"/>
      </w:rPr>
      <w:tab/>
      <w:t xml:space="preserve">Pacific Northwest </w:t>
    </w:r>
    <w:r>
      <w:rPr>
        <w:rFonts w:ascii="Arial" w:hAnsi="Arial"/>
        <w:noProof/>
        <w:sz w:val="16"/>
        <w:szCs w:val="16"/>
      </w:rPr>
      <w:t>EPC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0" w:rsidRDefault="00A76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36" w:rsidRDefault="00092236" w:rsidP="00C64D95">
      <w:r>
        <w:separator/>
      </w:r>
    </w:p>
  </w:footnote>
  <w:footnote w:type="continuationSeparator" w:id="0">
    <w:p w:rsidR="00092236" w:rsidRDefault="00092236" w:rsidP="00C64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0" w:rsidRDefault="00A76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0" w:rsidRPr="0022127B" w:rsidRDefault="00A769E0" w:rsidP="00A769E0">
    <w:pPr>
      <w:pStyle w:val="Header"/>
    </w:pPr>
    <w:r w:rsidRPr="0022127B">
      <w:rPr>
        <w:rFonts w:ascii="Arial" w:hAnsi="Arial"/>
        <w:b/>
        <w:sz w:val="20"/>
      </w:rPr>
      <w:t xml:space="preserve">Appendix B2. Evidence Table of Results of </w:t>
    </w:r>
    <w:r>
      <w:rPr>
        <w:rFonts w:ascii="Arial" w:hAnsi="Arial"/>
        <w:b/>
        <w:sz w:val="20"/>
      </w:rPr>
      <w:t>N</w:t>
    </w:r>
    <w:r w:rsidRPr="0022127B">
      <w:rPr>
        <w:rFonts w:ascii="Arial" w:hAnsi="Arial"/>
        <w:b/>
        <w:sz w:val="20"/>
      </w:rPr>
      <w:t>ew Studies of Psychological Harms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E0" w:rsidRDefault="00A76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69E8"/>
    <w:multiLevelType w:val="hybridMultilevel"/>
    <w:tmpl w:val="4E103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A9F25B2"/>
    <w:multiLevelType w:val="hybridMultilevel"/>
    <w:tmpl w:val="67A813EE"/>
    <w:lvl w:ilvl="0" w:tplc="72C20916">
      <w:start w:val="1"/>
      <w:numFmt w:val="decimal"/>
      <w:lvlText w:val="%1."/>
      <w:lvlJc w:val="left"/>
      <w:pPr>
        <w:ind w:left="900" w:hanging="360"/>
      </w:pPr>
      <w:rPr>
        <w:rFonts w:ascii="Times New Roman" w:hAnsi="Times New Roman" w:cs="Times New Roman"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17536A"/>
    <w:multiLevelType w:val="hybridMultilevel"/>
    <w:tmpl w:val="B126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5439D"/>
    <w:multiLevelType w:val="hybridMultilevel"/>
    <w:tmpl w:val="416EA8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4D95"/>
    <w:rsid w:val="00092236"/>
    <w:rsid w:val="00142937"/>
    <w:rsid w:val="0022127B"/>
    <w:rsid w:val="002A1795"/>
    <w:rsid w:val="002B1C8A"/>
    <w:rsid w:val="0038150E"/>
    <w:rsid w:val="003C3313"/>
    <w:rsid w:val="00412E71"/>
    <w:rsid w:val="006B6342"/>
    <w:rsid w:val="007C6DAD"/>
    <w:rsid w:val="0082725C"/>
    <w:rsid w:val="00833DD2"/>
    <w:rsid w:val="0085747D"/>
    <w:rsid w:val="008F0805"/>
    <w:rsid w:val="008F21F3"/>
    <w:rsid w:val="009317A8"/>
    <w:rsid w:val="00963435"/>
    <w:rsid w:val="00A72971"/>
    <w:rsid w:val="00A769E0"/>
    <w:rsid w:val="00B913AC"/>
    <w:rsid w:val="00BA50EC"/>
    <w:rsid w:val="00C02F0A"/>
    <w:rsid w:val="00C64D95"/>
    <w:rsid w:val="00CB5C0F"/>
    <w:rsid w:val="00D47056"/>
    <w:rsid w:val="00DA0139"/>
    <w:rsid w:val="00E52A71"/>
    <w:rsid w:val="00FD72F2"/>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9"/>
    <w:qFormat/>
    <w:rsid w:val="00DA0139"/>
    <w:pPr>
      <w:keepNext/>
      <w:outlineLvl w:val="0"/>
    </w:pPr>
    <w:rPr>
      <w:rFonts w:cs="Times New Roman"/>
      <w:i/>
      <w:iCs/>
    </w:rPr>
  </w:style>
  <w:style w:type="paragraph" w:styleId="Heading5">
    <w:name w:val="heading 5"/>
    <w:basedOn w:val="Normal"/>
    <w:next w:val="Normal"/>
    <w:link w:val="Heading5Char"/>
    <w:semiHidden/>
    <w:unhideWhenUsed/>
    <w:qFormat/>
    <w:locked/>
    <w:rsid w:val="00C64D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unhideWhenUsed/>
    <w:rsid w:val="00C64D95"/>
    <w:pPr>
      <w:tabs>
        <w:tab w:val="center" w:pos="4680"/>
        <w:tab w:val="right" w:pos="9360"/>
      </w:tabs>
    </w:pPr>
  </w:style>
  <w:style w:type="character" w:customStyle="1" w:styleId="HeaderChar">
    <w:name w:val="Header Char"/>
    <w:basedOn w:val="DefaultParagraphFont"/>
    <w:link w:val="Header"/>
    <w:uiPriority w:val="99"/>
    <w:rsid w:val="00C64D95"/>
    <w:rPr>
      <w:rFonts w:ascii="Times New Roman" w:hAnsi="Times New Roman"/>
      <w:sz w:val="24"/>
      <w:szCs w:val="24"/>
    </w:rPr>
  </w:style>
  <w:style w:type="paragraph" w:styleId="Footer">
    <w:name w:val="footer"/>
    <w:basedOn w:val="Normal"/>
    <w:link w:val="FooterChar"/>
    <w:uiPriority w:val="99"/>
    <w:unhideWhenUsed/>
    <w:rsid w:val="00C64D95"/>
    <w:pPr>
      <w:tabs>
        <w:tab w:val="center" w:pos="4680"/>
        <w:tab w:val="right" w:pos="9360"/>
      </w:tabs>
    </w:pPr>
  </w:style>
  <w:style w:type="character" w:customStyle="1" w:styleId="FooterChar">
    <w:name w:val="Footer Char"/>
    <w:basedOn w:val="DefaultParagraphFont"/>
    <w:link w:val="Footer"/>
    <w:uiPriority w:val="99"/>
    <w:rsid w:val="00C64D95"/>
    <w:rPr>
      <w:rFonts w:ascii="Times New Roman" w:hAnsi="Times New Roman"/>
      <w:sz w:val="24"/>
      <w:szCs w:val="24"/>
    </w:rPr>
  </w:style>
  <w:style w:type="character" w:customStyle="1" w:styleId="Heading5Char">
    <w:name w:val="Heading 5 Char"/>
    <w:basedOn w:val="DefaultParagraphFont"/>
    <w:link w:val="Heading5"/>
    <w:semiHidden/>
    <w:rsid w:val="00C64D95"/>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rsid w:val="00C64D95"/>
    <w:rPr>
      <w:rFonts w:eastAsia="Times New Roman" w:cs="Times New Roman"/>
      <w:sz w:val="20"/>
    </w:rPr>
  </w:style>
  <w:style w:type="character" w:customStyle="1" w:styleId="BodyText3Char">
    <w:name w:val="Body Text 3 Char"/>
    <w:basedOn w:val="DefaultParagraphFont"/>
    <w:link w:val="BodyText3"/>
    <w:rsid w:val="00C64D95"/>
    <w:rPr>
      <w:rFonts w:ascii="Times New Roman" w:eastAsia="Times New Roman" w:hAnsi="Times New Roman" w:cs="Times New Roman"/>
      <w:szCs w:val="24"/>
    </w:rPr>
  </w:style>
  <w:style w:type="paragraph" w:styleId="Title">
    <w:name w:val="Title"/>
    <w:basedOn w:val="Normal"/>
    <w:link w:val="TitleChar"/>
    <w:qFormat/>
    <w:locked/>
    <w:rsid w:val="00C64D95"/>
    <w:pPr>
      <w:jc w:val="center"/>
    </w:pPr>
    <w:rPr>
      <w:rFonts w:eastAsia="Times New Roman" w:cs="Times New Roman"/>
      <w:b/>
      <w:bCs/>
    </w:rPr>
  </w:style>
  <w:style w:type="character" w:customStyle="1" w:styleId="TitleChar">
    <w:name w:val="Title Char"/>
    <w:basedOn w:val="DefaultParagraphFont"/>
    <w:link w:val="Title"/>
    <w:rsid w:val="00C64D95"/>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64D95"/>
  </w:style>
  <w:style w:type="paragraph" w:styleId="BalloonText">
    <w:name w:val="Balloon Text"/>
    <w:basedOn w:val="Normal"/>
    <w:link w:val="BalloonTextChar"/>
    <w:uiPriority w:val="99"/>
    <w:semiHidden/>
    <w:unhideWhenUsed/>
    <w:rsid w:val="00C64D95"/>
    <w:rPr>
      <w:rFonts w:ascii="Tahoma" w:hAnsi="Tahoma" w:cs="Tahoma"/>
      <w:sz w:val="16"/>
      <w:szCs w:val="16"/>
    </w:rPr>
  </w:style>
  <w:style w:type="character" w:customStyle="1" w:styleId="BalloonTextChar">
    <w:name w:val="Balloon Text Char"/>
    <w:basedOn w:val="DefaultParagraphFont"/>
    <w:link w:val="BalloonText"/>
    <w:uiPriority w:val="99"/>
    <w:semiHidden/>
    <w:rsid w:val="00C64D95"/>
    <w:rPr>
      <w:rFonts w:ascii="Tahoma" w:hAnsi="Tahoma" w:cs="Tahoma"/>
      <w:sz w:val="16"/>
      <w:szCs w:val="16"/>
    </w:rPr>
  </w:style>
  <w:style w:type="paragraph" w:styleId="BodyText">
    <w:name w:val="Body Text"/>
    <w:basedOn w:val="Normal"/>
    <w:link w:val="BodyTextChar"/>
    <w:uiPriority w:val="99"/>
    <w:semiHidden/>
    <w:unhideWhenUsed/>
    <w:rsid w:val="00142937"/>
    <w:pPr>
      <w:spacing w:after="120"/>
    </w:pPr>
  </w:style>
  <w:style w:type="character" w:customStyle="1" w:styleId="BodyTextChar">
    <w:name w:val="Body Text Char"/>
    <w:basedOn w:val="DefaultParagraphFont"/>
    <w:link w:val="BodyText"/>
    <w:uiPriority w:val="99"/>
    <w:semiHidden/>
    <w:rsid w:val="00142937"/>
    <w:rPr>
      <w:rFonts w:ascii="Times New Roman" w:hAnsi="Times New Roman"/>
      <w:sz w:val="24"/>
      <w:szCs w:val="24"/>
    </w:rPr>
  </w:style>
  <w:style w:type="paragraph" w:customStyle="1" w:styleId="Default">
    <w:name w:val="Default"/>
    <w:rsid w:val="00142937"/>
    <w:pPr>
      <w:autoSpaceDE w:val="0"/>
      <w:autoSpaceDN w:val="0"/>
      <w:adjustRightInd w:val="0"/>
    </w:pPr>
    <w:rPr>
      <w:rFonts w:ascii="Arial" w:eastAsia="Times New Roman" w:hAnsi="Arial"/>
      <w:color w:val="000000"/>
      <w:sz w:val="24"/>
      <w:szCs w:val="24"/>
    </w:rPr>
  </w:style>
  <w:style w:type="character" w:styleId="Hyperlink">
    <w:name w:val="Hyperlink"/>
    <w:basedOn w:val="DefaultParagraphFont"/>
    <w:rsid w:val="00142937"/>
    <w:rPr>
      <w:color w:val="0000FF"/>
      <w:u w:val="single"/>
    </w:rPr>
  </w:style>
  <w:style w:type="paragraph" w:customStyle="1" w:styleId="ChapterHeading">
    <w:name w:val="ChapterHeading"/>
    <w:qFormat/>
    <w:rsid w:val="00142937"/>
    <w:pPr>
      <w:keepNext/>
      <w:spacing w:after="60"/>
      <w:jc w:val="center"/>
      <w:outlineLvl w:val="0"/>
    </w:pPr>
    <w:rPr>
      <w:rFonts w:ascii="Arial" w:eastAsia="Times New Roman" w:hAnsi="Arial" w:cs="Times New Roman"/>
      <w:b/>
      <w:bCs/>
      <w:sz w:val="36"/>
      <w:szCs w:val="24"/>
    </w:rPr>
  </w:style>
  <w:style w:type="paragraph" w:styleId="ListParagraph">
    <w:name w:val="List Paragraph"/>
    <w:basedOn w:val="Normal"/>
    <w:uiPriority w:val="34"/>
    <w:qFormat/>
    <w:rsid w:val="00D47056"/>
    <w:pPr>
      <w:ind w:left="720"/>
      <w:contextualSpacing/>
    </w:pPr>
  </w:style>
  <w:style w:type="paragraph" w:customStyle="1" w:styleId="KeyQuestion">
    <w:name w:val="KeyQuestion"/>
    <w:qFormat/>
    <w:rsid w:val="00D47056"/>
    <w:pPr>
      <w:keepLines/>
      <w:spacing w:before="240" w:after="60"/>
    </w:pPr>
    <w:rPr>
      <w:rFonts w:ascii="Arial" w:eastAsia="Times New Roman" w:hAnsi="Arial"/>
      <w:iCs/>
      <w:sz w:val="28"/>
      <w:szCs w:val="28"/>
    </w:rPr>
  </w:style>
  <w:style w:type="paragraph" w:customStyle="1" w:styleId="Level2Heading">
    <w:name w:val="Level2Heading"/>
    <w:qFormat/>
    <w:rsid w:val="00D47056"/>
    <w:pPr>
      <w:keepNext/>
      <w:spacing w:before="240" w:after="60"/>
      <w:outlineLvl w:val="2"/>
    </w:pPr>
    <w:rPr>
      <w:rFonts w:ascii="Times New Roman" w:eastAsia="Times New Roman" w:hAnsi="Times New Roman" w:cs="Times New Roman"/>
      <w:b/>
      <w:bCs/>
      <w:sz w:val="32"/>
      <w:szCs w:val="24"/>
    </w:rPr>
  </w:style>
  <w:style w:type="table" w:customStyle="1" w:styleId="TableGrid1">
    <w:name w:val="Table Grid1"/>
    <w:basedOn w:val="TableNormal"/>
    <w:next w:val="TableGrid"/>
    <w:uiPriority w:val="59"/>
    <w:rsid w:val="0022127B"/>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5661">
      <w:bodyDiv w:val="1"/>
      <w:marLeft w:val="0"/>
      <w:marRight w:val="0"/>
      <w:marTop w:val="0"/>
      <w:marBottom w:val="0"/>
      <w:divBdr>
        <w:top w:val="none" w:sz="0" w:space="0" w:color="auto"/>
        <w:left w:val="none" w:sz="0" w:space="0" w:color="auto"/>
        <w:bottom w:val="none" w:sz="0" w:space="0" w:color="auto"/>
        <w:right w:val="none" w:sz="0" w:space="0" w:color="auto"/>
      </w:divBdr>
    </w:div>
    <w:div w:id="78525752">
      <w:bodyDiv w:val="1"/>
      <w:marLeft w:val="0"/>
      <w:marRight w:val="0"/>
      <w:marTop w:val="0"/>
      <w:marBottom w:val="0"/>
      <w:divBdr>
        <w:top w:val="none" w:sz="0" w:space="0" w:color="auto"/>
        <w:left w:val="none" w:sz="0" w:space="0" w:color="auto"/>
        <w:bottom w:val="none" w:sz="0" w:space="0" w:color="auto"/>
        <w:right w:val="none" w:sz="0" w:space="0" w:color="auto"/>
      </w:divBdr>
    </w:div>
    <w:div w:id="19147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5</cp:revision>
  <dcterms:created xsi:type="dcterms:W3CDTF">2015-11-05T19:15:00Z</dcterms:created>
  <dcterms:modified xsi:type="dcterms:W3CDTF">2016-01-28T14:13:00Z</dcterms:modified>
</cp:coreProperties>
</file>