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86" w:rsidRPr="00707316" w:rsidRDefault="00443D86" w:rsidP="00443D86">
      <w:pPr>
        <w:pStyle w:val="TableTitle"/>
        <w:spacing w:before="0"/>
      </w:pPr>
      <w:bookmarkStart w:id="0" w:name="_Toc378932132"/>
      <w:bookmarkStart w:id="1" w:name="_Toc384280930"/>
      <w:bookmarkStart w:id="2" w:name="_Toc387130629"/>
      <w:proofErr w:type="gramStart"/>
      <w:r w:rsidRPr="00707316">
        <w:t>Table 33.</w:t>
      </w:r>
      <w:proofErr w:type="gramEnd"/>
      <w:r w:rsidRPr="00707316">
        <w:t xml:space="preserve"> Intervention characteristics of included studies for Key Question 3b and 3c</w:t>
      </w:r>
      <w:bookmarkEnd w:id="0"/>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44"/>
        <w:gridCol w:w="808"/>
        <w:gridCol w:w="1283"/>
        <w:gridCol w:w="361"/>
        <w:gridCol w:w="449"/>
        <w:gridCol w:w="1081"/>
        <w:gridCol w:w="1530"/>
        <w:gridCol w:w="1351"/>
        <w:gridCol w:w="1260"/>
        <w:gridCol w:w="452"/>
        <w:gridCol w:w="512"/>
        <w:gridCol w:w="1294"/>
        <w:gridCol w:w="1265"/>
      </w:tblGrid>
      <w:tr w:rsidR="00443D86" w:rsidRPr="00707316" w:rsidTr="00D657A7">
        <w:trPr>
          <w:cantSplit/>
          <w:trHeight w:val="1460"/>
          <w:tblHeader/>
        </w:trPr>
        <w:tc>
          <w:tcPr>
            <w:tcW w:w="517" w:type="pct"/>
            <w:shd w:val="pct25" w:color="auto" w:fill="auto"/>
            <w:noWrap/>
            <w:tcMar>
              <w:top w:w="15" w:type="dxa"/>
              <w:left w:w="15" w:type="dxa"/>
              <w:bottom w:w="0" w:type="dxa"/>
              <w:right w:w="15" w:type="dxa"/>
            </w:tcMar>
            <w:vAlign w:val="center"/>
            <w:hideMark/>
          </w:tcPr>
          <w:p w:rsidR="00443D86" w:rsidRPr="00707316" w:rsidRDefault="00443D86" w:rsidP="00D657A7">
            <w:pPr>
              <w:pStyle w:val="TableColumnHead"/>
            </w:pPr>
            <w:r w:rsidRPr="00707316">
              <w:t>Author, Year Quality</w:t>
            </w:r>
          </w:p>
        </w:tc>
        <w:tc>
          <w:tcPr>
            <w:tcW w:w="311" w:type="pct"/>
            <w:shd w:val="pct25" w:color="auto" w:fill="auto"/>
            <w:noWrap/>
            <w:tcMar>
              <w:top w:w="15" w:type="dxa"/>
              <w:left w:w="15" w:type="dxa"/>
              <w:bottom w:w="0" w:type="dxa"/>
              <w:right w:w="15" w:type="dxa"/>
            </w:tcMar>
            <w:vAlign w:val="center"/>
            <w:hideMark/>
          </w:tcPr>
          <w:p w:rsidR="00443D86" w:rsidRPr="00707316" w:rsidRDefault="00443D86" w:rsidP="00D657A7">
            <w:pPr>
              <w:pStyle w:val="TableColumnHead"/>
            </w:pPr>
            <w:r w:rsidRPr="00707316">
              <w:t>Inter-vention</w:t>
            </w:r>
          </w:p>
        </w:tc>
        <w:tc>
          <w:tcPr>
            <w:tcW w:w="494" w:type="pct"/>
            <w:shd w:val="pct25" w:color="auto" w:fill="auto"/>
            <w:noWrap/>
            <w:tcMar>
              <w:top w:w="15" w:type="dxa"/>
              <w:left w:w="15" w:type="dxa"/>
              <w:bottom w:w="0" w:type="dxa"/>
              <w:right w:w="15" w:type="dxa"/>
            </w:tcMar>
            <w:vAlign w:val="center"/>
            <w:hideMark/>
          </w:tcPr>
          <w:p w:rsidR="00443D86" w:rsidRPr="00707316" w:rsidRDefault="00443D86" w:rsidP="00D657A7">
            <w:pPr>
              <w:pStyle w:val="TableColumnHead"/>
            </w:pPr>
            <w:r w:rsidRPr="00707316">
              <w:t>Device</w:t>
            </w:r>
          </w:p>
        </w:tc>
        <w:tc>
          <w:tcPr>
            <w:tcW w:w="139" w:type="pct"/>
            <w:shd w:val="pct25" w:color="auto" w:fill="auto"/>
            <w:noWrap/>
            <w:tcMar>
              <w:top w:w="15" w:type="dxa"/>
              <w:left w:w="15" w:type="dxa"/>
              <w:bottom w:w="0" w:type="dxa"/>
              <w:right w:w="15" w:type="dxa"/>
            </w:tcMar>
            <w:textDirection w:val="btLr"/>
            <w:vAlign w:val="center"/>
            <w:hideMark/>
          </w:tcPr>
          <w:p w:rsidR="00443D86" w:rsidRPr="00707316" w:rsidRDefault="00443D86" w:rsidP="00D657A7">
            <w:pPr>
              <w:pStyle w:val="TableColumnHead"/>
              <w:ind w:left="113" w:right="113"/>
            </w:pPr>
            <w:r w:rsidRPr="00707316">
              <w:t>Oscil Or Ausc</w:t>
            </w:r>
          </w:p>
        </w:tc>
        <w:tc>
          <w:tcPr>
            <w:tcW w:w="173" w:type="pct"/>
            <w:shd w:val="pct25" w:color="auto" w:fill="auto"/>
            <w:noWrap/>
            <w:tcMar>
              <w:top w:w="15" w:type="dxa"/>
              <w:left w:w="15" w:type="dxa"/>
              <w:bottom w:w="0" w:type="dxa"/>
              <w:right w:w="15" w:type="dxa"/>
            </w:tcMar>
            <w:textDirection w:val="btLr"/>
            <w:vAlign w:val="center"/>
            <w:hideMark/>
          </w:tcPr>
          <w:p w:rsidR="00443D86" w:rsidRPr="00707316" w:rsidRDefault="00443D86" w:rsidP="00D657A7">
            <w:pPr>
              <w:pStyle w:val="TableColumnHead"/>
              <w:ind w:left="113" w:right="113"/>
            </w:pPr>
            <w:r w:rsidRPr="00707316">
              <w:t>Auto Or Man</w:t>
            </w:r>
          </w:p>
        </w:tc>
        <w:tc>
          <w:tcPr>
            <w:tcW w:w="416" w:type="pct"/>
            <w:shd w:val="pct25" w:color="auto" w:fill="auto"/>
            <w:noWrap/>
            <w:tcMar>
              <w:top w:w="15" w:type="dxa"/>
              <w:left w:w="15" w:type="dxa"/>
              <w:bottom w:w="0" w:type="dxa"/>
              <w:right w:w="15" w:type="dxa"/>
            </w:tcMar>
            <w:vAlign w:val="center"/>
            <w:hideMark/>
          </w:tcPr>
          <w:p w:rsidR="00443D86" w:rsidRPr="00707316" w:rsidRDefault="00443D86" w:rsidP="00D657A7">
            <w:pPr>
              <w:pStyle w:val="TableColumnHead"/>
            </w:pPr>
            <w:r w:rsidRPr="00707316">
              <w:t># of Measure-ments</w:t>
            </w:r>
          </w:p>
        </w:tc>
        <w:tc>
          <w:tcPr>
            <w:tcW w:w="589" w:type="pct"/>
            <w:shd w:val="pct25" w:color="auto" w:fill="auto"/>
            <w:noWrap/>
            <w:tcMar>
              <w:top w:w="15" w:type="dxa"/>
              <w:left w:w="15" w:type="dxa"/>
              <w:bottom w:w="0" w:type="dxa"/>
              <w:right w:w="15" w:type="dxa"/>
            </w:tcMar>
            <w:vAlign w:val="center"/>
            <w:hideMark/>
          </w:tcPr>
          <w:p w:rsidR="00443D86" w:rsidRPr="00707316" w:rsidRDefault="00443D86" w:rsidP="00D657A7">
            <w:pPr>
              <w:pStyle w:val="TableColumnHead"/>
            </w:pPr>
            <w:r w:rsidRPr="00707316">
              <w:t>Time Btwn Measurements</w:t>
            </w:r>
          </w:p>
        </w:tc>
        <w:tc>
          <w:tcPr>
            <w:tcW w:w="520" w:type="pct"/>
            <w:shd w:val="pct25" w:color="auto" w:fill="auto"/>
            <w:noWrap/>
            <w:tcMar>
              <w:top w:w="15" w:type="dxa"/>
              <w:left w:w="15" w:type="dxa"/>
              <w:bottom w:w="0" w:type="dxa"/>
              <w:right w:w="15" w:type="dxa"/>
            </w:tcMar>
            <w:vAlign w:val="center"/>
            <w:hideMark/>
          </w:tcPr>
          <w:p w:rsidR="00443D86" w:rsidRPr="00707316" w:rsidRDefault="00443D86" w:rsidP="00D657A7">
            <w:pPr>
              <w:pStyle w:val="TableColumnHead"/>
            </w:pPr>
            <w:r w:rsidRPr="00707316">
              <w:t>Method of BP Determination</w:t>
            </w:r>
          </w:p>
        </w:tc>
        <w:tc>
          <w:tcPr>
            <w:tcW w:w="485" w:type="pct"/>
            <w:shd w:val="pct25" w:color="auto" w:fill="auto"/>
            <w:noWrap/>
            <w:tcMar>
              <w:top w:w="15" w:type="dxa"/>
              <w:left w:w="15" w:type="dxa"/>
              <w:bottom w:w="0" w:type="dxa"/>
              <w:right w:w="15" w:type="dxa"/>
            </w:tcMar>
            <w:vAlign w:val="center"/>
            <w:hideMark/>
          </w:tcPr>
          <w:p w:rsidR="00443D86" w:rsidRPr="00707316" w:rsidRDefault="00443D86" w:rsidP="00D657A7">
            <w:pPr>
              <w:pStyle w:val="TableColumnHead"/>
            </w:pPr>
            <w:r w:rsidRPr="00707316">
              <w:t>Arm Position</w:t>
            </w:r>
          </w:p>
        </w:tc>
        <w:tc>
          <w:tcPr>
            <w:tcW w:w="174" w:type="pct"/>
            <w:shd w:val="pct25" w:color="auto" w:fill="auto"/>
            <w:noWrap/>
            <w:tcMar>
              <w:top w:w="15" w:type="dxa"/>
              <w:left w:w="15" w:type="dxa"/>
              <w:bottom w:w="0" w:type="dxa"/>
              <w:right w:w="15" w:type="dxa"/>
            </w:tcMar>
            <w:textDirection w:val="btLr"/>
            <w:vAlign w:val="center"/>
            <w:hideMark/>
          </w:tcPr>
          <w:p w:rsidR="00443D86" w:rsidRPr="00707316" w:rsidRDefault="00443D86" w:rsidP="00D657A7">
            <w:pPr>
              <w:pStyle w:val="TableColumnHead"/>
              <w:ind w:left="113" w:right="113"/>
            </w:pPr>
            <w:r w:rsidRPr="00707316">
              <w:t>Sitting</w:t>
            </w:r>
          </w:p>
        </w:tc>
        <w:tc>
          <w:tcPr>
            <w:tcW w:w="197" w:type="pct"/>
            <w:shd w:val="pct25" w:color="auto" w:fill="auto"/>
            <w:noWrap/>
            <w:tcMar>
              <w:top w:w="15" w:type="dxa"/>
              <w:left w:w="15" w:type="dxa"/>
              <w:bottom w:w="0" w:type="dxa"/>
              <w:right w:w="15" w:type="dxa"/>
            </w:tcMar>
            <w:textDirection w:val="btLr"/>
            <w:vAlign w:val="center"/>
            <w:hideMark/>
          </w:tcPr>
          <w:p w:rsidR="00443D86" w:rsidRPr="00707316" w:rsidRDefault="00443D86" w:rsidP="00D657A7">
            <w:pPr>
              <w:pStyle w:val="TableColumnHead"/>
              <w:ind w:left="113" w:right="113"/>
            </w:pPr>
            <w:r w:rsidRPr="00707316">
              <w:t>Resting Time (min)</w:t>
            </w:r>
          </w:p>
        </w:tc>
        <w:tc>
          <w:tcPr>
            <w:tcW w:w="498" w:type="pct"/>
            <w:shd w:val="pct25" w:color="auto" w:fill="auto"/>
            <w:noWrap/>
            <w:tcMar>
              <w:top w:w="15" w:type="dxa"/>
              <w:left w:w="15" w:type="dxa"/>
              <w:bottom w:w="0" w:type="dxa"/>
              <w:right w:w="15" w:type="dxa"/>
            </w:tcMar>
            <w:vAlign w:val="center"/>
            <w:hideMark/>
          </w:tcPr>
          <w:p w:rsidR="00443D86" w:rsidRPr="00707316" w:rsidRDefault="00443D86" w:rsidP="00D657A7">
            <w:pPr>
              <w:pStyle w:val="TableColumnHead"/>
            </w:pPr>
            <w:r w:rsidRPr="00707316">
              <w:t>Cuff Size (cm)</w:t>
            </w:r>
          </w:p>
        </w:tc>
        <w:tc>
          <w:tcPr>
            <w:tcW w:w="487" w:type="pct"/>
            <w:shd w:val="pct25" w:color="auto" w:fill="auto"/>
            <w:noWrap/>
            <w:tcMar>
              <w:top w:w="15" w:type="dxa"/>
              <w:left w:w="15" w:type="dxa"/>
              <w:bottom w:w="0" w:type="dxa"/>
              <w:right w:w="15" w:type="dxa"/>
            </w:tcMar>
            <w:vAlign w:val="center"/>
            <w:hideMark/>
          </w:tcPr>
          <w:p w:rsidR="00443D86" w:rsidRPr="00707316" w:rsidRDefault="00443D86" w:rsidP="00D657A7">
            <w:pPr>
              <w:pStyle w:val="TableColumnHead"/>
            </w:pPr>
            <w:r w:rsidRPr="00707316">
              <w:t>Interven-tionist (training)</w:t>
            </w:r>
          </w:p>
        </w:tc>
      </w:tr>
      <w:tr w:rsidR="00443D86" w:rsidRPr="00707316" w:rsidTr="00D657A7">
        <w:trPr>
          <w:cantSplit/>
          <w:trHeight w:val="864"/>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Andreadis, 2012</w:t>
            </w:r>
            <w:r w:rsidRPr="00EE7EF5">
              <w:rPr>
                <w:noProof/>
                <w:vertAlign w:val="superscript"/>
              </w:rPr>
              <w:t>128</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Good</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Microlife WatchBP</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96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Morning ABPM average of reading taken in the first hour of waking, first 2 hours of waking and in the first 3 hours of waking (based on diary)</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Immobilize arm during measurement</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22 x 32 or 32 x 42</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1829"/>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HBPM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Omron 705 IT, Omron HEM 705 CP, Microlife BPA100Pluse</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4 (2 per session)</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 w/in 1 hour after waking and in the evening before going to bed</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Morning HBPM average of all morning recordings taken 1 hour after waking</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13 x 23 or 15 x 30 (Omron 705); 12 x 23 or 14 x 28 (Omron 705CP); 22-42 (Microlife); according to arm circumference</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Self (Shown how to use the devices and instructed)</w:t>
            </w:r>
          </w:p>
        </w:tc>
      </w:tr>
      <w:tr w:rsidR="00443D86" w:rsidRPr="00707316" w:rsidTr="00D657A7">
        <w:trPr>
          <w:cantSplit/>
          <w:trHeight w:val="848"/>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Microlife WatchBP</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6</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Averaged, one calibration reading not included in the six readings.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Supported by adjustable armrests at heart level</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864"/>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Celis, 2002</w:t>
            </w:r>
            <w:r w:rsidRPr="00EE7EF5">
              <w:rPr>
                <w:noProof/>
                <w:vertAlign w:val="superscript"/>
              </w:rPr>
              <w:t>114</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(daytime)</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90207 and 90239A</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40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8 AM - 10 PM; q30min at other times</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Daytime defined as mean of all readings between 10:00 AM and 8:00 PM weighted for time interval between consecutive readings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576"/>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6</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of 6 readings (3 each at 2 visits)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576"/>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lastRenderedPageBreak/>
              <w:t>Cuspidi, 2011</w:t>
            </w:r>
            <w:r w:rsidRPr="00EE7EF5">
              <w:rPr>
                <w:noProof/>
                <w:vertAlign w:val="superscript"/>
              </w:rPr>
              <w:t>129</w:t>
            </w:r>
            <w:r w:rsidRPr="00707316">
              <w:t xml:space="preserve"> (4856)  </w:t>
            </w:r>
          </w:p>
          <w:p w:rsidR="00443D86" w:rsidRPr="00707316" w:rsidRDefault="00443D86" w:rsidP="00D657A7">
            <w:pPr>
              <w:pStyle w:val="TableText"/>
            </w:pPr>
          </w:p>
          <w:p w:rsidR="00443D86" w:rsidRPr="00707316" w:rsidRDefault="00443D86" w:rsidP="00D657A7">
            <w:pPr>
              <w:pStyle w:val="TableText"/>
            </w:pPr>
            <w:r w:rsidRPr="00707316">
              <w:t>Good</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90207</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88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7 AM - 11 PM; q20min 11 PM - 7 AM</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24hr</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Still</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353"/>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 of three measurements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576"/>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Fogari, 1996</w:t>
            </w:r>
            <w:r w:rsidRPr="00EE7EF5">
              <w:rPr>
                <w:noProof/>
                <w:vertAlign w:val="superscript"/>
              </w:rPr>
              <w:t>130</w:t>
            </w:r>
            <w:r w:rsidRPr="00707316">
              <w:t xml:space="preserve"> (13470)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90207</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96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Averaged BP measurements for daytime (6AM - 10 PM) and nighttime</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443"/>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 (first visit), 3 (remaining visits)</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Averaged</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2, 10</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(NR)</w:t>
            </w:r>
          </w:p>
        </w:tc>
      </w:tr>
      <w:tr w:rsidR="00443D86" w:rsidRPr="00707316" w:rsidTr="00D657A7">
        <w:trPr>
          <w:cantSplit/>
          <w:trHeight w:val="794"/>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Gerc, 2000</w:t>
            </w:r>
            <w:r w:rsidRPr="00EE7EF5">
              <w:rPr>
                <w:noProof/>
                <w:vertAlign w:val="superscript"/>
              </w:rPr>
              <w:t>131</w:t>
            </w:r>
            <w:r w:rsidRPr="00707316">
              <w:t xml:space="preserve"> (10194)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(daytime)</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Remler M200, Sandoz Pressure System, and the Profilomat</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36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q20min</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Stationary during cuff deflation</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182"/>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Nurse 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Nurse (NR)</w:t>
            </w:r>
          </w:p>
        </w:tc>
      </w:tr>
      <w:tr w:rsidR="00443D86" w:rsidRPr="00707316" w:rsidTr="00D657A7">
        <w:trPr>
          <w:cantSplit/>
          <w:trHeight w:val="110"/>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(NR)</w:t>
            </w:r>
          </w:p>
        </w:tc>
      </w:tr>
      <w:tr w:rsidR="00443D86" w:rsidRPr="00707316" w:rsidTr="00D657A7">
        <w:trPr>
          <w:cantSplit/>
          <w:trHeight w:val="576"/>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Graves, 2010</w:t>
            </w:r>
            <w:r w:rsidRPr="00EE7EF5">
              <w:rPr>
                <w:noProof/>
                <w:vertAlign w:val="superscript"/>
              </w:rPr>
              <w:t>132</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90208</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72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9 AM - 9 PM); q30min at night</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Daytime average (median of 31 readings included in calculated averages)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576"/>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Auto-mated 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Omron 705 CP</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Average of the second and third readings; 2. Average of all three readings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At heart level</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Appropriate to arm size</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4178"/>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Manual 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Average of the second and third readings</w:t>
            </w:r>
            <w:r w:rsidRPr="00707316">
              <w:br/>
              <w:t>2. Average of all three readings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At heart level</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Appropriate to arm size</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Registered nurses (Formal instruction in performing ausculatory BP measurements according to the American Heart Association Guidelines. Training was uniform across observers and full instructions were specified within the study protocol for the anti-hypertensive treatment trial.)</w:t>
            </w:r>
          </w:p>
        </w:tc>
      </w:tr>
      <w:tr w:rsidR="00443D86" w:rsidRPr="00707316" w:rsidTr="00D657A7">
        <w:trPr>
          <w:cantSplit/>
          <w:trHeight w:val="864"/>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Gustavsen, 2003</w:t>
            </w:r>
            <w:r w:rsidRPr="00EE7EF5">
              <w:rPr>
                <w:noProof/>
                <w:vertAlign w:val="superscript"/>
              </w:rPr>
              <w:t>133</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A&amp;D TM2420</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80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7 AM - 11 PM, q30min 11 PM - 7 AM</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daytime BP 8 AM - 10 PM, nighttime 12 - 6 AM</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551"/>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Aneroid or mercury column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NA</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(NR)</w:t>
            </w:r>
          </w:p>
        </w:tc>
      </w:tr>
      <w:tr w:rsidR="00443D86" w:rsidRPr="00707316" w:rsidTr="00D657A7">
        <w:trPr>
          <w:cantSplit/>
          <w:trHeight w:val="576"/>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Hond, 2003b</w:t>
            </w:r>
            <w:r w:rsidRPr="00EE7EF5">
              <w:rPr>
                <w:noProof/>
                <w:vertAlign w:val="superscript"/>
              </w:rPr>
              <w:t>134</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90207</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76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8AM - 10 PM, q30min 10 PM - 8 AM</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Daytime time-weighted means 10AM - 8 PM, nighttime time weighted mean midnight - 6 AM</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24 x 14 or 32 x 15</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290"/>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HBPM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Omron HEM 705 CP</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6 (3 per morning and evening)</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(12 hours between sessions)</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24 x 14 or 32 x 15</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Self (Instructed by physician or nurse)</w:t>
            </w:r>
          </w:p>
        </w:tc>
      </w:tr>
      <w:tr w:rsidR="00443D86" w:rsidRPr="00707316" w:rsidTr="00D657A7">
        <w:trPr>
          <w:cantSplit/>
          <w:trHeight w:val="576"/>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Last two measurements of the two visits were averaged</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24 x 14 or 32 x 15</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(NR)</w:t>
            </w:r>
          </w:p>
        </w:tc>
      </w:tr>
      <w:tr w:rsidR="00443D86" w:rsidRPr="00707316" w:rsidTr="00D657A7">
        <w:trPr>
          <w:cantSplit/>
          <w:trHeight w:val="1152"/>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Hozawa, 2002</w:t>
            </w:r>
            <w:r w:rsidRPr="00EE7EF5">
              <w:rPr>
                <w:noProof/>
                <w:vertAlign w:val="superscript"/>
              </w:rPr>
              <w:t>127</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ABPM-630</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48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q30min</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Daytime BP average over 8 hours of waking time, nighttime BP average of 4 hours while subject in bed, average 24hr daytime and nighttime BP calculations over 24hr; time calculated from diaries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272"/>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HBPM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Omron HEM 401C</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 (morning and evening)</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of all measurements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Self (Health education classes)</w:t>
            </w:r>
          </w:p>
        </w:tc>
      </w:tr>
      <w:tr w:rsidR="00443D86" w:rsidRPr="00707316" w:rsidTr="00D657A7">
        <w:trPr>
          <w:cantSplit/>
          <w:trHeight w:val="576"/>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USM700F</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Nurse or technician (NR)</w:t>
            </w:r>
          </w:p>
        </w:tc>
      </w:tr>
      <w:tr w:rsidR="00443D86" w:rsidRPr="00707316" w:rsidTr="00D657A7">
        <w:trPr>
          <w:cantSplit/>
          <w:trHeight w:val="576"/>
        </w:trPr>
        <w:tc>
          <w:tcPr>
            <w:tcW w:w="517"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Aihara, 1998</w:t>
            </w:r>
            <w:r w:rsidRPr="003F6BE8">
              <w:rPr>
                <w:i/>
                <w:vertAlign w:val="superscript"/>
              </w:rPr>
              <w:t>293</w:t>
            </w:r>
            <w:r w:rsidRPr="00707316">
              <w:rPr>
                <w:i/>
              </w:rPr>
              <w:t xml:space="preserve"> (companion publication to Hozawa, 2002) </w:t>
            </w:r>
          </w:p>
          <w:p w:rsidR="00443D86" w:rsidRPr="00707316" w:rsidRDefault="00443D86" w:rsidP="00D657A7">
            <w:pPr>
              <w:pStyle w:val="TableText"/>
              <w:rPr>
                <w:i/>
              </w:rPr>
            </w:pPr>
          </w:p>
          <w:p w:rsidR="00443D86" w:rsidRPr="00707316" w:rsidRDefault="00443D86" w:rsidP="00D657A7">
            <w:pPr>
              <w:pStyle w:val="TableText"/>
              <w:rPr>
                <w:i/>
              </w:rPr>
            </w:pPr>
            <w:r w:rsidRPr="00707316">
              <w:rPr>
                <w:i/>
              </w:rPr>
              <w:t>Fair</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ABPM (24hr)</w:t>
            </w:r>
          </w:p>
        </w:tc>
        <w:tc>
          <w:tcPr>
            <w:tcW w:w="4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ABPM-630</w:t>
            </w:r>
          </w:p>
        </w:tc>
        <w:tc>
          <w:tcPr>
            <w:tcW w:w="13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48 (max), 46.9 (mean)</w:t>
            </w:r>
          </w:p>
        </w:tc>
        <w:tc>
          <w:tcPr>
            <w:tcW w:w="5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q30min</w:t>
            </w:r>
          </w:p>
        </w:tc>
        <w:tc>
          <w:tcPr>
            <w:tcW w:w="5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Daytime BP average over 8 hours of waking time, nighttime BP average of 4 hours while subject in bed, average 24hr daytime and nighttime BP calculations over 24hr</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NR</w:t>
            </w:r>
          </w:p>
        </w:tc>
        <w:tc>
          <w:tcPr>
            <w:tcW w:w="17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NR</w:t>
            </w:r>
          </w:p>
        </w:tc>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NR</w:t>
            </w:r>
          </w:p>
        </w:tc>
        <w:tc>
          <w:tcPr>
            <w:tcW w:w="49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Standard</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NR (Household representatives attended classes for ABPM)</w:t>
            </w:r>
          </w:p>
        </w:tc>
      </w:tr>
      <w:tr w:rsidR="00443D86" w:rsidRPr="00707316" w:rsidTr="00D657A7">
        <w:trPr>
          <w:cantSplit/>
          <w:trHeight w:val="576"/>
        </w:trPr>
        <w:tc>
          <w:tcPr>
            <w:tcW w:w="517"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p>
        </w:tc>
        <w:tc>
          <w:tcPr>
            <w:tcW w:w="31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OBPM</w:t>
            </w:r>
          </w:p>
        </w:tc>
        <w:tc>
          <w:tcPr>
            <w:tcW w:w="4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USM 700F</w:t>
            </w:r>
          </w:p>
        </w:tc>
        <w:tc>
          <w:tcPr>
            <w:tcW w:w="13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U</w:t>
            </w:r>
          </w:p>
        </w:tc>
        <w:tc>
          <w:tcPr>
            <w:tcW w:w="17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A</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2</w:t>
            </w:r>
          </w:p>
        </w:tc>
        <w:tc>
          <w:tcPr>
            <w:tcW w:w="5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NR</w:t>
            </w:r>
          </w:p>
        </w:tc>
        <w:tc>
          <w:tcPr>
            <w:tcW w:w="5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NR</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NR</w:t>
            </w:r>
          </w:p>
        </w:tc>
        <w:tc>
          <w:tcPr>
            <w:tcW w:w="17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sym w:font="Wingdings" w:char="F0FC"/>
            </w:r>
          </w:p>
        </w:tc>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2</w:t>
            </w:r>
          </w:p>
        </w:tc>
        <w:tc>
          <w:tcPr>
            <w:tcW w:w="49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Standard</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43D86" w:rsidRPr="00707316" w:rsidRDefault="00443D86" w:rsidP="00D657A7">
            <w:pPr>
              <w:pStyle w:val="TableText"/>
              <w:rPr>
                <w:i/>
              </w:rPr>
            </w:pPr>
            <w:r w:rsidRPr="00707316">
              <w:rPr>
                <w:i/>
              </w:rPr>
              <w:t>Nurse or technician (NR)</w:t>
            </w:r>
          </w:p>
        </w:tc>
      </w:tr>
      <w:tr w:rsidR="00443D86" w:rsidRPr="00707316" w:rsidTr="00D657A7">
        <w:trPr>
          <w:cantSplit/>
          <w:trHeight w:val="864"/>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Inden, 1998</w:t>
            </w:r>
            <w:r w:rsidRPr="00EE7EF5">
              <w:rPr>
                <w:noProof/>
                <w:vertAlign w:val="superscript"/>
              </w:rPr>
              <w:t>135</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ABPM-630</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50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q30min</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during daytime (7 AM - 11:30 PM) and nighttime (11:00 PM - 6:30 AM) and 24hrs after removing the first 2 measurements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576"/>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1728"/>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Kario, 2013</w:t>
            </w:r>
            <w:r w:rsidRPr="00EE7EF5">
              <w:rPr>
                <w:noProof/>
                <w:vertAlign w:val="superscript"/>
              </w:rPr>
              <w:t>136</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48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q30min</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data during 24hr, daytime and nighttime periods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(Trained participant as recommended by JSH guidelines)</w:t>
            </w:r>
          </w:p>
        </w:tc>
      </w:tr>
      <w:tr w:rsidR="00443D86" w:rsidRPr="00707316" w:rsidTr="00D657A7">
        <w:trPr>
          <w:cantSplit/>
          <w:trHeight w:val="1440"/>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HBPM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once in morning and once in evening</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of morning and evening</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Self (Trained by physician as recommended by JSH guidelines)</w:t>
            </w:r>
          </w:p>
        </w:tc>
      </w:tr>
      <w:tr w:rsidR="00443D86" w:rsidRPr="00707316" w:rsidTr="00D657A7">
        <w:trPr>
          <w:cantSplit/>
          <w:trHeight w:val="864"/>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NA</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One BP measurement</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Clinical practitioner (NR)</w:t>
            </w:r>
          </w:p>
        </w:tc>
      </w:tr>
      <w:tr w:rsidR="00443D86" w:rsidRPr="00707316" w:rsidTr="00D657A7">
        <w:trPr>
          <w:cantSplit/>
          <w:trHeight w:val="576"/>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lastRenderedPageBreak/>
              <w:t>Khoury, 1992</w:t>
            </w:r>
            <w:r w:rsidRPr="00EE7EF5">
              <w:rPr>
                <w:noProof/>
                <w:vertAlign w:val="superscript"/>
              </w:rPr>
              <w:t>137</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90207</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96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q10min 7 AM - 8 PM; q15min 8 PM - 10 PM; q30 min 10 PM - 11 PM; q60min 11 PM - 7 AM</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 hourly blood pressure</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1152"/>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NA</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Previous office casual blood pressures from the last 12 months were used for analysis. One measurement was made on the day ABPM was applied. Average of office measurements used.</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Nurses (NR)</w:t>
            </w:r>
          </w:p>
        </w:tc>
      </w:tr>
      <w:tr w:rsidR="00443D86" w:rsidRPr="00707316" w:rsidTr="00D657A7">
        <w:trPr>
          <w:cantSplit/>
          <w:trHeight w:val="299"/>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Licitra, 2012</w:t>
            </w:r>
            <w:r w:rsidRPr="00EE7EF5">
              <w:rPr>
                <w:noProof/>
                <w:vertAlign w:val="superscript"/>
              </w:rPr>
              <w:t>138</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90207</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Not enough information to calculate</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during daytime, q20min during nighttime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576"/>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Averaged</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w:t>
            </w:r>
          </w:p>
        </w:tc>
      </w:tr>
      <w:tr w:rsidR="00443D86" w:rsidRPr="00707316" w:rsidTr="00D657A7">
        <w:trPr>
          <w:cantSplit/>
          <w:trHeight w:val="1152"/>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lastRenderedPageBreak/>
              <w:t>Manning, 1999</w:t>
            </w:r>
            <w:r w:rsidRPr="00EE7EF5">
              <w:rPr>
                <w:noProof/>
                <w:vertAlign w:val="superscript"/>
              </w:rPr>
              <w:t>139</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Medilog ABP</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48 or 70</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q30min for 24 hours, or q15min from 7 AM - 6 PM and q30min 6 PM - 7 AM</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 of daytime and nighttime BPs as determined by diary; recordings in which &gt;=20% of recordings failed were rejected and those patients asked to return for repeat measurement</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576"/>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 measures per visit, 3 visits</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 of 3 readings per visit and then mean of 3 visits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864"/>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Martinez, 1999</w:t>
            </w:r>
            <w:r w:rsidRPr="00EE7EF5">
              <w:rPr>
                <w:noProof/>
                <w:vertAlign w:val="superscript"/>
              </w:rPr>
              <w:t>140</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90207</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during daytime; q30min all other hours</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Daytime average of BP between 10 AM and 8 PM; nighttime average 12 AM and 6 AM; 24hr average over entire period</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Still</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1019"/>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TRIMline (mercury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 or more</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 of two BP values, mean of 3 visits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Nurse and doctor (Trained with video-taped technique, re-trained every 3 months)</w:t>
            </w:r>
          </w:p>
        </w:tc>
      </w:tr>
      <w:tr w:rsidR="00443D86" w:rsidRPr="00707316" w:rsidTr="00D657A7">
        <w:trPr>
          <w:cantSplit/>
          <w:trHeight w:val="864"/>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lastRenderedPageBreak/>
              <w:t>Myers, 2010</w:t>
            </w:r>
            <w:r w:rsidRPr="00EE7EF5">
              <w:rPr>
                <w:noProof/>
                <w:vertAlign w:val="superscript"/>
              </w:rPr>
              <w:t>141</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Good</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90207</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76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8AM - 10 PM, q30min 10PM - 8 AM</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 awake ABP calculated according to the awake period as reported in each diary</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Technician (Instructed participant)</w:t>
            </w:r>
          </w:p>
        </w:tc>
      </w:tr>
      <w:tr w:rsidR="00443D86" w:rsidRPr="00707316" w:rsidTr="00D657A7">
        <w:trPr>
          <w:cantSplit/>
          <w:trHeight w:val="576"/>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Auto-mated 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BpTRU model 100</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 or 2 minutes</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 of 5 measurements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864"/>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Nasothimiou, 2012</w:t>
            </w:r>
            <w:r w:rsidRPr="00EE7EF5">
              <w:rPr>
                <w:noProof/>
                <w:vertAlign w:val="superscript"/>
              </w:rPr>
              <w:t>142</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Good</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90207 or 90217</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72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q20min</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At least 20 valid awake readings required. Average awake and asleep BP calculated.</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Forearm extended</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12 x 23 or 14 x 30 where appropriate</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(Instructions given)</w:t>
            </w:r>
          </w:p>
        </w:tc>
      </w:tr>
      <w:tr w:rsidR="00443D86" w:rsidRPr="00707316" w:rsidTr="00D657A7">
        <w:trPr>
          <w:cantSplit/>
          <w:trHeight w:val="794"/>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HBPM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Omron HEM 705 CP, Omron IC, Omron 705IT</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4 (2 per morning, 2 per evening)</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All HBP readings averaged.</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12 x 23 cm, 14 x 28 cm (HEM0705 and IC); 13 x 23, 15 x 30 (705IT)</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Self (Instructions given)</w:t>
            </w:r>
          </w:p>
        </w:tc>
      </w:tr>
      <w:tr w:rsidR="00443D86" w:rsidRPr="00707316" w:rsidTr="00D657A7">
        <w:trPr>
          <w:cantSplit/>
          <w:trHeight w:val="1901"/>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 1 minute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of the second and third clinic BP reading of the three visits averaged to give clinic BP.</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12 x 23 or 15 x 35 where appropriate</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(Met British Hypertension Society Protocol criteria for observer agreement in BP measurement.)</w:t>
            </w:r>
          </w:p>
        </w:tc>
      </w:tr>
      <w:tr w:rsidR="00443D86" w:rsidRPr="00707316" w:rsidTr="00D657A7">
        <w:trPr>
          <w:cantSplit/>
          <w:trHeight w:val="299"/>
        </w:trPr>
        <w:tc>
          <w:tcPr>
            <w:tcW w:w="517" w:type="pct"/>
            <w:vMerge w:val="restart"/>
            <w:shd w:val="clear" w:color="auto" w:fill="auto"/>
            <w:tcMar>
              <w:top w:w="15" w:type="dxa"/>
              <w:left w:w="15" w:type="dxa"/>
              <w:bottom w:w="0" w:type="dxa"/>
              <w:right w:w="15" w:type="dxa"/>
            </w:tcMar>
          </w:tcPr>
          <w:p w:rsidR="00443D86" w:rsidRPr="00707316" w:rsidRDefault="00443D86" w:rsidP="00D657A7">
            <w:pPr>
              <w:pStyle w:val="TableText"/>
            </w:pPr>
            <w:r w:rsidRPr="00707316">
              <w:t>Pessanha, 2013</w:t>
            </w:r>
            <w:r w:rsidRPr="00EE7EF5">
              <w:rPr>
                <w:noProof/>
                <w:vertAlign w:val="superscript"/>
              </w:rPr>
              <w:t>152</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tcPr>
          <w:p w:rsidR="00443D86" w:rsidRPr="00707316" w:rsidRDefault="00443D86" w:rsidP="00D657A7">
            <w:pPr>
              <w:pStyle w:val="TableText"/>
            </w:pPr>
            <w:r w:rsidRPr="00707316">
              <w:t>ABPM</w:t>
            </w:r>
          </w:p>
        </w:tc>
        <w:tc>
          <w:tcPr>
            <w:tcW w:w="494" w:type="pct"/>
            <w:shd w:val="clear" w:color="auto" w:fill="auto"/>
            <w:tcMar>
              <w:top w:w="15" w:type="dxa"/>
              <w:left w:w="15" w:type="dxa"/>
              <w:bottom w:w="0" w:type="dxa"/>
              <w:right w:w="15" w:type="dxa"/>
            </w:tcMar>
          </w:tcPr>
          <w:p w:rsidR="00443D86" w:rsidRPr="00707316" w:rsidRDefault="00443D86" w:rsidP="00D657A7">
            <w:pPr>
              <w:pStyle w:val="TableText"/>
            </w:pPr>
            <w:r w:rsidRPr="00707316">
              <w:t>SpaceLabs 90207</w:t>
            </w:r>
          </w:p>
        </w:tc>
        <w:tc>
          <w:tcPr>
            <w:tcW w:w="139" w:type="pct"/>
            <w:shd w:val="clear" w:color="auto" w:fill="auto"/>
            <w:tcMar>
              <w:top w:w="15" w:type="dxa"/>
              <w:left w:w="15" w:type="dxa"/>
              <w:bottom w:w="0" w:type="dxa"/>
              <w:right w:w="15" w:type="dxa"/>
            </w:tcMar>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tcPr>
          <w:p w:rsidR="00443D86" w:rsidRPr="00707316" w:rsidRDefault="00443D86" w:rsidP="00D657A7">
            <w:pPr>
              <w:pStyle w:val="TableText"/>
            </w:pPr>
            <w:r w:rsidRPr="00707316">
              <w:t>62 (max)</w:t>
            </w:r>
          </w:p>
        </w:tc>
        <w:tc>
          <w:tcPr>
            <w:tcW w:w="589" w:type="pct"/>
            <w:shd w:val="clear" w:color="auto" w:fill="auto"/>
            <w:tcMar>
              <w:top w:w="15" w:type="dxa"/>
              <w:left w:w="15" w:type="dxa"/>
              <w:bottom w:w="0" w:type="dxa"/>
              <w:right w:w="15" w:type="dxa"/>
            </w:tcMar>
          </w:tcPr>
          <w:p w:rsidR="00443D86" w:rsidRPr="00707316" w:rsidRDefault="00443D86" w:rsidP="00D657A7">
            <w:pPr>
              <w:pStyle w:val="TableText"/>
            </w:pPr>
            <w:r w:rsidRPr="00707316">
              <w:t>q20min 7 AM - 11 PM; q30 min 11:30 PM - 6:30 AM</w:t>
            </w:r>
          </w:p>
        </w:tc>
        <w:tc>
          <w:tcPr>
            <w:tcW w:w="520" w:type="pct"/>
            <w:shd w:val="clear" w:color="auto" w:fill="auto"/>
            <w:tcMar>
              <w:top w:w="15" w:type="dxa"/>
              <w:left w:w="15" w:type="dxa"/>
              <w:bottom w:w="0" w:type="dxa"/>
              <w:right w:w="15" w:type="dxa"/>
            </w:tcMar>
          </w:tcPr>
          <w:p w:rsidR="00443D86" w:rsidRPr="00707316" w:rsidRDefault="00443D86" w:rsidP="00D657A7">
            <w:pPr>
              <w:pStyle w:val="TableText"/>
            </w:pPr>
            <w:r w:rsidRPr="00707316">
              <w:t>Average daytime</w:t>
            </w:r>
          </w:p>
        </w:tc>
        <w:tc>
          <w:tcPr>
            <w:tcW w:w="485" w:type="pct"/>
            <w:shd w:val="clear" w:color="auto" w:fill="auto"/>
            <w:tcMar>
              <w:top w:w="15" w:type="dxa"/>
              <w:left w:w="15" w:type="dxa"/>
              <w:bottom w:w="0" w:type="dxa"/>
              <w:right w:w="15" w:type="dxa"/>
            </w:tcMar>
          </w:tcPr>
          <w:p w:rsidR="00443D86" w:rsidRPr="00707316" w:rsidRDefault="00443D86" w:rsidP="00D657A7">
            <w:pPr>
              <w:pStyle w:val="TableText"/>
            </w:pPr>
            <w:r w:rsidRPr="00707316">
              <w:t>Non-dominant arm</w:t>
            </w:r>
          </w:p>
        </w:tc>
        <w:tc>
          <w:tcPr>
            <w:tcW w:w="174" w:type="pct"/>
            <w:shd w:val="clear" w:color="auto" w:fill="auto"/>
            <w:tcMar>
              <w:top w:w="15" w:type="dxa"/>
              <w:left w:w="15" w:type="dxa"/>
              <w:bottom w:w="0" w:type="dxa"/>
              <w:right w:w="15" w:type="dxa"/>
            </w:tcMar>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tcPr>
          <w:p w:rsidR="00443D86" w:rsidRPr="00707316" w:rsidRDefault="00443D86" w:rsidP="00D657A7">
            <w:pPr>
              <w:pStyle w:val="TableText"/>
            </w:pPr>
            <w:r w:rsidRPr="00707316">
              <w:t>NR (NR)</w:t>
            </w:r>
          </w:p>
        </w:tc>
      </w:tr>
      <w:tr w:rsidR="00443D86" w:rsidRPr="00707316" w:rsidTr="00D657A7">
        <w:trPr>
          <w:cantSplit/>
          <w:trHeight w:val="299"/>
        </w:trPr>
        <w:tc>
          <w:tcPr>
            <w:tcW w:w="517" w:type="pct"/>
            <w:vMerge/>
            <w:shd w:val="clear" w:color="auto" w:fill="auto"/>
            <w:tcMar>
              <w:top w:w="15" w:type="dxa"/>
              <w:left w:w="15" w:type="dxa"/>
              <w:bottom w:w="0" w:type="dxa"/>
              <w:right w:w="15" w:type="dxa"/>
            </w:tcMar>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tcPr>
          <w:p w:rsidR="00443D86" w:rsidRPr="00707316" w:rsidRDefault="00443D86" w:rsidP="00D657A7">
            <w:pPr>
              <w:pStyle w:val="TableText"/>
            </w:pPr>
            <w:r w:rsidRPr="00707316">
              <w:t>OMRON M6</w:t>
            </w:r>
          </w:p>
        </w:tc>
        <w:tc>
          <w:tcPr>
            <w:tcW w:w="139" w:type="pct"/>
            <w:shd w:val="clear" w:color="auto" w:fill="auto"/>
            <w:tcMar>
              <w:top w:w="15" w:type="dxa"/>
              <w:left w:w="15" w:type="dxa"/>
              <w:bottom w:w="0" w:type="dxa"/>
              <w:right w:w="15" w:type="dxa"/>
            </w:tcMar>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tcPr>
          <w:p w:rsidR="00443D86" w:rsidRPr="00707316" w:rsidRDefault="00443D86" w:rsidP="00D657A7">
            <w:pPr>
              <w:pStyle w:val="TableText"/>
            </w:pPr>
            <w:r w:rsidRPr="00707316">
              <w:t>5 minutes</w:t>
            </w:r>
          </w:p>
        </w:tc>
        <w:tc>
          <w:tcPr>
            <w:tcW w:w="520" w:type="pct"/>
            <w:shd w:val="clear" w:color="auto" w:fill="auto"/>
            <w:tcMar>
              <w:top w:w="15" w:type="dxa"/>
              <w:left w:w="15" w:type="dxa"/>
              <w:bottom w:w="0" w:type="dxa"/>
              <w:right w:w="15" w:type="dxa"/>
            </w:tcMar>
          </w:tcPr>
          <w:p w:rsidR="00443D86" w:rsidRPr="00707316" w:rsidRDefault="00443D86" w:rsidP="00D657A7">
            <w:pPr>
              <w:pStyle w:val="TableText"/>
            </w:pPr>
            <w:r w:rsidRPr="00707316">
              <w:t>Average of 3 recordings</w:t>
            </w:r>
          </w:p>
        </w:tc>
        <w:tc>
          <w:tcPr>
            <w:tcW w:w="485" w:type="pct"/>
            <w:shd w:val="clear" w:color="auto" w:fill="auto"/>
            <w:tcMar>
              <w:top w:w="15" w:type="dxa"/>
              <w:left w:w="15" w:type="dxa"/>
              <w:bottom w:w="0" w:type="dxa"/>
              <w:right w:w="15" w:type="dxa"/>
            </w:tcMar>
          </w:tcPr>
          <w:p w:rsidR="00443D86" w:rsidRPr="00707316" w:rsidRDefault="00443D86" w:rsidP="00D657A7">
            <w:pPr>
              <w:pStyle w:val="TableText"/>
            </w:pPr>
            <w:r w:rsidRPr="00707316">
              <w:t>Left arm</w:t>
            </w:r>
          </w:p>
        </w:tc>
        <w:tc>
          <w:tcPr>
            <w:tcW w:w="174" w:type="pct"/>
            <w:shd w:val="clear" w:color="auto" w:fill="auto"/>
            <w:tcMar>
              <w:top w:w="15" w:type="dxa"/>
              <w:left w:w="15" w:type="dxa"/>
              <w:bottom w:w="0" w:type="dxa"/>
              <w:right w:w="15" w:type="dxa"/>
            </w:tcMar>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tcPr>
          <w:p w:rsidR="00443D86" w:rsidRPr="00707316" w:rsidRDefault="00443D86" w:rsidP="00D657A7">
            <w:pPr>
              <w:pStyle w:val="TableText"/>
            </w:pPr>
            <w:r w:rsidRPr="00707316">
              <w:t>10</w:t>
            </w:r>
          </w:p>
        </w:tc>
        <w:tc>
          <w:tcPr>
            <w:tcW w:w="498" w:type="pct"/>
            <w:shd w:val="clear" w:color="auto" w:fill="auto"/>
            <w:tcMar>
              <w:top w:w="15" w:type="dxa"/>
              <w:left w:w="15" w:type="dxa"/>
              <w:bottom w:w="0" w:type="dxa"/>
              <w:right w:w="15" w:type="dxa"/>
            </w:tcMar>
          </w:tcPr>
          <w:p w:rsidR="00443D86" w:rsidRPr="00707316" w:rsidRDefault="00443D86" w:rsidP="00D657A7">
            <w:pPr>
              <w:pStyle w:val="TableText"/>
            </w:pPr>
            <w:r w:rsidRPr="00707316">
              <w:t>"Appropriate"</w:t>
            </w:r>
          </w:p>
        </w:tc>
        <w:tc>
          <w:tcPr>
            <w:tcW w:w="487" w:type="pct"/>
            <w:shd w:val="clear" w:color="auto" w:fill="auto"/>
            <w:tcMar>
              <w:top w:w="15" w:type="dxa"/>
              <w:left w:w="15" w:type="dxa"/>
              <w:bottom w:w="0" w:type="dxa"/>
              <w:right w:w="15" w:type="dxa"/>
            </w:tcMar>
          </w:tcPr>
          <w:p w:rsidR="00443D86" w:rsidRPr="00707316" w:rsidRDefault="00443D86" w:rsidP="00D657A7">
            <w:pPr>
              <w:pStyle w:val="TableText"/>
            </w:pPr>
            <w:r w:rsidRPr="00707316">
              <w:t xml:space="preserve">NR </w:t>
            </w:r>
          </w:p>
        </w:tc>
      </w:tr>
      <w:tr w:rsidR="00443D86" w:rsidRPr="00707316" w:rsidTr="00D657A7">
        <w:trPr>
          <w:cantSplit/>
          <w:trHeight w:val="299"/>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lastRenderedPageBreak/>
              <w:t>Pierdomenico, 1995</w:t>
            </w:r>
            <w:r w:rsidRPr="00EE7EF5">
              <w:rPr>
                <w:noProof/>
                <w:vertAlign w:val="superscript"/>
              </w:rPr>
              <w:t>143</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84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6 AM - 12 AM; q30min 12 AM - 6 AM</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over 24 hours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864"/>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Averaged</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Same arm</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10</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326"/>
        </w:trPr>
        <w:tc>
          <w:tcPr>
            <w:tcW w:w="51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Radi, 2004</w:t>
            </w:r>
            <w:r w:rsidRPr="00EE7EF5">
              <w:rPr>
                <w:noProof/>
                <w:vertAlign w:val="superscript"/>
              </w:rPr>
              <w:t>144</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Good</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Omron 805 CP</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 of three measurements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864"/>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Talleruphuus, 2006</w:t>
            </w:r>
            <w:r w:rsidRPr="00EE7EF5">
              <w:rPr>
                <w:noProof/>
                <w:vertAlign w:val="superscript"/>
              </w:rPr>
              <w:t>145</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(daytime)</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QuietTrak and TM 2421 monitor</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 32; 64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7 AM - 11 PM</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Median of accepted values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Still arm</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864"/>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Standard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 (7 if necessary)</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of 3 consecutive measurement on arm with highest BP</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Each arm</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10</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12 x 35</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Technician (Trained by authors)</w:t>
            </w:r>
          </w:p>
        </w:tc>
      </w:tr>
      <w:tr w:rsidR="00443D86" w:rsidRPr="00707316" w:rsidTr="00D657A7">
        <w:trPr>
          <w:cantSplit/>
          <w:trHeight w:val="576"/>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Tanabe, 2008</w:t>
            </w:r>
            <w:r w:rsidRPr="00EE7EF5">
              <w:rPr>
                <w:noProof/>
                <w:vertAlign w:val="superscript"/>
              </w:rPr>
              <w:t>146</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HBPM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LifeSource UA 787EJ</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14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on waking and before going to bed</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after deleting highest and lowest readings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Self (NR)</w:t>
            </w:r>
          </w:p>
        </w:tc>
      </w:tr>
      <w:tr w:rsidR="00443D86" w:rsidRPr="00707316" w:rsidTr="00D657A7">
        <w:trPr>
          <w:cantSplit/>
          <w:trHeight w:val="308"/>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30 minutes (minimum)</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Research assistant (NR)</w:t>
            </w:r>
          </w:p>
        </w:tc>
      </w:tr>
      <w:tr w:rsidR="00443D86" w:rsidRPr="00707316" w:rsidTr="00D657A7">
        <w:trPr>
          <w:cantSplit/>
          <w:trHeight w:val="576"/>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Toyama, 2008</w:t>
            </w:r>
            <w:r w:rsidRPr="00EE7EF5">
              <w:rPr>
                <w:noProof/>
                <w:vertAlign w:val="superscript"/>
              </w:rPr>
              <w:t>147</w:t>
            </w:r>
            <w:r w:rsidRPr="00707316">
              <w:t xml:space="preserve"> (7003)  </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HBPM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Omron HEM 7471C</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14</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day</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 of at least 7 morning measurements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Self (NR)</w:t>
            </w:r>
          </w:p>
        </w:tc>
      </w:tr>
      <w:tr w:rsidR="00443D86" w:rsidRPr="00707316" w:rsidTr="00D657A7">
        <w:trPr>
          <w:cantSplit/>
          <w:trHeight w:val="576"/>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BP-203RVII</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NA</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Had to be above threshold in three screens, but only including the third screen here as the study entry OBP.</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30</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(NR)</w:t>
            </w:r>
          </w:p>
        </w:tc>
      </w:tr>
      <w:tr w:rsidR="00443D86" w:rsidRPr="00707316" w:rsidTr="00D657A7">
        <w:trPr>
          <w:cantSplit/>
          <w:trHeight w:val="1199"/>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lastRenderedPageBreak/>
              <w:t>Ungar, 2004</w:t>
            </w:r>
            <w:r w:rsidRPr="00EE7EF5">
              <w:rPr>
                <w:noProof/>
                <w:vertAlign w:val="superscript"/>
              </w:rPr>
              <w:t>148</w:t>
            </w:r>
            <w:r w:rsidRPr="00707316">
              <w:t xml:space="preserve">  </w:t>
            </w:r>
          </w:p>
          <w:p w:rsidR="00443D86" w:rsidRPr="00707316" w:rsidRDefault="00443D86" w:rsidP="00D657A7">
            <w:pPr>
              <w:pStyle w:val="TableText"/>
            </w:pPr>
          </w:p>
          <w:p w:rsidR="00443D86" w:rsidRPr="00707316" w:rsidRDefault="00443D86" w:rsidP="00D657A7">
            <w:pPr>
              <w:pStyle w:val="TableText"/>
            </w:pPr>
            <w:r w:rsidRPr="00707316">
              <w:t>Good</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90207</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97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7 AM - 10 PM; q20min 10 PM - 7 AM</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across entire 24 hour period, daytime and nighttime periods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Non-dominant arm, relaxed and stable during measurements</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Most appropriate of three cuff sizes encircling 80% of arm: 17 x 26, 24 x 32, 32 x 42</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794"/>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 (3 if necessary)</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All measurements averaged</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Suspended at approximately heart level</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10</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Standard, larger cuff used when arm circumference &gt; 32 cm</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(NR)</w:t>
            </w:r>
          </w:p>
        </w:tc>
      </w:tr>
      <w:tr w:rsidR="00443D86" w:rsidRPr="00707316" w:rsidTr="00D657A7">
        <w:trPr>
          <w:cantSplit/>
          <w:trHeight w:val="864"/>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Verdecchia, 1995</w:t>
            </w:r>
            <w:r w:rsidRPr="00EE7EF5">
              <w:rPr>
                <w:noProof/>
                <w:vertAlign w:val="superscript"/>
              </w:rPr>
              <w:t>149</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SpaceLabs 5200, 90202 or 90207</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96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Daytime: 6 AM - 10 PM; Nightime: 10 PM - 6 AM). Averages in each time period used. Editing performed by software; SBP &lt;70 or &gt;260, DBP &lt;40 and &gt;150 discarded.</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443"/>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Mercury sphyg.</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1 minute</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 of 3</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Non-dominant arm at heart level, relaxed and supported</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(NR)</w:t>
            </w:r>
          </w:p>
        </w:tc>
      </w:tr>
      <w:tr w:rsidR="00443D86" w:rsidRPr="00707316" w:rsidTr="00D657A7">
        <w:trPr>
          <w:cantSplit/>
          <w:trHeight w:val="576"/>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Zabludowski, 1992</w:t>
            </w:r>
            <w:r w:rsidRPr="00EE7EF5">
              <w:rPr>
                <w:noProof/>
                <w:vertAlign w:val="superscript"/>
              </w:rPr>
              <w:t>150</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Accutracker I</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84 (max)</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q15min during daytime, q30m 12 AM - 6 AM</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 of readings</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299"/>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Accutracker I</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Average</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5</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or nurse (NR)</w:t>
            </w:r>
          </w:p>
        </w:tc>
      </w:tr>
      <w:tr w:rsidR="00443D86" w:rsidRPr="00707316" w:rsidTr="00D657A7">
        <w:trPr>
          <w:cantSplit/>
          <w:trHeight w:val="389"/>
        </w:trPr>
        <w:tc>
          <w:tcPr>
            <w:tcW w:w="517" w:type="pct"/>
            <w:vMerge w:val="restart"/>
            <w:shd w:val="clear" w:color="auto" w:fill="auto"/>
            <w:tcMar>
              <w:top w:w="15" w:type="dxa"/>
              <w:left w:w="15" w:type="dxa"/>
              <w:bottom w:w="0" w:type="dxa"/>
              <w:right w:w="15" w:type="dxa"/>
            </w:tcMar>
            <w:hideMark/>
          </w:tcPr>
          <w:p w:rsidR="00443D86" w:rsidRPr="00707316" w:rsidRDefault="00443D86" w:rsidP="00D657A7">
            <w:pPr>
              <w:pStyle w:val="TableText"/>
            </w:pPr>
            <w:r w:rsidRPr="00707316">
              <w:t>Zawadzka, 1998</w:t>
            </w:r>
            <w:r w:rsidRPr="00EE7EF5">
              <w:rPr>
                <w:noProof/>
                <w:vertAlign w:val="superscript"/>
              </w:rPr>
              <w:t>151</w:t>
            </w:r>
          </w:p>
          <w:p w:rsidR="00443D86" w:rsidRPr="00707316" w:rsidRDefault="00443D86" w:rsidP="00D657A7">
            <w:pPr>
              <w:pStyle w:val="TableText"/>
            </w:pPr>
          </w:p>
          <w:p w:rsidR="00443D86" w:rsidRPr="00707316" w:rsidRDefault="00443D86" w:rsidP="00D657A7">
            <w:pPr>
              <w:pStyle w:val="TableText"/>
            </w:pPr>
            <w:r w:rsidRPr="00707316">
              <w:t>Fair</w:t>
            </w: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lastRenderedPageBreak/>
              <w:t>ABPM (24hr)</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A&amp;D TM2420</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U</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A</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20 (minimum)</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30 minutes during waking day</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 daytime diastolic BP</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Supported</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sym w:font="Wingdings" w:char="F0FC"/>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 (NR)</w:t>
            </w:r>
          </w:p>
        </w:tc>
      </w:tr>
      <w:tr w:rsidR="00443D86" w:rsidRPr="00707316" w:rsidTr="00D657A7">
        <w:trPr>
          <w:cantSplit/>
          <w:trHeight w:val="576"/>
        </w:trPr>
        <w:tc>
          <w:tcPr>
            <w:tcW w:w="517" w:type="pct"/>
            <w:vMerge/>
            <w:shd w:val="clear" w:color="auto" w:fill="auto"/>
            <w:tcMar>
              <w:top w:w="15" w:type="dxa"/>
              <w:left w:w="15" w:type="dxa"/>
              <w:bottom w:w="0" w:type="dxa"/>
              <w:right w:w="15" w:type="dxa"/>
            </w:tcMar>
            <w:hideMark/>
          </w:tcPr>
          <w:p w:rsidR="00443D86" w:rsidRPr="00707316" w:rsidRDefault="00443D86" w:rsidP="00D657A7">
            <w:pPr>
              <w:pStyle w:val="TableText"/>
            </w:pPr>
          </w:p>
        </w:tc>
        <w:tc>
          <w:tcPr>
            <w:tcW w:w="311"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OBPM</w:t>
            </w:r>
          </w:p>
        </w:tc>
        <w:tc>
          <w:tcPr>
            <w:tcW w:w="49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3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3"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16"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3</w:t>
            </w:r>
          </w:p>
        </w:tc>
        <w:tc>
          <w:tcPr>
            <w:tcW w:w="589"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520"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Mean</w:t>
            </w:r>
          </w:p>
        </w:tc>
        <w:tc>
          <w:tcPr>
            <w:tcW w:w="485"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74"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19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98"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NR</w:t>
            </w:r>
          </w:p>
        </w:tc>
        <w:tc>
          <w:tcPr>
            <w:tcW w:w="487" w:type="pct"/>
            <w:shd w:val="clear" w:color="auto" w:fill="auto"/>
            <w:tcMar>
              <w:top w:w="15" w:type="dxa"/>
              <w:left w:w="15" w:type="dxa"/>
              <w:bottom w:w="0" w:type="dxa"/>
              <w:right w:w="15" w:type="dxa"/>
            </w:tcMar>
            <w:hideMark/>
          </w:tcPr>
          <w:p w:rsidR="00443D86" w:rsidRPr="00707316" w:rsidRDefault="00443D86" w:rsidP="00D657A7">
            <w:pPr>
              <w:pStyle w:val="TableText"/>
            </w:pPr>
            <w:r w:rsidRPr="00707316">
              <w:t>Physician, clinic nurse (NR)</w:t>
            </w:r>
          </w:p>
        </w:tc>
      </w:tr>
    </w:tbl>
    <w:p w:rsidR="00443D86" w:rsidRPr="00707316" w:rsidRDefault="00443D86" w:rsidP="00443D86">
      <w:pPr>
        <w:pStyle w:val="TableNote"/>
        <w:spacing w:after="0"/>
      </w:pPr>
      <w:r w:rsidRPr="00707316">
        <w:lastRenderedPageBreak/>
        <w:t>*Semi-automated device</w:t>
      </w:r>
    </w:p>
    <w:p w:rsidR="00443D86" w:rsidRPr="00707316" w:rsidRDefault="00443D86" w:rsidP="00443D86">
      <w:pPr>
        <w:pStyle w:val="TableNote"/>
        <w:spacing w:after="0"/>
      </w:pPr>
      <w:r w:rsidRPr="00707316">
        <w:rPr>
          <w:b/>
        </w:rPr>
        <w:t>Abbreviations</w:t>
      </w:r>
      <w:r w:rsidRPr="00707316">
        <w:t>: A = automated; ABP = ambulatory blood pressure; ABPM = ambulatory blood pressure monitoring; AM = ante meridiem; BP = blood pressure; btwn = between; cm = centimeter(s); DBP = diastolic blood pressure; HBPM = home blood pressure monitoring; hr = hour(s); M = manual; min = minute(s); mm Hg = millimeters of mercury; NR = not reported; OBPM = office blood pressure measurement; O = oscillatory; PM = post meridiem; q = every; SBP = systolic blood pressure; sphyg = sphygmamonometer; U = auscultatory</w:t>
      </w:r>
    </w:p>
    <w:sectPr w:rsidR="00443D86" w:rsidRPr="00707316" w:rsidSect="004C3A3C">
      <w:headerReference w:type="default" r:id="rId8"/>
      <w:footerReference w:type="default" r:id="rId9"/>
      <w:pgSz w:w="15840" w:h="12240" w:orient="landscape" w:code="1"/>
      <w:pgMar w:top="1260" w:right="1440" w:bottom="1350" w:left="1440" w:header="720" w:footer="720" w:gutter="0"/>
      <w:pgNumType w:start="25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D61" w:rsidRDefault="00C56D61" w:rsidP="00475490">
      <w:pPr>
        <w:spacing w:after="0" w:line="240" w:lineRule="auto"/>
      </w:pPr>
      <w:r>
        <w:separator/>
      </w:r>
    </w:p>
  </w:endnote>
  <w:endnote w:type="continuationSeparator" w:id="0">
    <w:p w:rsidR="00C56D61" w:rsidRDefault="00C56D61" w:rsidP="00475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00" w:rsidRPr="00F91591" w:rsidRDefault="00F91591" w:rsidP="00F91591">
    <w:pPr>
      <w:pStyle w:val="Footer"/>
      <w:tabs>
        <w:tab w:val="clear" w:pos="4680"/>
        <w:tab w:val="clear" w:pos="9360"/>
        <w:tab w:val="center" w:pos="6480"/>
        <w:tab w:val="right" w:pos="12960"/>
      </w:tabs>
    </w:pPr>
    <w:r>
      <w:rPr>
        <w:rFonts w:ascii="Arial" w:hAnsi="Arial" w:cs="Arial"/>
        <w:sz w:val="16"/>
        <w:szCs w:val="16"/>
      </w:rPr>
      <w:t>Screening for High Blood Pressure in Adults</w:t>
    </w:r>
    <w:r w:rsidRPr="009E1DB1">
      <w:rPr>
        <w:rFonts w:ascii="Arial" w:hAnsi="Arial" w:cs="Arial"/>
        <w:sz w:val="16"/>
        <w:szCs w:val="16"/>
      </w:rPr>
      <w:tab/>
    </w:r>
    <w:r w:rsidR="007C1E46" w:rsidRPr="009E1DB1">
      <w:rPr>
        <w:rFonts w:ascii="Arial" w:hAnsi="Arial" w:cs="Arial"/>
        <w:sz w:val="16"/>
        <w:szCs w:val="16"/>
      </w:rPr>
      <w:fldChar w:fldCharType="begin"/>
    </w:r>
    <w:r w:rsidRPr="009E1DB1">
      <w:rPr>
        <w:rFonts w:ascii="Arial" w:hAnsi="Arial" w:cs="Arial"/>
        <w:sz w:val="16"/>
        <w:szCs w:val="16"/>
      </w:rPr>
      <w:instrText xml:space="preserve"> PAGE   \* MERGEFORMAT </w:instrText>
    </w:r>
    <w:r w:rsidR="007C1E46" w:rsidRPr="009E1DB1">
      <w:rPr>
        <w:rFonts w:ascii="Arial" w:hAnsi="Arial" w:cs="Arial"/>
        <w:sz w:val="16"/>
        <w:szCs w:val="16"/>
      </w:rPr>
      <w:fldChar w:fldCharType="separate"/>
    </w:r>
    <w:r w:rsidR="004C3A3C" w:rsidRPr="004C3A3C">
      <w:rPr>
        <w:rFonts w:ascii="Arial" w:hAnsi="Arial"/>
        <w:noProof/>
        <w:sz w:val="16"/>
        <w:szCs w:val="16"/>
      </w:rPr>
      <w:t>266</w:t>
    </w:r>
    <w:r w:rsidR="007C1E46" w:rsidRPr="009E1DB1">
      <w:rPr>
        <w:rFonts w:ascii="Arial" w:hAnsi="Arial" w:cs="Arial"/>
        <w:noProof/>
        <w:sz w:val="16"/>
        <w:szCs w:val="16"/>
      </w:rPr>
      <w:fldChar w:fldCharType="end"/>
    </w:r>
    <w:r w:rsidRPr="009E1DB1">
      <w:rPr>
        <w:rFonts w:ascii="Arial" w:hAnsi="Arial" w:cs="Arial"/>
        <w:sz w:val="16"/>
        <w:szCs w:val="16"/>
      </w:rPr>
      <w:tab/>
      <w:t xml:space="preserve"> Kaiser Permanente Research Affiliates EPC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D61" w:rsidRDefault="00C56D61" w:rsidP="00475490">
      <w:pPr>
        <w:spacing w:after="0" w:line="240" w:lineRule="auto"/>
      </w:pPr>
      <w:r>
        <w:separator/>
      </w:r>
    </w:p>
  </w:footnote>
  <w:footnote w:type="continuationSeparator" w:id="0">
    <w:p w:rsidR="00C56D61" w:rsidRDefault="00C56D61" w:rsidP="00475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00" w:rsidRPr="00EF1DFA" w:rsidRDefault="00F91591" w:rsidP="00EF1DFA">
    <w:pPr>
      <w:pStyle w:val="Header"/>
    </w:pPr>
    <w:r w:rsidRPr="00443D86">
      <w:rPr>
        <w:rFonts w:ascii="Arial" w:hAnsi="Arial" w:cs="Arial"/>
        <w:b/>
        <w:sz w:val="20"/>
        <w:szCs w:val="20"/>
      </w:rPr>
      <w:t>Appendix C. Evidence Tables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3in;height:3in" o:bullet="t"/>
    </w:pict>
  </w:numPicBullet>
  <w:abstractNum w:abstractNumId="0">
    <w:nsid w:val="017750D5"/>
    <w:multiLevelType w:val="hybridMultilevel"/>
    <w:tmpl w:val="993A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D7E9A"/>
    <w:multiLevelType w:val="hybridMultilevel"/>
    <w:tmpl w:val="CF103602"/>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E2532B"/>
    <w:multiLevelType w:val="hybridMultilevel"/>
    <w:tmpl w:val="E940F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34692"/>
    <w:multiLevelType w:val="hybridMultilevel"/>
    <w:tmpl w:val="BCDAB04C"/>
    <w:lvl w:ilvl="0" w:tplc="B726A0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6471A"/>
    <w:multiLevelType w:val="hybridMultilevel"/>
    <w:tmpl w:val="C6648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634E2"/>
    <w:multiLevelType w:val="hybridMultilevel"/>
    <w:tmpl w:val="050C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009DD"/>
    <w:multiLevelType w:val="hybridMultilevel"/>
    <w:tmpl w:val="066A7260"/>
    <w:lvl w:ilvl="0" w:tplc="77BC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2D52C2"/>
    <w:multiLevelType w:val="hybridMultilevel"/>
    <w:tmpl w:val="612EA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47C62"/>
    <w:multiLevelType w:val="multilevel"/>
    <w:tmpl w:val="23A247C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757D2"/>
    <w:multiLevelType w:val="hybridMultilevel"/>
    <w:tmpl w:val="E278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7354D"/>
    <w:multiLevelType w:val="hybridMultilevel"/>
    <w:tmpl w:val="1AA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45A41"/>
    <w:multiLevelType w:val="hybridMultilevel"/>
    <w:tmpl w:val="5A04C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F14019"/>
    <w:multiLevelType w:val="hybridMultilevel"/>
    <w:tmpl w:val="9BA80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216C54"/>
    <w:multiLevelType w:val="hybridMultilevel"/>
    <w:tmpl w:val="AB3C9476"/>
    <w:lvl w:ilvl="0" w:tplc="79EA8C1C">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8634B"/>
    <w:multiLevelType w:val="hybridMultilevel"/>
    <w:tmpl w:val="F4FC3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46B03"/>
    <w:multiLevelType w:val="hybridMultilevel"/>
    <w:tmpl w:val="32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8A0AA0"/>
    <w:multiLevelType w:val="hybridMultilevel"/>
    <w:tmpl w:val="98B4BC7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9">
    <w:nsid w:val="3F346CBA"/>
    <w:multiLevelType w:val="multilevel"/>
    <w:tmpl w:val="D0A6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E221FB"/>
    <w:multiLevelType w:val="hybridMultilevel"/>
    <w:tmpl w:val="B1547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5978B5"/>
    <w:multiLevelType w:val="hybridMultilevel"/>
    <w:tmpl w:val="1F4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54632"/>
    <w:multiLevelType w:val="hybridMultilevel"/>
    <w:tmpl w:val="6CE2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4C0C11"/>
    <w:multiLevelType w:val="hybridMultilevel"/>
    <w:tmpl w:val="6A3E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0657F4"/>
    <w:multiLevelType w:val="hybridMultilevel"/>
    <w:tmpl w:val="0DB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6F6083"/>
    <w:multiLevelType w:val="hybridMultilevel"/>
    <w:tmpl w:val="A34AC0BA"/>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9F0895"/>
    <w:multiLevelType w:val="hybridMultilevel"/>
    <w:tmpl w:val="BF0E0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6910A3"/>
    <w:multiLevelType w:val="hybridMultilevel"/>
    <w:tmpl w:val="28802D3A"/>
    <w:lvl w:ilvl="0" w:tplc="93A45D0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1444F9"/>
    <w:multiLevelType w:val="hybridMultilevel"/>
    <w:tmpl w:val="896A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46B32"/>
    <w:multiLevelType w:val="hybridMultilevel"/>
    <w:tmpl w:val="74543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28195C"/>
    <w:multiLevelType w:val="hybridMultilevel"/>
    <w:tmpl w:val="6900A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4F7250"/>
    <w:multiLevelType w:val="hybridMultilevel"/>
    <w:tmpl w:val="B1A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5B14D5"/>
    <w:multiLevelType w:val="hybridMultilevel"/>
    <w:tmpl w:val="C8C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E36182"/>
    <w:multiLevelType w:val="hybridMultilevel"/>
    <w:tmpl w:val="EE746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3D6AAE"/>
    <w:multiLevelType w:val="hybridMultilevel"/>
    <w:tmpl w:val="37E00A34"/>
    <w:lvl w:ilvl="0" w:tplc="8FB0FE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D2070"/>
    <w:multiLevelType w:val="hybridMultilevel"/>
    <w:tmpl w:val="1698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947AEB"/>
    <w:multiLevelType w:val="hybridMultilevel"/>
    <w:tmpl w:val="97C00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C72AF4"/>
    <w:multiLevelType w:val="hybridMultilevel"/>
    <w:tmpl w:val="48242138"/>
    <w:lvl w:ilvl="0" w:tplc="9000CCBE">
      <w:numFmt w:val="bullet"/>
      <w:lvlText w:val="-"/>
      <w:lvlJc w:val="left"/>
      <w:pPr>
        <w:ind w:left="720" w:hanging="360"/>
      </w:pPr>
      <w:rPr>
        <w:rFonts w:ascii="Times New Roman" w:eastAsia="Calibri" w:hAnsi="Times New Roman" w:cs="Times New Roman" w:hint="default"/>
        <w:color w:val="3333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A2F31"/>
    <w:multiLevelType w:val="hybridMultilevel"/>
    <w:tmpl w:val="5BEAB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8272C2"/>
    <w:multiLevelType w:val="hybridMultilevel"/>
    <w:tmpl w:val="3504523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7"/>
  </w:num>
  <w:num w:numId="3">
    <w:abstractNumId w:val="32"/>
  </w:num>
  <w:num w:numId="4">
    <w:abstractNumId w:val="17"/>
  </w:num>
  <w:num w:numId="5">
    <w:abstractNumId w:val="21"/>
  </w:num>
  <w:num w:numId="6">
    <w:abstractNumId w:val="12"/>
  </w:num>
  <w:num w:numId="7">
    <w:abstractNumId w:val="36"/>
  </w:num>
  <w:num w:numId="8">
    <w:abstractNumId w:val="3"/>
  </w:num>
  <w:num w:numId="9">
    <w:abstractNumId w:val="26"/>
  </w:num>
  <w:num w:numId="10">
    <w:abstractNumId w:val="10"/>
  </w:num>
  <w:num w:numId="11">
    <w:abstractNumId w:val="25"/>
  </w:num>
  <w:num w:numId="12">
    <w:abstractNumId w:val="40"/>
  </w:num>
  <w:num w:numId="13">
    <w:abstractNumId w:val="30"/>
  </w:num>
  <w:num w:numId="14">
    <w:abstractNumId w:val="34"/>
  </w:num>
  <w:num w:numId="15">
    <w:abstractNumId w:val="38"/>
  </w:num>
  <w:num w:numId="16">
    <w:abstractNumId w:val="20"/>
  </w:num>
  <w:num w:numId="17">
    <w:abstractNumId w:val="14"/>
  </w:num>
  <w:num w:numId="18">
    <w:abstractNumId w:val="23"/>
  </w:num>
  <w:num w:numId="19">
    <w:abstractNumId w:val="16"/>
  </w:num>
  <w:num w:numId="20">
    <w:abstractNumId w:val="6"/>
  </w:num>
  <w:num w:numId="21">
    <w:abstractNumId w:val="5"/>
  </w:num>
  <w:num w:numId="22">
    <w:abstractNumId w:val="8"/>
  </w:num>
  <w:num w:numId="23">
    <w:abstractNumId w:val="2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
  </w:num>
  <w:num w:numId="27">
    <w:abstractNumId w:val="18"/>
  </w:num>
  <w:num w:numId="28">
    <w:abstractNumId w:val="4"/>
  </w:num>
  <w:num w:numId="29">
    <w:abstractNumId w:val="0"/>
  </w:num>
  <w:num w:numId="30">
    <w:abstractNumId w:val="11"/>
  </w:num>
  <w:num w:numId="31">
    <w:abstractNumId w:val="19"/>
  </w:num>
  <w:num w:numId="32">
    <w:abstractNumId w:val="41"/>
  </w:num>
  <w:num w:numId="33">
    <w:abstractNumId w:val="2"/>
  </w:num>
  <w:num w:numId="34">
    <w:abstractNumId w:val="31"/>
  </w:num>
  <w:num w:numId="35">
    <w:abstractNumId w:val="24"/>
  </w:num>
  <w:num w:numId="36">
    <w:abstractNumId w:val="33"/>
  </w:num>
  <w:num w:numId="37">
    <w:abstractNumId w:val="35"/>
  </w:num>
  <w:num w:numId="38">
    <w:abstractNumId w:val="28"/>
  </w:num>
  <w:num w:numId="39">
    <w:abstractNumId w:val="13"/>
  </w:num>
  <w:num w:numId="40">
    <w:abstractNumId w:val="15"/>
  </w:num>
  <w:num w:numId="41">
    <w:abstractNumId w:val="27"/>
  </w:num>
  <w:num w:numId="42">
    <w:abstractNumId w:val="7"/>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75490"/>
    <w:rsid w:val="00021C1E"/>
    <w:rsid w:val="000F4CEC"/>
    <w:rsid w:val="00182E06"/>
    <w:rsid w:val="002A1795"/>
    <w:rsid w:val="002B1C8A"/>
    <w:rsid w:val="00412E71"/>
    <w:rsid w:val="00443D86"/>
    <w:rsid w:val="00475490"/>
    <w:rsid w:val="004C3A3C"/>
    <w:rsid w:val="0050591B"/>
    <w:rsid w:val="0050700A"/>
    <w:rsid w:val="00651600"/>
    <w:rsid w:val="006B6342"/>
    <w:rsid w:val="006D1509"/>
    <w:rsid w:val="007B0315"/>
    <w:rsid w:val="007C1E46"/>
    <w:rsid w:val="0082725C"/>
    <w:rsid w:val="0085747D"/>
    <w:rsid w:val="008C6F6F"/>
    <w:rsid w:val="008F08FE"/>
    <w:rsid w:val="009317A8"/>
    <w:rsid w:val="00993762"/>
    <w:rsid w:val="00AA3C6D"/>
    <w:rsid w:val="00B156F6"/>
    <w:rsid w:val="00B913AC"/>
    <w:rsid w:val="00C56D61"/>
    <w:rsid w:val="00C833A5"/>
    <w:rsid w:val="00C96A0D"/>
    <w:rsid w:val="00CB4670"/>
    <w:rsid w:val="00CB5C0F"/>
    <w:rsid w:val="00D07832"/>
    <w:rsid w:val="00D657A7"/>
    <w:rsid w:val="00D95842"/>
    <w:rsid w:val="00DA0139"/>
    <w:rsid w:val="00DD0A9A"/>
    <w:rsid w:val="00E0720E"/>
    <w:rsid w:val="00E52A71"/>
    <w:rsid w:val="00EA4A31"/>
    <w:rsid w:val="00EF1DFA"/>
    <w:rsid w:val="00F91591"/>
    <w:rsid w:val="00FD420D"/>
    <w:rsid w:val="00FF6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List 2" w:uiPriority="0"/>
    <w:lsdException w:name="Title" w:locked="1" w:semiHidden="0" w:uiPriority="0" w:unhideWhenUsed="0" w:qFormat="1"/>
    <w:lsdException w:name="Default Paragraph Font" w:uiPriority="1"/>
    <w:lsdException w:name="Body Text" w:uiPriority="0"/>
    <w:lsdException w:name="Body Text Indent" w:uiPriority="0"/>
    <w:lsdException w:name="List Continue 2"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90"/>
    <w:pPr>
      <w:spacing w:after="200" w:line="276" w:lineRule="auto"/>
    </w:pPr>
    <w:rPr>
      <w:rFonts w:eastAsia="Times New Roman" w:cs="Times New Roman"/>
      <w:sz w:val="22"/>
      <w:szCs w:val="22"/>
    </w:rPr>
  </w:style>
  <w:style w:type="paragraph" w:styleId="Heading1">
    <w:name w:val="heading 1"/>
    <w:basedOn w:val="Normal"/>
    <w:next w:val="Normal"/>
    <w:link w:val="Heading1Char"/>
    <w:uiPriority w:val="9"/>
    <w:qFormat/>
    <w:rsid w:val="00DA0139"/>
    <w:pPr>
      <w:keepNext/>
      <w:outlineLvl w:val="0"/>
    </w:pPr>
    <w:rPr>
      <w:i/>
      <w:iCs/>
    </w:rPr>
  </w:style>
  <w:style w:type="paragraph" w:styleId="Heading2">
    <w:name w:val="heading 2"/>
    <w:basedOn w:val="Normal"/>
    <w:next w:val="Normal"/>
    <w:link w:val="Heading2Char"/>
    <w:uiPriority w:val="9"/>
    <w:unhideWhenUsed/>
    <w:locked/>
    <w:rsid w:val="00443D86"/>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locked/>
    <w:rsid w:val="00443D86"/>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443D86"/>
    <w:pPr>
      <w:keepNext/>
      <w:spacing w:before="240" w:after="60"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475490"/>
    <w:pPr>
      <w:tabs>
        <w:tab w:val="center" w:pos="4680"/>
        <w:tab w:val="right" w:pos="9360"/>
      </w:tabs>
    </w:pPr>
  </w:style>
  <w:style w:type="character" w:customStyle="1" w:styleId="HeaderChar">
    <w:name w:val="Header Char"/>
    <w:basedOn w:val="DefaultParagraphFont"/>
    <w:link w:val="Header"/>
    <w:uiPriority w:val="99"/>
    <w:rsid w:val="00475490"/>
    <w:rPr>
      <w:rFonts w:ascii="Times New Roman" w:hAnsi="Times New Roman"/>
      <w:sz w:val="24"/>
      <w:szCs w:val="24"/>
    </w:rPr>
  </w:style>
  <w:style w:type="paragraph" w:styleId="Footer">
    <w:name w:val="footer"/>
    <w:basedOn w:val="Normal"/>
    <w:link w:val="FooterChar"/>
    <w:uiPriority w:val="99"/>
    <w:unhideWhenUsed/>
    <w:rsid w:val="00475490"/>
    <w:pPr>
      <w:tabs>
        <w:tab w:val="center" w:pos="4680"/>
        <w:tab w:val="right" w:pos="9360"/>
      </w:tabs>
    </w:pPr>
  </w:style>
  <w:style w:type="character" w:customStyle="1" w:styleId="FooterChar">
    <w:name w:val="Footer Char"/>
    <w:basedOn w:val="DefaultParagraphFont"/>
    <w:link w:val="Footer"/>
    <w:uiPriority w:val="99"/>
    <w:rsid w:val="00475490"/>
    <w:rPr>
      <w:rFonts w:ascii="Times New Roman" w:hAnsi="Times New Roman"/>
      <w:sz w:val="24"/>
      <w:szCs w:val="24"/>
    </w:rPr>
  </w:style>
  <w:style w:type="paragraph" w:customStyle="1" w:styleId="ParagraphNoIndent">
    <w:name w:val="ParagraphNoIndent"/>
    <w:qFormat/>
    <w:rsid w:val="00475490"/>
    <w:rPr>
      <w:rFonts w:ascii="Times New Roman" w:eastAsia="Times New Roman" w:hAnsi="Times New Roman" w:cs="Times New Roman"/>
      <w:bCs/>
      <w:sz w:val="24"/>
      <w:szCs w:val="24"/>
    </w:rPr>
  </w:style>
  <w:style w:type="paragraph" w:styleId="NoSpacing">
    <w:name w:val="No Spacing"/>
    <w:basedOn w:val="Normal"/>
    <w:link w:val="NoSpacingChar"/>
    <w:uiPriority w:val="1"/>
    <w:qFormat/>
    <w:rsid w:val="00475490"/>
    <w:pPr>
      <w:spacing w:after="0" w:line="240" w:lineRule="auto"/>
    </w:pPr>
  </w:style>
  <w:style w:type="character" w:customStyle="1" w:styleId="NoSpacingChar">
    <w:name w:val="No Spacing Char"/>
    <w:link w:val="NoSpacing"/>
    <w:uiPriority w:val="1"/>
    <w:rsid w:val="00475490"/>
    <w:rPr>
      <w:rFonts w:eastAsia="Times New Roman" w:cs="Times New Roman"/>
      <w:sz w:val="22"/>
      <w:szCs w:val="22"/>
    </w:rPr>
  </w:style>
  <w:style w:type="paragraph" w:styleId="BalloonText">
    <w:name w:val="Balloon Text"/>
    <w:basedOn w:val="Normal"/>
    <w:link w:val="BalloonTextChar"/>
    <w:uiPriority w:val="99"/>
    <w:semiHidden/>
    <w:unhideWhenUsed/>
    <w:rsid w:val="00475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490"/>
    <w:rPr>
      <w:rFonts w:ascii="Tahoma" w:eastAsia="Times New Roman" w:hAnsi="Tahoma" w:cs="Tahoma"/>
      <w:sz w:val="16"/>
      <w:szCs w:val="16"/>
    </w:rPr>
  </w:style>
  <w:style w:type="paragraph" w:customStyle="1" w:styleId="TableNote">
    <w:name w:val="TableNote"/>
    <w:qFormat/>
    <w:rsid w:val="00475490"/>
    <w:pPr>
      <w:spacing w:after="240"/>
    </w:pPr>
    <w:rPr>
      <w:rFonts w:ascii="Times New Roman" w:eastAsia="Times New Roman" w:hAnsi="Times New Roman" w:cs="Times New Roman"/>
      <w:bCs/>
      <w:sz w:val="18"/>
      <w:szCs w:val="24"/>
    </w:rPr>
  </w:style>
  <w:style w:type="paragraph" w:customStyle="1" w:styleId="TableColumnHead">
    <w:name w:val="TableColumnHead"/>
    <w:qFormat/>
    <w:rsid w:val="00475490"/>
    <w:pPr>
      <w:jc w:val="center"/>
    </w:pPr>
    <w:rPr>
      <w:rFonts w:ascii="Arial" w:hAnsi="Arial"/>
      <w:b/>
      <w:bCs/>
      <w:sz w:val="18"/>
      <w:szCs w:val="18"/>
    </w:rPr>
  </w:style>
  <w:style w:type="paragraph" w:customStyle="1" w:styleId="TableText">
    <w:name w:val="TableText"/>
    <w:qFormat/>
    <w:rsid w:val="00475490"/>
    <w:rPr>
      <w:rFonts w:ascii="Arial" w:hAnsi="Arial"/>
      <w:sz w:val="18"/>
      <w:szCs w:val="18"/>
    </w:rPr>
  </w:style>
  <w:style w:type="character" w:customStyle="1" w:styleId="Heading2Char">
    <w:name w:val="Heading 2 Char"/>
    <w:basedOn w:val="DefaultParagraphFont"/>
    <w:link w:val="Heading2"/>
    <w:uiPriority w:val="9"/>
    <w:rsid w:val="00443D8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443D8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43D86"/>
    <w:rPr>
      <w:rFonts w:eastAsia="Times New Roman" w:cs="Times New Roman"/>
      <w:b/>
      <w:bCs/>
      <w:sz w:val="28"/>
      <w:szCs w:val="28"/>
    </w:rPr>
  </w:style>
  <w:style w:type="paragraph" w:customStyle="1" w:styleId="ParagraphIndent">
    <w:name w:val="ParagraphIndent"/>
    <w:qFormat/>
    <w:rsid w:val="00443D86"/>
    <w:pPr>
      <w:ind w:firstLine="360"/>
    </w:pPr>
    <w:rPr>
      <w:rFonts w:ascii="Times New Roman" w:hAnsi="Times New Roman" w:cs="Times New Roman"/>
      <w:color w:val="000000"/>
      <w:sz w:val="24"/>
      <w:szCs w:val="24"/>
    </w:rPr>
  </w:style>
  <w:style w:type="paragraph" w:customStyle="1" w:styleId="ReportType">
    <w:name w:val="ReportType"/>
    <w:qFormat/>
    <w:rsid w:val="00443D86"/>
    <w:rPr>
      <w:rFonts w:ascii="Times New Roman" w:eastAsia="Times New Roman" w:hAnsi="Times New Roman" w:cs="Times New Roman"/>
      <w:b/>
      <w:bCs/>
      <w:i/>
      <w:sz w:val="36"/>
      <w:szCs w:val="36"/>
    </w:rPr>
  </w:style>
  <w:style w:type="paragraph" w:customStyle="1" w:styleId="NumberLine">
    <w:name w:val="NumberLine"/>
    <w:qFormat/>
    <w:rsid w:val="00443D86"/>
    <w:rPr>
      <w:rFonts w:ascii="Arial" w:eastAsia="Times New Roman" w:hAnsi="Arial" w:cs="Times New Roman"/>
      <w:b/>
      <w:bCs/>
      <w:sz w:val="28"/>
      <w:szCs w:val="28"/>
    </w:rPr>
  </w:style>
  <w:style w:type="paragraph" w:customStyle="1" w:styleId="ReportTitle">
    <w:name w:val="ReportTitle"/>
    <w:uiPriority w:val="99"/>
    <w:qFormat/>
    <w:rsid w:val="00443D86"/>
    <w:rPr>
      <w:rFonts w:ascii="Arial" w:eastAsia="Times New Roman" w:hAnsi="Arial" w:cs="Times New Roman"/>
      <w:b/>
      <w:bCs/>
      <w:sz w:val="36"/>
      <w:szCs w:val="36"/>
    </w:rPr>
  </w:style>
  <w:style w:type="paragraph" w:styleId="NormalWeb">
    <w:name w:val="Normal (Web)"/>
    <w:basedOn w:val="Normal"/>
    <w:uiPriority w:val="99"/>
    <w:semiHidden/>
    <w:rsid w:val="00443D86"/>
    <w:pPr>
      <w:spacing w:before="100" w:beforeAutospacing="1" w:after="100" w:afterAutospacing="1" w:line="240" w:lineRule="auto"/>
    </w:pPr>
    <w:rPr>
      <w:rFonts w:ascii="Times New Roman" w:hAnsi="Times New Roman"/>
      <w:sz w:val="24"/>
      <w:szCs w:val="24"/>
    </w:rPr>
  </w:style>
  <w:style w:type="paragraph" w:customStyle="1" w:styleId="PageNumber">
    <w:name w:val="PageNumber"/>
    <w:qFormat/>
    <w:rsid w:val="00443D86"/>
    <w:pPr>
      <w:jc w:val="center"/>
    </w:pPr>
    <w:rPr>
      <w:rFonts w:ascii="Times New Roman" w:hAnsi="Times New Roman" w:cs="Times New Roman"/>
      <w:sz w:val="24"/>
      <w:szCs w:val="24"/>
    </w:rPr>
  </w:style>
  <w:style w:type="paragraph" w:customStyle="1" w:styleId="FrontMatterHead">
    <w:name w:val="FrontMatterHead"/>
    <w:qFormat/>
    <w:rsid w:val="00443D86"/>
    <w:pPr>
      <w:keepNext/>
      <w:spacing w:before="240" w:after="60"/>
    </w:pPr>
    <w:rPr>
      <w:rFonts w:ascii="Arial" w:hAnsi="Arial"/>
      <w:b/>
      <w:sz w:val="32"/>
      <w:szCs w:val="32"/>
    </w:rPr>
  </w:style>
  <w:style w:type="table" w:customStyle="1" w:styleId="AHRQ1">
    <w:name w:val="AHRQ1"/>
    <w:basedOn w:val="TableGrid"/>
    <w:rsid w:val="00443D86"/>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443D8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443D86"/>
    <w:pPr>
      <w:spacing w:after="0" w:line="240" w:lineRule="auto"/>
    </w:pPr>
    <w:rPr>
      <w:rFonts w:ascii="Times New Roman" w:hAnsi="Times New Roman"/>
      <w:sz w:val="24"/>
      <w:szCs w:val="24"/>
      <w:lang w:val="en-CA"/>
    </w:rPr>
  </w:style>
  <w:style w:type="paragraph" w:styleId="TOC2">
    <w:name w:val="toc 2"/>
    <w:basedOn w:val="Normal"/>
    <w:next w:val="Normal"/>
    <w:autoRedefine/>
    <w:rsid w:val="00443D86"/>
    <w:pPr>
      <w:spacing w:after="0" w:line="240" w:lineRule="auto"/>
      <w:ind w:left="240"/>
    </w:pPr>
    <w:rPr>
      <w:rFonts w:ascii="Times New Roman" w:hAnsi="Times New Roman"/>
      <w:sz w:val="24"/>
      <w:szCs w:val="24"/>
      <w:lang w:val="en-CA"/>
    </w:rPr>
  </w:style>
  <w:style w:type="paragraph" w:customStyle="1" w:styleId="ChapterHeading">
    <w:name w:val="ChapterHeading"/>
    <w:qFormat/>
    <w:rsid w:val="00443D86"/>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443D86"/>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443D86"/>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443D86"/>
    <w:pPr>
      <w:keepLines/>
      <w:spacing w:before="240" w:after="60"/>
    </w:pPr>
    <w:rPr>
      <w:rFonts w:ascii="Arial" w:eastAsia="Times New Roman" w:hAnsi="Arial"/>
      <w:iCs/>
      <w:sz w:val="28"/>
      <w:szCs w:val="28"/>
    </w:rPr>
  </w:style>
  <w:style w:type="paragraph" w:customStyle="1" w:styleId="TableTitle">
    <w:name w:val="TableTitle"/>
    <w:qFormat/>
    <w:rsid w:val="00443D86"/>
    <w:pPr>
      <w:keepNext/>
      <w:spacing w:before="240"/>
    </w:pPr>
    <w:rPr>
      <w:rFonts w:ascii="Arial" w:hAnsi="Arial" w:cs="Times New Roman"/>
      <w:b/>
      <w:color w:val="000000"/>
      <w:szCs w:val="24"/>
    </w:rPr>
  </w:style>
  <w:style w:type="paragraph" w:customStyle="1" w:styleId="Reference">
    <w:name w:val="Reference"/>
    <w:qFormat/>
    <w:rsid w:val="00443D86"/>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443D86"/>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443D86"/>
    <w:pPr>
      <w:keepNext/>
      <w:spacing w:before="240"/>
      <w:outlineLvl w:val="3"/>
    </w:pPr>
    <w:rPr>
      <w:rFonts w:ascii="Arial" w:eastAsia="Times New Roman" w:hAnsi="Arial" w:cs="Times New Roman"/>
      <w:b/>
      <w:bCs/>
      <w:sz w:val="28"/>
      <w:szCs w:val="24"/>
    </w:rPr>
  </w:style>
  <w:style w:type="character" w:styleId="CommentReference">
    <w:name w:val="annotation reference"/>
    <w:uiPriority w:val="99"/>
    <w:rsid w:val="00443D86"/>
    <w:rPr>
      <w:sz w:val="16"/>
      <w:szCs w:val="16"/>
    </w:rPr>
  </w:style>
  <w:style w:type="paragraph" w:styleId="CommentText">
    <w:name w:val="annotation text"/>
    <w:basedOn w:val="Normal"/>
    <w:link w:val="CommentTextChar"/>
    <w:uiPriority w:val="99"/>
    <w:rsid w:val="00443D86"/>
    <w:pPr>
      <w:spacing w:before="240" w:after="60" w:line="240" w:lineRule="auto"/>
    </w:pPr>
    <w:rPr>
      <w:rFonts w:eastAsia="Calibri"/>
      <w:sz w:val="20"/>
      <w:szCs w:val="20"/>
    </w:rPr>
  </w:style>
  <w:style w:type="character" w:customStyle="1" w:styleId="CommentTextChar">
    <w:name w:val="Comment Text Char"/>
    <w:basedOn w:val="DefaultParagraphFont"/>
    <w:link w:val="CommentText"/>
    <w:uiPriority w:val="99"/>
    <w:rsid w:val="00443D86"/>
    <w:rPr>
      <w:rFonts w:cs="Times New Roman"/>
    </w:rPr>
  </w:style>
  <w:style w:type="paragraph" w:styleId="CommentSubject">
    <w:name w:val="annotation subject"/>
    <w:basedOn w:val="CommentText"/>
    <w:next w:val="CommentText"/>
    <w:link w:val="CommentSubjectChar"/>
    <w:semiHidden/>
    <w:rsid w:val="00443D86"/>
    <w:rPr>
      <w:b/>
      <w:bCs/>
    </w:rPr>
  </w:style>
  <w:style w:type="character" w:customStyle="1" w:styleId="CommentSubjectChar">
    <w:name w:val="Comment Subject Char"/>
    <w:basedOn w:val="CommentTextChar"/>
    <w:link w:val="CommentSubject"/>
    <w:semiHidden/>
    <w:rsid w:val="00443D86"/>
    <w:rPr>
      <w:rFonts w:cs="Times New Roman"/>
      <w:b/>
      <w:bCs/>
    </w:rPr>
  </w:style>
  <w:style w:type="paragraph" w:customStyle="1" w:styleId="PreparedForText">
    <w:name w:val="PreparedForText"/>
    <w:qFormat/>
    <w:rsid w:val="00443D86"/>
    <w:rPr>
      <w:rFonts w:ascii="Times New Roman" w:eastAsia="Times New Roman" w:hAnsi="Times New Roman" w:cs="Times New Roman"/>
      <w:bCs/>
      <w:sz w:val="24"/>
      <w:szCs w:val="24"/>
    </w:rPr>
  </w:style>
  <w:style w:type="paragraph" w:customStyle="1" w:styleId="ParagraphNoIndentBold">
    <w:name w:val="ParagraphNoIndentBold"/>
    <w:qFormat/>
    <w:rsid w:val="00443D86"/>
    <w:rPr>
      <w:rFonts w:ascii="Times New Roman" w:eastAsia="Times New Roman" w:hAnsi="Times New Roman" w:cs="Times New Roman"/>
      <w:b/>
      <w:bCs/>
      <w:sz w:val="24"/>
      <w:szCs w:val="24"/>
    </w:rPr>
  </w:style>
  <w:style w:type="paragraph" w:customStyle="1" w:styleId="ContractNumber">
    <w:name w:val="ContractNumber"/>
    <w:next w:val="ParagraphNoIndent"/>
    <w:qFormat/>
    <w:rsid w:val="00443D86"/>
    <w:rPr>
      <w:rFonts w:ascii="Times New Roman" w:eastAsia="Times New Roman" w:hAnsi="Times New Roman" w:cs="Times New Roman"/>
      <w:b/>
      <w:bCs/>
      <w:sz w:val="24"/>
      <w:szCs w:val="24"/>
    </w:rPr>
  </w:style>
  <w:style w:type="paragraph" w:customStyle="1" w:styleId="PreparedByText">
    <w:name w:val="PreparedByText"/>
    <w:qFormat/>
    <w:rsid w:val="00443D86"/>
    <w:rPr>
      <w:rFonts w:ascii="Times New Roman" w:eastAsia="Times New Roman" w:hAnsi="Times New Roman" w:cs="Times New Roman"/>
      <w:bCs/>
      <w:sz w:val="24"/>
      <w:szCs w:val="24"/>
    </w:rPr>
  </w:style>
  <w:style w:type="paragraph" w:customStyle="1" w:styleId="Investigators">
    <w:name w:val="Investigators"/>
    <w:qFormat/>
    <w:rsid w:val="00443D86"/>
    <w:rPr>
      <w:rFonts w:ascii="Times New Roman" w:eastAsia="Times New Roman" w:hAnsi="Times New Roman" w:cs="Times New Roman"/>
      <w:bCs/>
      <w:sz w:val="24"/>
      <w:szCs w:val="24"/>
    </w:rPr>
  </w:style>
  <w:style w:type="paragraph" w:customStyle="1" w:styleId="PublicationNumberDate">
    <w:name w:val="PublicationNumberDate"/>
    <w:qFormat/>
    <w:rsid w:val="00443D86"/>
    <w:rPr>
      <w:rFonts w:ascii="Times New Roman" w:eastAsia="Times New Roman" w:hAnsi="Times New Roman" w:cs="Times New Roman"/>
      <w:b/>
      <w:bCs/>
      <w:sz w:val="24"/>
      <w:szCs w:val="24"/>
    </w:rPr>
  </w:style>
  <w:style w:type="paragraph" w:customStyle="1" w:styleId="SuggestedCitation">
    <w:name w:val="SuggestedCitation"/>
    <w:qFormat/>
    <w:rsid w:val="00443D86"/>
    <w:rPr>
      <w:rFonts w:ascii="Times New Roman" w:eastAsia="Times New Roman" w:hAnsi="Times New Roman" w:cs="Times New Roman"/>
      <w:bCs/>
      <w:sz w:val="24"/>
      <w:szCs w:val="24"/>
    </w:rPr>
  </w:style>
  <w:style w:type="paragraph" w:customStyle="1" w:styleId="Contents">
    <w:name w:val="Contents"/>
    <w:qFormat/>
    <w:rsid w:val="00443D86"/>
    <w:pPr>
      <w:keepNext/>
      <w:jc w:val="center"/>
    </w:pPr>
    <w:rPr>
      <w:rFonts w:ascii="Arial" w:hAnsi="Arial"/>
      <w:b/>
      <w:sz w:val="36"/>
      <w:szCs w:val="32"/>
    </w:rPr>
  </w:style>
  <w:style w:type="paragraph" w:customStyle="1" w:styleId="ContentsSubhead">
    <w:name w:val="ContentsSubhead"/>
    <w:qFormat/>
    <w:rsid w:val="00443D86"/>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443D86"/>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443D86"/>
    <w:rPr>
      <w:rFonts w:ascii="Arial" w:hAnsi="Arial"/>
      <w:b/>
      <w:i/>
      <w:sz w:val="18"/>
      <w:szCs w:val="18"/>
    </w:rPr>
  </w:style>
  <w:style w:type="paragraph" w:customStyle="1" w:styleId="Level6Heading">
    <w:name w:val="Level6Heading"/>
    <w:qFormat/>
    <w:rsid w:val="00443D86"/>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443D86"/>
    <w:pPr>
      <w:keepNext/>
    </w:pPr>
    <w:rPr>
      <w:rFonts w:ascii="Times New Roman" w:hAnsi="Times New Roman" w:cs="Times New Roman"/>
      <w:b/>
      <w:color w:val="000000"/>
      <w:sz w:val="24"/>
      <w:szCs w:val="24"/>
    </w:rPr>
  </w:style>
  <w:style w:type="paragraph" w:customStyle="1" w:styleId="Level8Heading">
    <w:name w:val="Level8Heading"/>
    <w:qFormat/>
    <w:rsid w:val="00443D86"/>
    <w:pPr>
      <w:keepNext/>
    </w:pPr>
    <w:rPr>
      <w:rFonts w:ascii="Times New Roman" w:eastAsia="Times New Roman" w:hAnsi="Times New Roman" w:cs="Times New Roman"/>
      <w:bCs/>
      <w:i/>
      <w:sz w:val="24"/>
      <w:szCs w:val="24"/>
    </w:rPr>
  </w:style>
  <w:style w:type="paragraph" w:customStyle="1" w:styleId="Bullet1">
    <w:name w:val="Bullet1"/>
    <w:qFormat/>
    <w:rsid w:val="00443D86"/>
    <w:pPr>
      <w:numPr>
        <w:numId w:val="9"/>
      </w:numPr>
    </w:pPr>
    <w:rPr>
      <w:rFonts w:ascii="Times New Roman" w:eastAsia="Times New Roman" w:hAnsi="Times New Roman" w:cs="Times New Roman"/>
      <w:bCs/>
      <w:sz w:val="24"/>
      <w:szCs w:val="24"/>
    </w:rPr>
  </w:style>
  <w:style w:type="paragraph" w:customStyle="1" w:styleId="Bullet2">
    <w:name w:val="Bullet2"/>
    <w:qFormat/>
    <w:rsid w:val="00443D86"/>
    <w:pPr>
      <w:numPr>
        <w:ilvl w:val="1"/>
        <w:numId w:val="9"/>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443D86"/>
    <w:pPr>
      <w:jc w:val="center"/>
    </w:pPr>
    <w:rPr>
      <w:rFonts w:ascii="Arial" w:hAnsi="Arial"/>
      <w:sz w:val="18"/>
      <w:szCs w:val="18"/>
    </w:rPr>
  </w:style>
  <w:style w:type="paragraph" w:customStyle="1" w:styleId="TableLeftText">
    <w:name w:val="TableLeftText"/>
    <w:qFormat/>
    <w:rsid w:val="00443D86"/>
    <w:rPr>
      <w:rFonts w:ascii="Arial" w:hAnsi="Arial"/>
      <w:sz w:val="18"/>
      <w:szCs w:val="18"/>
    </w:rPr>
  </w:style>
  <w:style w:type="paragraph" w:customStyle="1" w:styleId="TableBoldText">
    <w:name w:val="TableBoldText"/>
    <w:qFormat/>
    <w:rsid w:val="00443D86"/>
    <w:rPr>
      <w:rFonts w:ascii="Arial" w:hAnsi="Arial"/>
      <w:b/>
      <w:sz w:val="18"/>
      <w:szCs w:val="18"/>
    </w:rPr>
  </w:style>
  <w:style w:type="paragraph" w:customStyle="1" w:styleId="Studies1">
    <w:name w:val="Studies1"/>
    <w:qFormat/>
    <w:rsid w:val="00443D86"/>
    <w:pPr>
      <w:keepLines/>
      <w:spacing w:before="120" w:after="120"/>
    </w:pPr>
    <w:rPr>
      <w:rFonts w:ascii="Times New Roman" w:hAnsi="Times New Roman"/>
      <w:color w:val="000000"/>
      <w:sz w:val="24"/>
      <w:szCs w:val="32"/>
    </w:rPr>
  </w:style>
  <w:style w:type="paragraph" w:customStyle="1" w:styleId="Studies2">
    <w:name w:val="Studies2"/>
    <w:qFormat/>
    <w:rsid w:val="00443D86"/>
    <w:pPr>
      <w:keepLines/>
      <w:numPr>
        <w:numId w:val="10"/>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443D86"/>
    <w:pPr>
      <w:numPr>
        <w:numId w:val="11"/>
      </w:numPr>
      <w:ind w:left="720"/>
    </w:pPr>
  </w:style>
  <w:style w:type="paragraph" w:customStyle="1" w:styleId="ReportSubtitle">
    <w:name w:val="ReportSubtitle"/>
    <w:uiPriority w:val="99"/>
    <w:qFormat/>
    <w:rsid w:val="00443D86"/>
    <w:rPr>
      <w:rFonts w:ascii="Arial" w:eastAsia="Times New Roman" w:hAnsi="Arial" w:cs="Times New Roman"/>
      <w:b/>
      <w:bCs/>
      <w:sz w:val="24"/>
      <w:szCs w:val="24"/>
    </w:rPr>
  </w:style>
  <w:style w:type="paragraph" w:customStyle="1" w:styleId="FrontMatterSubhead">
    <w:name w:val="FrontMatterSubhead"/>
    <w:qFormat/>
    <w:rsid w:val="00443D86"/>
    <w:pPr>
      <w:keepNext/>
      <w:spacing w:before="120"/>
    </w:pPr>
    <w:rPr>
      <w:rFonts w:ascii="Arial" w:hAnsi="Arial"/>
      <w:b/>
      <w:sz w:val="24"/>
      <w:szCs w:val="32"/>
    </w:rPr>
  </w:style>
  <w:style w:type="character" w:styleId="Hyperlink">
    <w:name w:val="Hyperlink"/>
    <w:uiPriority w:val="99"/>
    <w:rsid w:val="00443D86"/>
    <w:rPr>
      <w:color w:val="0000FF"/>
      <w:u w:val="single"/>
    </w:rPr>
  </w:style>
  <w:style w:type="paragraph" w:customStyle="1" w:styleId="BodyText">
    <w:name w:val="BodyText"/>
    <w:basedOn w:val="Normal"/>
    <w:link w:val="BodyTextChar"/>
    <w:rsid w:val="00443D86"/>
    <w:pPr>
      <w:spacing w:after="120" w:line="240" w:lineRule="auto"/>
    </w:pPr>
    <w:rPr>
      <w:rFonts w:ascii="Times New Roman" w:hAnsi="Times New Roman"/>
      <w:sz w:val="24"/>
      <w:szCs w:val="24"/>
    </w:rPr>
  </w:style>
  <w:style w:type="character" w:customStyle="1" w:styleId="BodyTextChar">
    <w:name w:val="BodyText Char"/>
    <w:link w:val="BodyText"/>
    <w:rsid w:val="00443D86"/>
    <w:rPr>
      <w:rFonts w:ascii="Times New Roman" w:eastAsia="Times New Roman" w:hAnsi="Times New Roman" w:cs="Times New Roman"/>
      <w:sz w:val="24"/>
      <w:szCs w:val="24"/>
    </w:rPr>
  </w:style>
  <w:style w:type="paragraph" w:customStyle="1" w:styleId="TitlePageReportNumber">
    <w:name w:val="Title Page Report Number"/>
    <w:basedOn w:val="Normal"/>
    <w:rsid w:val="00443D86"/>
    <w:pPr>
      <w:spacing w:after="0" w:line="240" w:lineRule="auto"/>
    </w:pPr>
    <w:rPr>
      <w:rFonts w:ascii="Arial" w:eastAsia="Times" w:hAnsi="Arial"/>
      <w:b/>
      <w:sz w:val="28"/>
      <w:szCs w:val="20"/>
    </w:rPr>
  </w:style>
  <w:style w:type="paragraph" w:customStyle="1" w:styleId="Default">
    <w:name w:val="Default"/>
    <w:rsid w:val="00443D86"/>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443D86"/>
  </w:style>
  <w:style w:type="paragraph" w:customStyle="1" w:styleId="Bullet3">
    <w:name w:val="Bullet3"/>
    <w:basedOn w:val="Bullet2"/>
    <w:qFormat/>
    <w:rsid w:val="00443D86"/>
    <w:pPr>
      <w:numPr>
        <w:ilvl w:val="0"/>
        <w:numId w:val="0"/>
      </w:numPr>
      <w:ind w:left="1440" w:hanging="360"/>
    </w:pPr>
  </w:style>
  <w:style w:type="character" w:styleId="FollowedHyperlink">
    <w:name w:val="FollowedHyperlink"/>
    <w:uiPriority w:val="99"/>
    <w:semiHidden/>
    <w:unhideWhenUsed/>
    <w:rsid w:val="00443D86"/>
    <w:rPr>
      <w:color w:val="800080"/>
      <w:u w:val="single"/>
    </w:rPr>
  </w:style>
  <w:style w:type="paragraph" w:styleId="BodyText0">
    <w:name w:val="Body Text"/>
    <w:basedOn w:val="Normal"/>
    <w:link w:val="BodyTextChar0"/>
    <w:rsid w:val="00443D86"/>
    <w:pPr>
      <w:spacing w:after="0" w:line="240" w:lineRule="auto"/>
    </w:pPr>
    <w:rPr>
      <w:rFonts w:ascii="Times New Roman" w:hAnsi="Times New Roman"/>
      <w:bCs/>
      <w:i/>
      <w:iCs/>
      <w:sz w:val="24"/>
      <w:szCs w:val="24"/>
    </w:rPr>
  </w:style>
  <w:style w:type="character" w:customStyle="1" w:styleId="BodyTextChar0">
    <w:name w:val="Body Text Char"/>
    <w:basedOn w:val="DefaultParagraphFont"/>
    <w:link w:val="BodyText0"/>
    <w:rsid w:val="00443D86"/>
    <w:rPr>
      <w:rFonts w:ascii="Times New Roman" w:eastAsia="Times New Roman" w:hAnsi="Times New Roman" w:cs="Times New Roman"/>
      <w:bCs/>
      <w:i/>
      <w:iCs/>
      <w:sz w:val="24"/>
      <w:szCs w:val="24"/>
    </w:rPr>
  </w:style>
  <w:style w:type="paragraph" w:styleId="BodyTextIndent">
    <w:name w:val="Body Text Indent"/>
    <w:basedOn w:val="Normal"/>
    <w:link w:val="BodyTextIndentChar"/>
    <w:rsid w:val="00443D86"/>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rsid w:val="00443D86"/>
    <w:rPr>
      <w:rFonts w:ascii="Times New Roman" w:eastAsia="Times New Roman" w:hAnsi="Times New Roman" w:cs="Times New Roman"/>
      <w:sz w:val="24"/>
      <w:szCs w:val="24"/>
    </w:rPr>
  </w:style>
  <w:style w:type="paragraph" w:styleId="List2">
    <w:name w:val="List 2"/>
    <w:basedOn w:val="Normal"/>
    <w:rsid w:val="00443D86"/>
    <w:pPr>
      <w:spacing w:after="0" w:line="240" w:lineRule="auto"/>
      <w:ind w:left="720" w:hanging="360"/>
    </w:pPr>
    <w:rPr>
      <w:rFonts w:ascii="Times New Roman" w:hAnsi="Times New Roman"/>
      <w:sz w:val="24"/>
      <w:szCs w:val="24"/>
    </w:rPr>
  </w:style>
  <w:style w:type="paragraph" w:styleId="ListContinue2">
    <w:name w:val="List Continue 2"/>
    <w:basedOn w:val="Normal"/>
    <w:rsid w:val="00443D86"/>
    <w:pPr>
      <w:spacing w:after="120" w:line="240" w:lineRule="auto"/>
      <w:ind w:left="720"/>
    </w:pPr>
    <w:rPr>
      <w:rFonts w:ascii="Times New Roman" w:hAnsi="Times New Roman"/>
      <w:sz w:val="24"/>
      <w:szCs w:val="24"/>
    </w:rPr>
  </w:style>
  <w:style w:type="character" w:customStyle="1" w:styleId="highlight">
    <w:name w:val="highlight"/>
    <w:rsid w:val="00443D86"/>
  </w:style>
  <w:style w:type="paragraph" w:customStyle="1" w:styleId="Pa0">
    <w:name w:val="Pa0"/>
    <w:basedOn w:val="Default"/>
    <w:next w:val="Default"/>
    <w:uiPriority w:val="99"/>
    <w:rsid w:val="00443D86"/>
    <w:pPr>
      <w:spacing w:line="161" w:lineRule="atLeast"/>
    </w:pPr>
    <w:rPr>
      <w:rFonts w:ascii="Arial" w:eastAsia="Calibri" w:hAnsi="Arial" w:cs="Arial"/>
      <w:color w:val="auto"/>
    </w:rPr>
  </w:style>
  <w:style w:type="paragraph" w:customStyle="1" w:styleId="Pa1">
    <w:name w:val="Pa1"/>
    <w:basedOn w:val="Default"/>
    <w:next w:val="Default"/>
    <w:uiPriority w:val="99"/>
    <w:rsid w:val="00443D86"/>
    <w:pPr>
      <w:spacing w:line="121" w:lineRule="atLeast"/>
    </w:pPr>
    <w:rPr>
      <w:rFonts w:ascii="Arial" w:eastAsia="Calibri" w:hAnsi="Arial" w:cs="Arial"/>
      <w:color w:val="auto"/>
    </w:rPr>
  </w:style>
  <w:style w:type="paragraph" w:customStyle="1" w:styleId="Pa2">
    <w:name w:val="Pa2"/>
    <w:basedOn w:val="Default"/>
    <w:next w:val="Default"/>
    <w:uiPriority w:val="99"/>
    <w:rsid w:val="00443D86"/>
    <w:pPr>
      <w:spacing w:line="161" w:lineRule="atLeast"/>
    </w:pPr>
    <w:rPr>
      <w:rFonts w:ascii="Arial" w:eastAsia="Calibri" w:hAnsi="Arial" w:cs="Arial"/>
      <w:color w:val="auto"/>
    </w:rPr>
  </w:style>
  <w:style w:type="paragraph" w:customStyle="1" w:styleId="Pa3">
    <w:name w:val="Pa3"/>
    <w:basedOn w:val="Default"/>
    <w:next w:val="Default"/>
    <w:uiPriority w:val="99"/>
    <w:rsid w:val="00443D86"/>
    <w:pPr>
      <w:spacing w:line="161" w:lineRule="atLeast"/>
    </w:pPr>
    <w:rPr>
      <w:rFonts w:ascii="Arial" w:eastAsia="Calibri" w:hAnsi="Arial" w:cs="Arial"/>
      <w:color w:val="auto"/>
    </w:rPr>
  </w:style>
  <w:style w:type="paragraph" w:customStyle="1" w:styleId="Pa4">
    <w:name w:val="Pa4"/>
    <w:basedOn w:val="Default"/>
    <w:next w:val="Default"/>
    <w:uiPriority w:val="99"/>
    <w:rsid w:val="00443D86"/>
    <w:pPr>
      <w:spacing w:line="161" w:lineRule="atLeast"/>
    </w:pPr>
    <w:rPr>
      <w:rFonts w:ascii="Arial" w:eastAsia="Calibri" w:hAnsi="Arial" w:cs="Arial"/>
      <w:color w:val="auto"/>
    </w:rPr>
  </w:style>
  <w:style w:type="paragraph" w:styleId="Caption">
    <w:name w:val="caption"/>
    <w:basedOn w:val="Normal"/>
    <w:next w:val="Normal"/>
    <w:uiPriority w:val="35"/>
    <w:unhideWhenUsed/>
    <w:qFormat/>
    <w:locked/>
    <w:rsid w:val="00443D86"/>
    <w:pPr>
      <w:spacing w:after="0" w:line="240" w:lineRule="auto"/>
    </w:pPr>
    <w:rPr>
      <w:rFonts w:ascii="Times New Roman" w:hAnsi="Times New Roman"/>
      <w:b/>
      <w:bCs/>
      <w:sz w:val="20"/>
      <w:szCs w:val="20"/>
    </w:rPr>
  </w:style>
  <w:style w:type="character" w:customStyle="1" w:styleId="A12">
    <w:name w:val="A12"/>
    <w:uiPriority w:val="99"/>
    <w:rsid w:val="00443D86"/>
    <w:rPr>
      <w:color w:val="000000"/>
      <w:sz w:val="11"/>
      <w:szCs w:val="11"/>
    </w:rPr>
  </w:style>
  <w:style w:type="paragraph" w:customStyle="1" w:styleId="numbered-paragraph">
    <w:name w:val="numbered-paragraph"/>
    <w:basedOn w:val="Normal"/>
    <w:rsid w:val="00443D86"/>
    <w:pPr>
      <w:spacing w:before="100" w:beforeAutospacing="1" w:after="100" w:afterAutospacing="1" w:line="240" w:lineRule="auto"/>
    </w:pPr>
    <w:rPr>
      <w:rFonts w:ascii="Times New Roman" w:hAnsi="Times New Roman"/>
      <w:sz w:val="24"/>
      <w:szCs w:val="24"/>
    </w:rPr>
  </w:style>
  <w:style w:type="character" w:styleId="Strong">
    <w:name w:val="Strong"/>
    <w:uiPriority w:val="22"/>
    <w:qFormat/>
    <w:locked/>
    <w:rsid w:val="00443D86"/>
    <w:rPr>
      <w:b/>
      <w:bCs/>
    </w:rPr>
  </w:style>
  <w:style w:type="character" w:customStyle="1" w:styleId="mb">
    <w:name w:val="mb"/>
    <w:rsid w:val="00443D86"/>
    <w:rPr>
      <w:rFonts w:ascii="Arial Unicode MS" w:eastAsia="Arial Unicode MS" w:hAnsi="Arial Unicode MS" w:cs="Arial Unicode MS" w:hint="eastAsia"/>
      <w:vanish w:val="0"/>
      <w:webHidden w:val="0"/>
      <w:shd w:val="clear" w:color="auto" w:fill="auto"/>
      <w:specVanish w:val="0"/>
    </w:rPr>
  </w:style>
  <w:style w:type="character" w:customStyle="1" w:styleId="fthighlight1">
    <w:name w:val="ft_highlight1"/>
    <w:rsid w:val="00443D86"/>
    <w:rPr>
      <w:shd w:val="clear" w:color="auto" w:fill="FFFF99"/>
    </w:rPr>
  </w:style>
  <w:style w:type="paragraph" w:styleId="ListParagraph">
    <w:name w:val="List Paragraph"/>
    <w:basedOn w:val="Normal"/>
    <w:uiPriority w:val="34"/>
    <w:qFormat/>
    <w:rsid w:val="00443D86"/>
    <w:pPr>
      <w:spacing w:after="0" w:line="240" w:lineRule="auto"/>
      <w:ind w:left="720"/>
    </w:pPr>
    <w:rPr>
      <w:rFonts w:ascii="Times New Roman" w:hAnsi="Times New Roman"/>
      <w:sz w:val="24"/>
      <w:szCs w:val="24"/>
    </w:rPr>
  </w:style>
  <w:style w:type="paragraph" w:styleId="TOC3">
    <w:name w:val="toc 3"/>
    <w:basedOn w:val="Normal"/>
    <w:next w:val="Normal"/>
    <w:autoRedefine/>
    <w:uiPriority w:val="39"/>
    <w:unhideWhenUsed/>
    <w:rsid w:val="00443D86"/>
    <w:pPr>
      <w:spacing w:after="0" w:line="240" w:lineRule="auto"/>
      <w:ind w:left="480"/>
    </w:pPr>
    <w:rPr>
      <w:rFonts w:ascii="Times" w:hAnsi="Times"/>
      <w:sz w:val="24"/>
      <w:szCs w:val="20"/>
    </w:rPr>
  </w:style>
  <w:style w:type="paragraph" w:styleId="Revision">
    <w:name w:val="Revision"/>
    <w:hidden/>
    <w:uiPriority w:val="99"/>
    <w:semiHidden/>
    <w:rsid w:val="00443D86"/>
    <w:rPr>
      <w:rFonts w:ascii="Times" w:eastAsia="Times New Roman" w:hAnsi="Times" w:cs="Times New Roman"/>
      <w:sz w:val="24"/>
    </w:rPr>
  </w:style>
  <w:style w:type="character" w:customStyle="1" w:styleId="title">
    <w:name w:val="title"/>
    <w:rsid w:val="00443D86"/>
  </w:style>
  <w:style w:type="character" w:customStyle="1" w:styleId="label1">
    <w:name w:val="label1"/>
    <w:rsid w:val="00443D86"/>
  </w:style>
  <w:style w:type="paragraph" w:customStyle="1" w:styleId="large-table-link">
    <w:name w:val="large-table-link"/>
    <w:basedOn w:val="Normal"/>
    <w:rsid w:val="00443D86"/>
    <w:pPr>
      <w:spacing w:before="100" w:beforeAutospacing="1" w:after="100" w:afterAutospacing="1" w:line="240" w:lineRule="auto"/>
    </w:pPr>
    <w:rPr>
      <w:rFonts w:ascii="Times New Roman" w:hAnsi="Times New Roman"/>
      <w:sz w:val="24"/>
      <w:szCs w:val="24"/>
    </w:rPr>
  </w:style>
  <w:style w:type="character" w:customStyle="1" w:styleId="right">
    <w:name w:val="right"/>
    <w:rsid w:val="00443D86"/>
  </w:style>
  <w:style w:type="character" w:customStyle="1" w:styleId="highlight1">
    <w:name w:val="highlight1"/>
    <w:rsid w:val="00443D86"/>
    <w:rPr>
      <w:shd w:val="clear" w:color="auto" w:fill="F2F5F8"/>
    </w:rPr>
  </w:style>
  <w:style w:type="character" w:styleId="HTMLCite">
    <w:name w:val="HTML Cite"/>
    <w:uiPriority w:val="99"/>
    <w:semiHidden/>
    <w:unhideWhenUsed/>
    <w:rsid w:val="00443D86"/>
    <w:rPr>
      <w:i/>
      <w:iCs/>
    </w:rPr>
  </w:style>
  <w:style w:type="character" w:customStyle="1" w:styleId="slug-pub-date">
    <w:name w:val="slug-pub-date"/>
    <w:rsid w:val="00443D86"/>
  </w:style>
  <w:style w:type="character" w:customStyle="1" w:styleId="apple-converted-space">
    <w:name w:val="apple-converted-space"/>
    <w:rsid w:val="00443D86"/>
  </w:style>
  <w:style w:type="character" w:customStyle="1" w:styleId="slug-vol">
    <w:name w:val="slug-vol"/>
    <w:rsid w:val="00443D86"/>
  </w:style>
  <w:style w:type="character" w:customStyle="1" w:styleId="slug-pages">
    <w:name w:val="slug-pages"/>
    <w:rsid w:val="00443D86"/>
  </w:style>
  <w:style w:type="character" w:customStyle="1" w:styleId="cit-pub-date">
    <w:name w:val="cit-pub-date"/>
    <w:rsid w:val="00443D86"/>
  </w:style>
  <w:style w:type="paragraph" w:customStyle="1" w:styleId="norm13">
    <w:name w:val="norm13"/>
    <w:basedOn w:val="Normal"/>
    <w:rsid w:val="00443D86"/>
    <w:pPr>
      <w:spacing w:before="240" w:after="240" w:line="240" w:lineRule="auto"/>
    </w:pPr>
    <w:rPr>
      <w:rFonts w:ascii="Times New Roman" w:hAnsi="Times New Roman"/>
    </w:rPr>
  </w:style>
  <w:style w:type="paragraph" w:styleId="TOC4">
    <w:name w:val="toc 4"/>
    <w:basedOn w:val="Normal"/>
    <w:next w:val="Normal"/>
    <w:autoRedefine/>
    <w:uiPriority w:val="39"/>
    <w:unhideWhenUsed/>
    <w:rsid w:val="00443D86"/>
    <w:pPr>
      <w:spacing w:after="100"/>
      <w:ind w:left="660"/>
    </w:pPr>
  </w:style>
  <w:style w:type="paragraph" w:styleId="TOC5">
    <w:name w:val="toc 5"/>
    <w:basedOn w:val="Normal"/>
    <w:next w:val="Normal"/>
    <w:autoRedefine/>
    <w:uiPriority w:val="39"/>
    <w:unhideWhenUsed/>
    <w:rsid w:val="00443D86"/>
    <w:pPr>
      <w:spacing w:after="100"/>
      <w:ind w:left="880"/>
    </w:pPr>
  </w:style>
  <w:style w:type="paragraph" w:styleId="TOC6">
    <w:name w:val="toc 6"/>
    <w:basedOn w:val="Normal"/>
    <w:next w:val="Normal"/>
    <w:autoRedefine/>
    <w:uiPriority w:val="39"/>
    <w:unhideWhenUsed/>
    <w:rsid w:val="00443D86"/>
    <w:pPr>
      <w:spacing w:after="100"/>
      <w:ind w:left="1100"/>
    </w:pPr>
  </w:style>
  <w:style w:type="paragraph" w:styleId="TOC7">
    <w:name w:val="toc 7"/>
    <w:basedOn w:val="Normal"/>
    <w:next w:val="Normal"/>
    <w:autoRedefine/>
    <w:uiPriority w:val="39"/>
    <w:unhideWhenUsed/>
    <w:rsid w:val="00443D86"/>
    <w:pPr>
      <w:spacing w:after="100"/>
      <w:ind w:left="1320"/>
    </w:pPr>
  </w:style>
  <w:style w:type="paragraph" w:styleId="TOC8">
    <w:name w:val="toc 8"/>
    <w:basedOn w:val="Normal"/>
    <w:next w:val="Normal"/>
    <w:autoRedefine/>
    <w:uiPriority w:val="39"/>
    <w:unhideWhenUsed/>
    <w:rsid w:val="00443D86"/>
    <w:pPr>
      <w:spacing w:after="100"/>
      <w:ind w:left="1540"/>
    </w:pPr>
  </w:style>
  <w:style w:type="paragraph" w:styleId="TOC9">
    <w:name w:val="toc 9"/>
    <w:basedOn w:val="Normal"/>
    <w:next w:val="Normal"/>
    <w:autoRedefine/>
    <w:uiPriority w:val="39"/>
    <w:unhideWhenUsed/>
    <w:rsid w:val="00443D86"/>
    <w:pPr>
      <w:spacing w:after="100"/>
      <w:ind w:left="1760"/>
    </w:pPr>
  </w:style>
  <w:style w:type="character" w:styleId="LineNumber">
    <w:name w:val="line number"/>
    <w:uiPriority w:val="99"/>
    <w:semiHidden/>
    <w:unhideWhenUsed/>
    <w:rsid w:val="00443D86"/>
  </w:style>
  <w:style w:type="character" w:customStyle="1" w:styleId="cit-issue1">
    <w:name w:val="cit-issue1"/>
    <w:rsid w:val="00443D86"/>
    <w:rPr>
      <w:vanish/>
      <w:webHidden w:val="0"/>
      <w:specVanish w:val="0"/>
    </w:rPr>
  </w:style>
  <w:style w:type="character" w:customStyle="1" w:styleId="cit-auth3">
    <w:name w:val="cit-auth3"/>
    <w:rsid w:val="00443D86"/>
  </w:style>
  <w:style w:type="character" w:customStyle="1" w:styleId="cit-sep2">
    <w:name w:val="cit-sep2"/>
    <w:rsid w:val="00443D86"/>
  </w:style>
  <w:style w:type="character" w:customStyle="1" w:styleId="site-title">
    <w:name w:val="site-title"/>
    <w:rsid w:val="00443D86"/>
  </w:style>
  <w:style w:type="character" w:customStyle="1" w:styleId="cit-print-date2">
    <w:name w:val="cit-print-date2"/>
    <w:rsid w:val="00443D86"/>
  </w:style>
  <w:style w:type="character" w:customStyle="1" w:styleId="cit-vol2">
    <w:name w:val="cit-vol2"/>
    <w:rsid w:val="00443D86"/>
  </w:style>
  <w:style w:type="character" w:customStyle="1" w:styleId="cit-first-page">
    <w:name w:val="cit-first-page"/>
    <w:rsid w:val="00443D86"/>
  </w:style>
  <w:style w:type="character" w:customStyle="1" w:styleId="cit-last-page2">
    <w:name w:val="cit-last-page2"/>
    <w:rsid w:val="00443D86"/>
  </w:style>
  <w:style w:type="paragraph" w:styleId="FootnoteText">
    <w:name w:val="footnote text"/>
    <w:basedOn w:val="Normal"/>
    <w:link w:val="FootnoteTextChar"/>
    <w:uiPriority w:val="99"/>
    <w:semiHidden/>
    <w:unhideWhenUsed/>
    <w:rsid w:val="00443D86"/>
    <w:pPr>
      <w:spacing w:after="0" w:line="240" w:lineRule="auto"/>
    </w:pPr>
    <w:rPr>
      <w:rFonts w:ascii="Times" w:hAnsi="Times"/>
      <w:sz w:val="20"/>
      <w:szCs w:val="20"/>
    </w:rPr>
  </w:style>
  <w:style w:type="character" w:customStyle="1" w:styleId="FootnoteTextChar">
    <w:name w:val="Footnote Text Char"/>
    <w:basedOn w:val="DefaultParagraphFont"/>
    <w:link w:val="FootnoteText"/>
    <w:uiPriority w:val="99"/>
    <w:semiHidden/>
    <w:rsid w:val="00443D86"/>
    <w:rPr>
      <w:rFonts w:ascii="Times" w:eastAsia="Times New Roman" w:hAnsi="Times" w:cs="Times New Roman"/>
    </w:rPr>
  </w:style>
  <w:style w:type="character" w:styleId="FootnoteReference">
    <w:name w:val="footnote reference"/>
    <w:uiPriority w:val="99"/>
    <w:semiHidden/>
    <w:unhideWhenUsed/>
    <w:rsid w:val="00443D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547DE-8E93-4B89-9E1E-22B77ACC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tec0015</cp:lastModifiedBy>
  <cp:revision>11</cp:revision>
  <dcterms:created xsi:type="dcterms:W3CDTF">2014-12-16T15:53:00Z</dcterms:created>
  <dcterms:modified xsi:type="dcterms:W3CDTF">2015-01-22T06:43:00Z</dcterms:modified>
</cp:coreProperties>
</file>