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22"/>
      <w:bookmarkStart w:id="1" w:name="_Toc384280920"/>
      <w:bookmarkStart w:id="2" w:name="_Toc387130619"/>
      <w:proofErr w:type="gramStart"/>
      <w:r w:rsidRPr="00707316">
        <w:t>Table 23.</w:t>
      </w:r>
      <w:proofErr w:type="gramEnd"/>
      <w:r w:rsidRPr="00707316">
        <w:t xml:space="preserve"> Ambulatory (daytime) vs. office, all-cause mortality, results of included studies for Key Question 3a</w:t>
      </w:r>
      <w:bookmarkEnd w:id="0"/>
      <w:bookmarkEnd w:id="1"/>
      <w:bookmarkEnd w:id="2"/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044"/>
        <w:gridCol w:w="1178"/>
        <w:gridCol w:w="929"/>
        <w:gridCol w:w="821"/>
        <w:gridCol w:w="885"/>
        <w:gridCol w:w="1170"/>
        <w:gridCol w:w="813"/>
        <w:gridCol w:w="1167"/>
        <w:gridCol w:w="832"/>
        <w:gridCol w:w="833"/>
        <w:gridCol w:w="832"/>
        <w:gridCol w:w="833"/>
        <w:gridCol w:w="1353"/>
      </w:tblGrid>
      <w:tr w:rsidR="00443D86" w:rsidRPr="00707316" w:rsidTr="008C6F6F">
        <w:trPr>
          <w:cantSplit/>
          <w:trHeight w:val="288"/>
          <w:tblHeader/>
        </w:trPr>
        <w:tc>
          <w:tcPr>
            <w:tcW w:w="558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BP</w:t>
            </w:r>
          </w:p>
        </w:tc>
        <w:tc>
          <w:tcPr>
            <w:tcW w:w="1044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1178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929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821" w:type="dxa"/>
            <w:shd w:val="clear" w:color="C0C0C0" w:fill="C0C0C0"/>
          </w:tcPr>
          <w:p w:rsidR="00443D86" w:rsidRPr="00707316" w:rsidRDefault="008C6F6F" w:rsidP="00D657A7">
            <w:pPr>
              <w:pStyle w:val="TableColumnHead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885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% HTN at BL,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% Treated</w:t>
            </w:r>
          </w:p>
        </w:tc>
        <w:tc>
          <w:tcPr>
            <w:tcW w:w="117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813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follow-up (y)</w:t>
            </w:r>
          </w:p>
        </w:tc>
        <w:tc>
          <w:tcPr>
            <w:tcW w:w="1167" w:type="dxa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8" w:right="-111"/>
            </w:pPr>
            <w:r w:rsidRPr="00707316">
              <w:t>Cox regression model, BP variable increment‡</w:t>
            </w:r>
          </w:p>
        </w:tc>
        <w:tc>
          <w:tcPr>
            <w:tcW w:w="832" w:type="dxa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5" w:right="-89"/>
            </w:pPr>
            <w:r w:rsidRPr="00707316">
              <w:t>ABPM (day)</w:t>
            </w:r>
          </w:p>
          <w:p w:rsidR="00443D86" w:rsidRPr="00707316" w:rsidRDefault="00443D86" w:rsidP="008C6F6F">
            <w:pPr>
              <w:pStyle w:val="TableColumnHead"/>
              <w:ind w:left="-105" w:right="-89"/>
            </w:pPr>
            <w:r w:rsidRPr="00707316">
              <w:t>HR (95% CI)</w:t>
            </w:r>
          </w:p>
        </w:tc>
        <w:tc>
          <w:tcPr>
            <w:tcW w:w="833" w:type="dxa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27" w:right="-156"/>
            </w:pPr>
            <w:r w:rsidRPr="00707316">
              <w:t>ABPM (day)</w:t>
            </w:r>
          </w:p>
          <w:p w:rsidR="00443D86" w:rsidRPr="00707316" w:rsidRDefault="00443D86" w:rsidP="008C6F6F">
            <w:pPr>
              <w:pStyle w:val="TableColumnHead"/>
              <w:ind w:left="-127" w:right="-156"/>
            </w:pPr>
            <w:r w:rsidRPr="00707316">
              <w:t>HR (95% CI), adj. for OBPM</w:t>
            </w:r>
          </w:p>
        </w:tc>
        <w:tc>
          <w:tcPr>
            <w:tcW w:w="832" w:type="dxa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60" w:right="-44"/>
            </w:pPr>
            <w:r w:rsidRPr="00707316">
              <w:t>OBPM</w:t>
            </w:r>
          </w:p>
          <w:p w:rsidR="00443D86" w:rsidRPr="00707316" w:rsidRDefault="00443D86" w:rsidP="008C6F6F">
            <w:pPr>
              <w:pStyle w:val="TableColumnHead"/>
              <w:ind w:left="-60" w:right="-44"/>
            </w:pPr>
            <w:r w:rsidRPr="00707316">
              <w:t>HR (95% CI)</w:t>
            </w:r>
          </w:p>
        </w:tc>
        <w:tc>
          <w:tcPr>
            <w:tcW w:w="833" w:type="dxa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82" w:right="-111"/>
            </w:pPr>
            <w:r w:rsidRPr="00707316">
              <w:t>OBPM</w:t>
            </w:r>
          </w:p>
          <w:p w:rsidR="00443D86" w:rsidRPr="00707316" w:rsidRDefault="00443D86" w:rsidP="008C6F6F">
            <w:pPr>
              <w:pStyle w:val="TableColumnHead"/>
              <w:ind w:left="-82" w:right="-111"/>
            </w:pPr>
            <w:r w:rsidRPr="00707316">
              <w:t>HR (95% CI), adj. for ABPM (day)</w:t>
            </w:r>
          </w:p>
        </w:tc>
        <w:tc>
          <w:tcPr>
            <w:tcW w:w="1353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Additional model covariates†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1178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929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821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5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813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7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832" w:type="dxa"/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1.18 (0.94 to 1.50)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1.03 (0.79 to 1.34)</w:t>
            </w:r>
          </w:p>
        </w:tc>
        <w:tc>
          <w:tcPr>
            <w:tcW w:w="832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1.40 (1.10 to 1.78)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cholesterol, use of lipid-lowering drugs, CV complications at entry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178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929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821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885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813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67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32" w:type="dxa"/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1.09 (1.04 to 1.13)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(1.03 to 1.12)</w:t>
            </w:r>
          </w:p>
        </w:tc>
        <w:tc>
          <w:tcPr>
            <w:tcW w:w="832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1.02 (0.99 to 1.05)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events, OBPM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178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929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21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5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813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67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32" w:type="dxa"/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1.15 (1.04 to 1.28)*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2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1.05 (0.96 to 1.14)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 1999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178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</w:t>
            </w:r>
            <w:r w:rsidR="008C6F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national (western and eastern Europe)</w:t>
            </w:r>
          </w:p>
        </w:tc>
        <w:tc>
          <w:tcPr>
            <w:tcW w:w="929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21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5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813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67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32" w:type="dxa"/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(0.91 to 1.24)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0.98 (0.83 to 1.17)</w:t>
            </w:r>
          </w:p>
        </w:tc>
        <w:tc>
          <w:tcPr>
            <w:tcW w:w="832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1.24 (1.03 to 1.49)</w:t>
            </w:r>
          </w:p>
        </w:tc>
        <w:tc>
          <w:tcPr>
            <w:tcW w:w="833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Previous CV complications, residence in western Europe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Diastolic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1.22 (0.95 to 1.56)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1.15 (0.89 to 1.49)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1.27 (0.98 to 1.64)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cholesterol, use of lipid-lowering drugs, CV complications at entry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8C6F6F">
            <w:pPr>
              <w:spacing w:after="0" w:line="240" w:lineRule="auto"/>
              <w:ind w:right="-111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1.02 (0.99 to 1.06)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1.02 (0.99 to 1.05)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 (0.99 to 1.04)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C6F6F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events, OBPM</w:t>
            </w:r>
          </w:p>
        </w:tc>
      </w:tr>
      <w:tr w:rsidR="00443D86" w:rsidRPr="00707316" w:rsidTr="008C6F6F">
        <w:trPr>
          <w:cantSplit/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C6F6F">
            <w:pPr>
              <w:spacing w:after="0" w:line="240" w:lineRule="auto"/>
              <w:ind w:right="-17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1.16 (1.08 to 1.26)*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(0.99 to 1.14)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*Relative risk</w:t>
      </w:r>
    </w:p>
    <w:p w:rsidR="00443D86" w:rsidRPr="00707316" w:rsidRDefault="00443D86" w:rsidP="00443D86">
      <w:pPr>
        <w:pStyle w:val="TableNote"/>
        <w:spacing w:after="0"/>
      </w:pPr>
      <w:r w:rsidRPr="00707316">
        <w:t>†All adjusted for age, sex, and smoking. All covariates are from the model adjusted for ABPM (24hr) or OBPM.</w:t>
      </w:r>
    </w:p>
    <w:p w:rsidR="00EF1DFA" w:rsidRDefault="00443D86" w:rsidP="00656567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ABPM = ambulatory blood pressure measurement; adj = adjusted; BL = baseline; BMI = body mass index; BP = blood pressure; CI = confidence interval; CV = cardiovascular; DBP = diastolic blood pressure; DM = diabetes mellitus; HTN = hypertension; hr = hour; HR = hazard ratio; mm Hg = millimeters of mercury; NR = not reported; OBPM = office blood pressure measurement; SBP = systolic blood pressure</w:t>
      </w:r>
    </w:p>
    <w:sectPr w:rsidR="00EF1DFA" w:rsidSect="00656567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F1" w:rsidRDefault="00C325F1" w:rsidP="00475490">
      <w:pPr>
        <w:spacing w:after="0" w:line="240" w:lineRule="auto"/>
      </w:pPr>
      <w:r>
        <w:separator/>
      </w:r>
    </w:p>
  </w:endnote>
  <w:endnote w:type="continuationSeparator" w:id="0">
    <w:p w:rsidR="00C325F1" w:rsidRDefault="00C325F1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697C86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697C86" w:rsidRPr="009E1DB1">
      <w:rPr>
        <w:rFonts w:ascii="Arial" w:hAnsi="Arial" w:cs="Arial"/>
        <w:sz w:val="16"/>
        <w:szCs w:val="16"/>
      </w:rPr>
      <w:fldChar w:fldCharType="separate"/>
    </w:r>
    <w:r w:rsidR="00656567" w:rsidRPr="00656567">
      <w:rPr>
        <w:rFonts w:ascii="Arial" w:hAnsi="Arial"/>
        <w:noProof/>
        <w:sz w:val="16"/>
        <w:szCs w:val="16"/>
      </w:rPr>
      <w:t>240</w:t>
    </w:r>
    <w:r w:rsidR="00697C86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F1" w:rsidRDefault="00C325F1" w:rsidP="00475490">
      <w:pPr>
        <w:spacing w:after="0" w:line="240" w:lineRule="auto"/>
      </w:pPr>
      <w:r>
        <w:separator/>
      </w:r>
    </w:p>
  </w:footnote>
  <w:footnote w:type="continuationSeparator" w:id="0">
    <w:p w:rsidR="00C325F1" w:rsidRDefault="00C325F1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412E71"/>
    <w:rsid w:val="00443D86"/>
    <w:rsid w:val="00475490"/>
    <w:rsid w:val="0050591B"/>
    <w:rsid w:val="0050700A"/>
    <w:rsid w:val="00651600"/>
    <w:rsid w:val="00656567"/>
    <w:rsid w:val="00697C86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325F1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9AD3-735B-4D47-AF93-3DF1D57B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7</cp:revision>
  <dcterms:created xsi:type="dcterms:W3CDTF">2014-12-16T15:53:00Z</dcterms:created>
  <dcterms:modified xsi:type="dcterms:W3CDTF">2015-01-22T06:25:00Z</dcterms:modified>
</cp:coreProperties>
</file>