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10"/>
      <w:bookmarkStart w:id="1" w:name="_Toc384280908"/>
      <w:bookmarkStart w:id="2" w:name="_Toc387130607"/>
      <w:proofErr w:type="gramStart"/>
      <w:r w:rsidRPr="00707316">
        <w:t>Table 11.</w:t>
      </w:r>
      <w:proofErr w:type="gramEnd"/>
      <w:r w:rsidRPr="00707316">
        <w:t xml:space="preserve"> Baseline characteristics of included studies for Key Question 3a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9"/>
        <w:gridCol w:w="988"/>
        <w:gridCol w:w="1800"/>
        <w:gridCol w:w="901"/>
        <w:gridCol w:w="991"/>
        <w:gridCol w:w="1170"/>
        <w:gridCol w:w="1349"/>
        <w:gridCol w:w="1080"/>
        <w:gridCol w:w="899"/>
        <w:gridCol w:w="991"/>
        <w:gridCol w:w="1278"/>
      </w:tblGrid>
      <w:tr w:rsidR="00443D86" w:rsidRPr="00707316" w:rsidTr="00D657A7">
        <w:trPr>
          <w:cantSplit/>
          <w:trHeight w:val="288"/>
          <w:tblHeader/>
        </w:trPr>
        <w:tc>
          <w:tcPr>
            <w:tcW w:w="656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Author, Year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 xml:space="preserve"> Quality</w:t>
            </w:r>
          </w:p>
        </w:tc>
        <w:tc>
          <w:tcPr>
            <w:tcW w:w="37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</w:t>
            </w:r>
          </w:p>
        </w:tc>
        <w:tc>
          <w:tcPr>
            <w:tcW w:w="68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Age and Range (years)</w:t>
            </w:r>
          </w:p>
        </w:tc>
        <w:tc>
          <w:tcPr>
            <w:tcW w:w="34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% Female</w:t>
            </w:r>
          </w:p>
        </w:tc>
        <w:tc>
          <w:tcPr>
            <w:tcW w:w="376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% Non-White</w:t>
            </w:r>
          </w:p>
        </w:tc>
        <w:tc>
          <w:tcPr>
            <w:tcW w:w="444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% Smokers</w:t>
            </w:r>
          </w:p>
        </w:tc>
        <w:tc>
          <w:tcPr>
            <w:tcW w:w="512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BMI (kg/m</w:t>
            </w:r>
            <w:r w:rsidRPr="00D657A7">
              <w:rPr>
                <w:vertAlign w:val="superscript"/>
              </w:rPr>
              <w:t>2</w:t>
            </w:r>
            <w:r w:rsidRPr="00707316">
              <w:t>), % w/ BMI &gt; 30</w:t>
            </w:r>
          </w:p>
        </w:tc>
        <w:tc>
          <w:tcPr>
            <w:tcW w:w="410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% DM</w:t>
            </w:r>
          </w:p>
        </w:tc>
        <w:tc>
          <w:tcPr>
            <w:tcW w:w="341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% CVD</w:t>
            </w:r>
          </w:p>
        </w:tc>
        <w:tc>
          <w:tcPr>
            <w:tcW w:w="376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% HTN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% Treated</w:t>
            </w:r>
          </w:p>
        </w:tc>
        <w:tc>
          <w:tcPr>
            <w:tcW w:w="48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Mean Office SBP/DBP (mm Hg)*</w:t>
            </w:r>
          </w:p>
        </w:tc>
      </w:tr>
      <w:tr w:rsidR="00443D86" w:rsidRPr="00707316" w:rsidTr="00D657A7">
        <w:trPr>
          <w:cantSplit/>
          <w:trHeight w:val="125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Asayama, 2006</w:t>
            </w:r>
            <w:r w:rsidRPr="00EE7EF5">
              <w:rPr>
                <w:noProof/>
                <w:vertAlign w:val="superscript"/>
              </w:rPr>
              <w:t>112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1766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60.1 (range, ≥ 40)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60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22.3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23.4,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12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0.9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54.3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28.5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</w:tr>
      <w:tr w:rsidR="00443D86" w:rsidRPr="00707316" w:rsidTr="00D657A7">
        <w:trPr>
          <w:cantSplit/>
          <w:trHeight w:val="143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Bobrie, 2004</w:t>
            </w:r>
            <w:r w:rsidRPr="00EE7EF5">
              <w:rPr>
                <w:noProof/>
                <w:vertAlign w:val="superscript"/>
              </w:rPr>
              <w:t>113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4939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70 (range, 60-97)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51.1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7.7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NR, 18.93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14.7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100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100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152/85</w:t>
            </w:r>
          </w:p>
        </w:tc>
      </w:tr>
      <w:tr w:rsidR="00443D86" w:rsidRPr="00707316" w:rsidTr="00D657A7">
        <w:trPr>
          <w:cantSplit/>
          <w:trHeight w:val="8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Celis, 2002</w:t>
            </w:r>
            <w:r w:rsidRPr="00EE7EF5">
              <w:rPr>
                <w:noProof/>
                <w:vertAlign w:val="superscript"/>
              </w:rPr>
              <w:t>114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419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52.6 (range, ≥ 18)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53.9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18.4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28.8,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100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0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164.7/103.4</w:t>
            </w:r>
          </w:p>
        </w:tc>
      </w:tr>
      <w:tr w:rsidR="00443D86" w:rsidRPr="00707316" w:rsidTr="00D657A7">
        <w:trPr>
          <w:cantSplit/>
          <w:trHeight w:val="107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Clement, 2003</w:t>
            </w:r>
            <w:r w:rsidRPr="00EE7EF5">
              <w:rPr>
                <w:noProof/>
                <w:vertAlign w:val="superscript"/>
              </w:rPr>
              <w:t>115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1963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56.4 (range, ≥ 18)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48.6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17.2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27.9,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11.0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5.9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100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100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155.01/93.06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Dolan, 2005</w:t>
            </w:r>
            <w:r w:rsidRPr="00EE7EF5">
              <w:rPr>
                <w:noProof/>
                <w:vertAlign w:val="superscript"/>
              </w:rPr>
              <w:t>116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5292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53.3 (range, 16.2-92.4)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53.7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23.8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27.4,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5.16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10.6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100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0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162.3/93.1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Fagard, 2005</w:t>
            </w:r>
            <w:r w:rsidRPr="00EE7EF5">
              <w:rPr>
                <w:noProof/>
                <w:vertAlign w:val="superscript"/>
              </w:rPr>
              <w:t>117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391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71 (range, 60-99)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59.9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18.9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27.5,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8.44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61.9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32.2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142.8/77.5</w:t>
            </w:r>
          </w:p>
        </w:tc>
      </w:tr>
      <w:tr w:rsidR="00443D86" w:rsidRPr="00707316" w:rsidTr="00D657A7">
        <w:trPr>
          <w:cantSplit/>
          <w:trHeight w:val="98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Gasowski, 2008</w:t>
            </w:r>
            <w:r w:rsidRPr="00EE7EF5">
              <w:rPr>
                <w:noProof/>
                <w:vertAlign w:val="superscript"/>
              </w:rPr>
              <w:t>118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1167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48.8 (range, NR)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50.7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31.7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25.9,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3.08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22.9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14.8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126/77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Hansen, 2005</w:t>
            </w:r>
            <w:r w:rsidRPr="00EE7EF5">
              <w:rPr>
                <w:noProof/>
                <w:vertAlign w:val="superscript"/>
              </w:rPr>
              <w:t>119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1700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 (range, 41-72)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52.1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44.3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25.3, NR†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2.18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NR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9.4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128/82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Hermida, 2011</w:t>
            </w:r>
            <w:r w:rsidRPr="00EE7EF5">
              <w:rPr>
                <w:noProof/>
                <w:vertAlign w:val="superscript"/>
              </w:rPr>
              <w:t>120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3344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52.6 (range, ≥ 18)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48.6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14.5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29.8, 42.3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18.15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0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NR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150.8/85.9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Ingelsson, 2006</w:t>
            </w:r>
            <w:r w:rsidRPr="00EE7EF5">
              <w:rPr>
                <w:noProof/>
                <w:vertAlign w:val="superscript"/>
              </w:rPr>
              <w:t>121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951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70 (assumed) (range, 50-70)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0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20.4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26.2,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9.99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49.2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32.6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146/84</w:t>
            </w:r>
          </w:p>
        </w:tc>
      </w:tr>
      <w:tr w:rsidR="00443D86" w:rsidRPr="00707316" w:rsidTr="00D657A7">
        <w:trPr>
          <w:cantSplit/>
          <w:trHeight w:val="107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Mesquita-Bastos, 2010</w:t>
            </w:r>
            <w:r w:rsidRPr="00EE7EF5">
              <w:rPr>
                <w:noProof/>
                <w:vertAlign w:val="superscript"/>
              </w:rPr>
              <w:t>122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1200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50.7 (range, ≥ 18)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53.8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4.9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27.1,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10.17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0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100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52.4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154.85/95.27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Niiranen, 2010</w:t>
            </w:r>
            <w:r w:rsidRPr="00EE7EF5">
              <w:rPr>
                <w:noProof/>
                <w:vertAlign w:val="superscript"/>
              </w:rPr>
              <w:t>123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2081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50.3 (range, 45-74)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53.7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19.6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27.4,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6.25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11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NR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22.7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137.4/83.7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Ohkubo, 1998</w:t>
            </w:r>
            <w:r w:rsidRPr="00EE7EF5">
              <w:rPr>
                <w:noProof/>
                <w:vertAlign w:val="superscript"/>
              </w:rPr>
              <w:t>124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1789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61.0 (range, ≥ 40)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60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22.5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4.1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NR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32.5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133.3/75.9</w:t>
            </w:r>
          </w:p>
        </w:tc>
      </w:tr>
      <w:tr w:rsidR="00443D86" w:rsidRPr="00707316" w:rsidTr="00D657A7">
        <w:trPr>
          <w:cantSplit/>
          <w:trHeight w:val="70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Ohkubo, 2005</w:t>
            </w:r>
            <w:r w:rsidRPr="00EE7EF5">
              <w:rPr>
                <w:noProof/>
                <w:vertAlign w:val="superscript"/>
              </w:rPr>
              <w:t>125</w:t>
            </w:r>
            <w:r w:rsidRPr="00707316">
              <w:t xml:space="preserve">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1332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61.0 (range, ≥ 40)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60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20.4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17.42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5.6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15.2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30.4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131.2/74.1</w:t>
            </w:r>
          </w:p>
        </w:tc>
      </w:tr>
      <w:tr w:rsidR="00443D86" w:rsidRPr="00707316" w:rsidTr="00D657A7">
        <w:trPr>
          <w:cantSplit/>
          <w:trHeight w:val="576"/>
        </w:trPr>
        <w:tc>
          <w:tcPr>
            <w:tcW w:w="65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Staessen, 1999</w:t>
            </w:r>
            <w:r w:rsidRPr="00EE7EF5">
              <w:rPr>
                <w:noProof/>
                <w:vertAlign w:val="superscript"/>
              </w:rPr>
              <w:t>126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37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808</w:t>
            </w:r>
          </w:p>
        </w:tc>
        <w:tc>
          <w:tcPr>
            <w:tcW w:w="683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69.6 (range, ≥ 60)</w:t>
            </w:r>
          </w:p>
        </w:tc>
        <w:tc>
          <w:tcPr>
            <w:tcW w:w="34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61.5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444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8.5</w:t>
            </w:r>
          </w:p>
        </w:tc>
        <w:tc>
          <w:tcPr>
            <w:tcW w:w="512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26.1 in men; 27.0 in women, NR</w:t>
            </w:r>
          </w:p>
        </w:tc>
        <w:tc>
          <w:tcPr>
            <w:tcW w:w="410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NR</w:t>
            </w:r>
          </w:p>
        </w:tc>
        <w:tc>
          <w:tcPr>
            <w:tcW w:w="341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26.6</w:t>
            </w:r>
          </w:p>
        </w:tc>
        <w:tc>
          <w:tcPr>
            <w:tcW w:w="376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100  </w:t>
            </w:r>
          </w:p>
          <w:p w:rsidR="00443D86" w:rsidRPr="00707316" w:rsidRDefault="00443D86" w:rsidP="00D657A7">
            <w:pPr>
              <w:pStyle w:val="TableText"/>
            </w:pPr>
            <w:r w:rsidRPr="00707316">
              <w:t>42.6</w:t>
            </w:r>
          </w:p>
        </w:tc>
        <w:tc>
          <w:tcPr>
            <w:tcW w:w="48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173.3/86.0</w:t>
            </w:r>
          </w:p>
        </w:tc>
      </w:tr>
    </w:tbl>
    <w:p w:rsidR="00443D86" w:rsidRPr="00707316" w:rsidRDefault="00443D86" w:rsidP="00443D86">
      <w:pPr>
        <w:pStyle w:val="TableNote"/>
        <w:spacing w:after="0"/>
      </w:pPr>
      <w:r w:rsidRPr="00707316">
        <w:t>*Baseline BP measurements may also be available by ABPM or HBPM values</w:t>
      </w:r>
    </w:p>
    <w:p w:rsidR="00443D86" w:rsidRPr="00707316" w:rsidRDefault="00443D86" w:rsidP="00443D86">
      <w:pPr>
        <w:pStyle w:val="TableNote"/>
        <w:spacing w:after="0"/>
      </w:pPr>
      <w:r w:rsidRPr="00707316">
        <w:t>†Median</w:t>
      </w:r>
    </w:p>
    <w:p w:rsidR="00D657A7" w:rsidRDefault="00D657A7" w:rsidP="00443D86">
      <w:pPr>
        <w:pStyle w:val="TableNote"/>
        <w:spacing w:after="0"/>
        <w:rPr>
          <w:b/>
        </w:rPr>
      </w:pPr>
    </w:p>
    <w:p w:rsidR="00EF1DFA" w:rsidRDefault="00443D86" w:rsidP="00CE0EFB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BMI = body mass index; CVD = cardiovascular disease; DBP = diastolic blood pressure; DM = diabetes mellitus; HTN = hypertension; kg = kilogram(s); m = meter; mm Hg = millimeters of mercury; NR = not reported; SBP = systolic blood pressure</w:t>
      </w:r>
    </w:p>
    <w:sectPr w:rsidR="00EF1DFA" w:rsidSect="00CE0EFB">
      <w:headerReference w:type="default" r:id="rId8"/>
      <w:footerReference w:type="default" r:id="rId9"/>
      <w:pgSz w:w="15840" w:h="12240" w:orient="landscape" w:code="1"/>
      <w:pgMar w:top="1267" w:right="1440" w:bottom="1354" w:left="1440" w:header="720" w:footer="720" w:gutter="0"/>
      <w:pgNumType w:start="2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CB" w:rsidRDefault="003279CB" w:rsidP="00475490">
      <w:pPr>
        <w:spacing w:after="0" w:line="240" w:lineRule="auto"/>
      </w:pPr>
      <w:r>
        <w:separator/>
      </w:r>
    </w:p>
  </w:endnote>
  <w:endnote w:type="continuationSeparator" w:id="0">
    <w:p w:rsidR="003279CB" w:rsidRDefault="003279CB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5114E9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5114E9" w:rsidRPr="009E1DB1">
      <w:rPr>
        <w:rFonts w:ascii="Arial" w:hAnsi="Arial" w:cs="Arial"/>
        <w:sz w:val="16"/>
        <w:szCs w:val="16"/>
      </w:rPr>
      <w:fldChar w:fldCharType="separate"/>
    </w:r>
    <w:r w:rsidR="00CE0EFB" w:rsidRPr="00CE0EFB">
      <w:rPr>
        <w:rFonts w:ascii="Arial" w:hAnsi="Arial"/>
        <w:noProof/>
        <w:sz w:val="16"/>
        <w:szCs w:val="16"/>
      </w:rPr>
      <w:t>218</w:t>
    </w:r>
    <w:r w:rsidR="005114E9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CB" w:rsidRDefault="003279CB" w:rsidP="00475490">
      <w:pPr>
        <w:spacing w:after="0" w:line="240" w:lineRule="auto"/>
      </w:pPr>
      <w:r>
        <w:separator/>
      </w:r>
    </w:p>
  </w:footnote>
  <w:footnote w:type="continuationSeparator" w:id="0">
    <w:p w:rsidR="003279CB" w:rsidRDefault="003279CB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3279CB"/>
    <w:rsid w:val="00412E71"/>
    <w:rsid w:val="00443D86"/>
    <w:rsid w:val="00475490"/>
    <w:rsid w:val="0050591B"/>
    <w:rsid w:val="0050700A"/>
    <w:rsid w:val="005114E9"/>
    <w:rsid w:val="00651600"/>
    <w:rsid w:val="006B6342"/>
    <w:rsid w:val="006D1509"/>
    <w:rsid w:val="007B0315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B4670"/>
    <w:rsid w:val="00CB5C0F"/>
    <w:rsid w:val="00CE0EFB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CFB3-3448-4AB6-9781-0C383B25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7</cp:revision>
  <dcterms:created xsi:type="dcterms:W3CDTF">2014-12-16T15:53:00Z</dcterms:created>
  <dcterms:modified xsi:type="dcterms:W3CDTF">2015-01-22T05:35:00Z</dcterms:modified>
</cp:coreProperties>
</file>