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186"/>
        <w:gridCol w:w="3975"/>
        <w:gridCol w:w="826"/>
        <w:gridCol w:w="3755"/>
      </w:tblGrid>
      <w:tr w:rsidR="005023CA" w:rsidRPr="005A7E8D" w:rsidTr="005023CA">
        <w:trPr>
          <w:cantSplit/>
          <w:tblHeader/>
        </w:trPr>
        <w:tc>
          <w:tcPr>
            <w:tcW w:w="0" w:type="auto"/>
            <w:tcBorders>
              <w:bottom w:val="single" w:sz="4" w:space="0" w:color="auto"/>
            </w:tcBorders>
            <w:shd w:val="clear" w:color="auto" w:fill="D9D9D9"/>
            <w:vAlign w:val="bottom"/>
            <w:hideMark/>
          </w:tcPr>
          <w:p w:rsidR="005023CA" w:rsidRPr="005A7E8D" w:rsidRDefault="005023CA" w:rsidP="005023CA">
            <w:pPr>
              <w:rPr>
                <w:rFonts w:ascii="Arial" w:eastAsia="Times New Roman" w:hAnsi="Arial" w:cs="Arial"/>
                <w:b/>
                <w:bCs/>
                <w:sz w:val="18"/>
                <w:szCs w:val="18"/>
              </w:rPr>
            </w:pPr>
            <w:r w:rsidRPr="005A7E8D">
              <w:rPr>
                <w:rFonts w:ascii="Arial" w:eastAsia="Times New Roman" w:hAnsi="Arial" w:cs="Arial"/>
                <w:b/>
                <w:bCs/>
                <w:sz w:val="18"/>
                <w:szCs w:val="18"/>
              </w:rPr>
              <w:t>Author, Year</w:t>
            </w:r>
          </w:p>
        </w:tc>
        <w:tc>
          <w:tcPr>
            <w:tcW w:w="0" w:type="auto"/>
            <w:tcBorders>
              <w:bottom w:val="single" w:sz="4" w:space="0" w:color="auto"/>
            </w:tcBorders>
            <w:shd w:val="clear" w:color="auto" w:fill="D9D9D9"/>
            <w:vAlign w:val="bottom"/>
            <w:hideMark/>
          </w:tcPr>
          <w:p w:rsidR="005023CA" w:rsidRPr="005A7E8D" w:rsidRDefault="005023CA" w:rsidP="005023CA">
            <w:pPr>
              <w:jc w:val="center"/>
              <w:rPr>
                <w:rFonts w:ascii="Arial" w:eastAsia="Times New Roman" w:hAnsi="Arial" w:cs="Arial"/>
                <w:b/>
                <w:bCs/>
                <w:sz w:val="18"/>
                <w:szCs w:val="18"/>
              </w:rPr>
            </w:pPr>
            <w:r w:rsidRPr="005A7E8D">
              <w:rPr>
                <w:rFonts w:ascii="Arial" w:eastAsia="Times New Roman" w:hAnsi="Arial" w:cs="Arial"/>
                <w:b/>
                <w:bCs/>
                <w:sz w:val="18"/>
                <w:szCs w:val="18"/>
              </w:rPr>
              <w:t>Purpose of Study</w:t>
            </w:r>
          </w:p>
        </w:tc>
        <w:tc>
          <w:tcPr>
            <w:tcW w:w="0" w:type="auto"/>
            <w:tcBorders>
              <w:bottom w:val="single" w:sz="4" w:space="0" w:color="auto"/>
            </w:tcBorders>
            <w:shd w:val="clear" w:color="auto" w:fill="D9D9D9"/>
            <w:vAlign w:val="bottom"/>
            <w:hideMark/>
          </w:tcPr>
          <w:p w:rsidR="005023CA" w:rsidRPr="005A7E8D" w:rsidRDefault="005023CA" w:rsidP="005023CA">
            <w:pPr>
              <w:jc w:val="center"/>
              <w:rPr>
                <w:rFonts w:ascii="Arial" w:eastAsia="Times New Roman" w:hAnsi="Arial" w:cs="Arial"/>
                <w:b/>
                <w:bCs/>
                <w:sz w:val="18"/>
                <w:szCs w:val="18"/>
              </w:rPr>
            </w:pPr>
            <w:r w:rsidRPr="005A7E8D">
              <w:rPr>
                <w:rFonts w:ascii="Arial" w:eastAsia="Times New Roman" w:hAnsi="Arial" w:cs="Arial"/>
                <w:b/>
                <w:bCs/>
                <w:sz w:val="18"/>
                <w:szCs w:val="18"/>
              </w:rPr>
              <w:t>Databases Searched, Date of Last Search</w:t>
            </w:r>
          </w:p>
        </w:tc>
        <w:tc>
          <w:tcPr>
            <w:tcW w:w="0" w:type="auto"/>
            <w:tcBorders>
              <w:bottom w:val="single" w:sz="4" w:space="0" w:color="auto"/>
            </w:tcBorders>
            <w:shd w:val="clear" w:color="auto" w:fill="D9D9D9"/>
            <w:vAlign w:val="bottom"/>
            <w:hideMark/>
          </w:tcPr>
          <w:p w:rsidR="005023CA" w:rsidRPr="005A7E8D" w:rsidRDefault="005023CA" w:rsidP="005023CA">
            <w:pPr>
              <w:ind w:left="-108" w:right="-113"/>
              <w:jc w:val="center"/>
              <w:rPr>
                <w:rFonts w:ascii="Arial" w:eastAsia="Times New Roman" w:hAnsi="Arial" w:cs="Arial"/>
                <w:b/>
                <w:bCs/>
                <w:sz w:val="18"/>
                <w:szCs w:val="18"/>
              </w:rPr>
            </w:pPr>
            <w:r w:rsidRPr="005A7E8D">
              <w:rPr>
                <w:rFonts w:ascii="Arial" w:eastAsia="Times New Roman" w:hAnsi="Arial" w:cs="Arial"/>
                <w:b/>
                <w:bCs/>
                <w:sz w:val="18"/>
                <w:szCs w:val="18"/>
              </w:rPr>
              <w:t>Number of Studies</w:t>
            </w:r>
          </w:p>
        </w:tc>
        <w:tc>
          <w:tcPr>
            <w:tcW w:w="0" w:type="auto"/>
            <w:tcBorders>
              <w:bottom w:val="single" w:sz="4" w:space="0" w:color="auto"/>
            </w:tcBorders>
            <w:shd w:val="clear" w:color="auto" w:fill="D9D9D9"/>
            <w:vAlign w:val="bottom"/>
            <w:hideMark/>
          </w:tcPr>
          <w:p w:rsidR="005023CA" w:rsidRPr="005A7E8D" w:rsidRDefault="005023CA" w:rsidP="005023CA">
            <w:pPr>
              <w:jc w:val="center"/>
              <w:rPr>
                <w:rFonts w:ascii="Arial" w:eastAsia="Times New Roman" w:hAnsi="Arial" w:cs="Arial"/>
                <w:b/>
                <w:bCs/>
                <w:sz w:val="18"/>
                <w:szCs w:val="18"/>
              </w:rPr>
            </w:pPr>
            <w:r w:rsidRPr="005A7E8D">
              <w:rPr>
                <w:rFonts w:ascii="Arial" w:eastAsia="Times New Roman" w:hAnsi="Arial" w:cs="Arial"/>
                <w:b/>
                <w:bCs/>
                <w:sz w:val="18"/>
                <w:szCs w:val="18"/>
              </w:rPr>
              <w:t>Types of Studies Included</w:t>
            </w:r>
          </w:p>
        </w:tc>
      </w:tr>
      <w:tr w:rsidR="005023CA" w:rsidRPr="005A7E8D" w:rsidTr="005023CA">
        <w:trPr>
          <w:cantSplit/>
        </w:trPr>
        <w:tc>
          <w:tcPr>
            <w:tcW w:w="0" w:type="auto"/>
            <w:gridSpan w:val="5"/>
            <w:shd w:val="clear" w:color="auto" w:fill="F2F2F2"/>
            <w:vAlign w:val="bottom"/>
            <w:hideMark/>
          </w:tcPr>
          <w:p w:rsidR="005023CA" w:rsidRPr="005A7E8D" w:rsidRDefault="005023CA" w:rsidP="005023CA">
            <w:pPr>
              <w:rPr>
                <w:rFonts w:ascii="Arial" w:eastAsia="Times New Roman" w:hAnsi="Arial" w:cs="Arial"/>
                <w:b/>
                <w:bCs/>
                <w:sz w:val="18"/>
                <w:szCs w:val="18"/>
              </w:rPr>
            </w:pPr>
            <w:r w:rsidRPr="005A7E8D">
              <w:rPr>
                <w:rFonts w:ascii="Arial" w:eastAsia="Times New Roman" w:hAnsi="Arial" w:cs="Arial"/>
                <w:b/>
                <w:bCs/>
                <w:iCs/>
                <w:sz w:val="18"/>
                <w:szCs w:val="18"/>
              </w:rPr>
              <w:t>Intensive glucose control</w:t>
            </w:r>
            <w:r w:rsidRPr="005A7E8D">
              <w:rPr>
                <w:rFonts w:ascii="Arial" w:eastAsia="Times New Roman" w:hAnsi="Arial" w:cs="Arial"/>
                <w:b/>
                <w:bCs/>
                <w:sz w:val="18"/>
                <w:szCs w:val="18"/>
              </w:rPr>
              <w:t>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Buehler, 2013</w:t>
            </w:r>
            <w:r w:rsidRPr="005A7E8D">
              <w:rPr>
                <w:rFonts w:ascii="Arial" w:eastAsia="Times New Roman" w:hAnsi="Arial" w:cs="Arial"/>
                <w:color w:val="000000"/>
                <w:sz w:val="18"/>
                <w:szCs w:val="18"/>
                <w:vertAlign w:val="superscript"/>
              </w:rPr>
              <w:t>114</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Examine the effect of tight versus conventional glucose control in people with DM</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Cochrane library, MEDLINE, EMBASE, ISI Web of Knowledge through May 2011</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6 RCTs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comparing tight versus conventional glucose control conducting in people age ≥18 years with DM and followup ≥1 year</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Hemmingsen, 2012</w:t>
            </w:r>
            <w:r w:rsidRPr="005A7E8D">
              <w:rPr>
                <w:rFonts w:ascii="Arial" w:eastAsia="Times New Roman" w:hAnsi="Arial" w:cs="Arial"/>
                <w:color w:val="000000"/>
                <w:sz w:val="18"/>
                <w:szCs w:val="18"/>
                <w:vertAlign w:val="superscript"/>
              </w:rPr>
              <w:t>115</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Assess the effects of targeting intensive versus standard glycemic control in people with DM</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Cochrane Library, MEDLINE, EMBASE, Science Citation Index Expanded, LILACS, CINAHL through December 2010</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 xml:space="preserve">20 RCTs </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that prespecified different targets of glycemic control in adults with DM.</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Coca, 2012</w:t>
            </w:r>
            <w:r w:rsidRPr="005A7E8D">
              <w:rPr>
                <w:rFonts w:ascii="Arial" w:eastAsia="Times New Roman" w:hAnsi="Arial" w:cs="Arial"/>
                <w:color w:val="000000"/>
                <w:sz w:val="18"/>
                <w:szCs w:val="18"/>
                <w:vertAlign w:val="superscript"/>
              </w:rPr>
              <w:t>116</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Compare the effects of intensive glucose control and standard glucose control on renal events in people with DM</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EMBASE, CCRCT through December 2010</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7 RTCs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comparing surrogate renal end points and clinical renal end points in patients with DM receiving intensive glucose control vs those receiving standard glucose control.</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Hemmingsen, 2011</w:t>
            </w:r>
            <w:r w:rsidRPr="005A7E8D">
              <w:rPr>
                <w:rFonts w:ascii="Arial" w:eastAsia="Times New Roman" w:hAnsi="Arial" w:cs="Arial"/>
                <w:sz w:val="18"/>
                <w:szCs w:val="18"/>
                <w:vertAlign w:val="superscript"/>
              </w:rPr>
              <w:t>117</w:t>
            </w:r>
            <w:r w:rsidRPr="005A7E8D">
              <w:rPr>
                <w:rFonts w:ascii="Arial" w:eastAsia="Times New Roman" w:hAnsi="Arial" w:cs="Arial"/>
                <w:sz w:val="18"/>
                <w:szCs w:val="18"/>
              </w:rPr>
              <w:t xml:space="preserve"> </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Assess the effect of intensive versus standard glycemic control on all-cause and CV mortality, non-fatal MI, microvascular complications and severe hypoglycemia</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Cochrane Library, MEDLINE, EMBASE, Science Citation Expanded Index, LILACS, CINAHL through December 2010. Hand searches of reference lists, conference proceedings, pharmaceutical companies, FDA</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14 RCTs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comparing targeted intensive glycemic control with standard glycemic control in patients with DM. Published and unpublished trials in all languages were included, irrespective of predefined outcomes.</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Boussageon, 2011</w:t>
            </w:r>
            <w:r w:rsidRPr="005A7E8D">
              <w:rPr>
                <w:rFonts w:ascii="Arial" w:eastAsia="Times New Roman" w:hAnsi="Arial" w:cs="Arial"/>
                <w:color w:val="000000"/>
                <w:sz w:val="18"/>
                <w:szCs w:val="18"/>
                <w:vertAlign w:val="superscript"/>
              </w:rPr>
              <w:t>118</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determine all-cause mortality and deaths from cardiovascular events related to intensive glucose lowering treatment in people with DM</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EMBASE, CDSR through July 2010</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13 RCTs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 xml:space="preserve">Trials that assessed the effect of intensive glucose lowering treatment on CV and microvascular events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Castagno, 2011</w:t>
            </w:r>
            <w:r w:rsidRPr="005A7E8D">
              <w:rPr>
                <w:rFonts w:ascii="Arial" w:eastAsia="Times New Roman" w:hAnsi="Arial" w:cs="Arial"/>
                <w:color w:val="000000"/>
                <w:sz w:val="18"/>
                <w:szCs w:val="18"/>
                <w:vertAlign w:val="superscript"/>
              </w:rPr>
              <w:t>119</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 xml:space="preserve">To determine whether improved glycemic control reduces the risk of heart failure. </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PubMed, CCRCT, metaRegister, pre-MEDLINE, and CINAHL through October 2010</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8 RCTs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comparing strategies of more versus less intensive glucose-lowering reporting HF events.</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Wu, 2010</w:t>
            </w:r>
            <w:r w:rsidRPr="005A7E8D">
              <w:rPr>
                <w:rFonts w:ascii="Arial" w:eastAsia="Times New Roman" w:hAnsi="Arial" w:cs="Arial"/>
                <w:color w:val="000000"/>
                <w:sz w:val="18"/>
                <w:szCs w:val="18"/>
                <w:vertAlign w:val="superscript"/>
              </w:rPr>
              <w:t>120</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evaluate the efficacy of intensive glucose control in the prevention of cardiovascular events when compared with standard glucose controls</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EMBASE, the Cochrane Library, and Science Citation Index through January 2009</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6 RCTs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 xml:space="preserve">Trials comparing intensive glucose control strategies and standard glucose control strategies in populations with DM reporting all-cause and CV mortality and macrovascular events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Kelly, 2009</w:t>
            </w:r>
            <w:r w:rsidRPr="005A7E8D">
              <w:rPr>
                <w:rFonts w:ascii="Arial" w:eastAsia="Times New Roman" w:hAnsi="Arial" w:cs="Arial"/>
                <w:color w:val="000000"/>
                <w:sz w:val="18"/>
                <w:szCs w:val="18"/>
                <w:vertAlign w:val="superscript"/>
              </w:rPr>
              <w:t>121</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summarize clinical benefits and harms of intensive versus standard glucose control for people with DM</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database through April 2009 with no language restrictions.</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 xml:space="preserve">5 RCTs </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comparing intensive glucose control with standard glucose control with prespecified glucose targets, reporting CVD as the primary outcome and n&gt;500</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Ma, 2009</w:t>
            </w:r>
            <w:r w:rsidRPr="005A7E8D">
              <w:rPr>
                <w:rFonts w:ascii="Arial" w:eastAsia="Times New Roman" w:hAnsi="Arial" w:cs="Arial"/>
                <w:color w:val="000000"/>
                <w:sz w:val="18"/>
                <w:szCs w:val="18"/>
                <w:vertAlign w:val="superscript"/>
              </w:rPr>
              <w:t>123</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assess the relationship between major vascular events and intensive glycemic control</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EMBASE through December 2008, and the Cochrane Library, Issue 4, 2008</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8 RCTs</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comparing intensive and standard glycemic control reporting vascular events, with target HbA1c levels</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Mannucci, 2009</w:t>
            </w:r>
            <w:r w:rsidRPr="005A7E8D">
              <w:rPr>
                <w:rFonts w:ascii="Arial" w:eastAsia="Times New Roman" w:hAnsi="Arial" w:cs="Arial"/>
                <w:color w:val="000000"/>
                <w:sz w:val="18"/>
                <w:szCs w:val="18"/>
                <w:vertAlign w:val="superscript"/>
              </w:rPr>
              <w:t>124</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 xml:space="preserve">To assess of the effects of improvement of glycemic control on the incidence CVD </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EMBASE, and the Cochrane library through December 2008, restricted to randomized clinical trials, published in English</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 xml:space="preserve">5 RCTs </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reporting the between-group difference in mean HbA1c during the trial was at least 0.5%, planned duration of treatment of at least 3 years, CV outcomes.</w:t>
            </w:r>
          </w:p>
        </w:tc>
      </w:tr>
      <w:tr w:rsidR="005023CA" w:rsidRPr="005A7E8D" w:rsidTr="005023CA">
        <w:trPr>
          <w:cantSplit/>
        </w:trPr>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lastRenderedPageBreak/>
              <w:t>Ray, 2009</w:t>
            </w:r>
            <w:r w:rsidRPr="005A7E8D">
              <w:rPr>
                <w:rFonts w:ascii="Arial" w:eastAsia="Times New Roman" w:hAnsi="Arial" w:cs="Arial"/>
                <w:color w:val="000000"/>
                <w:sz w:val="18"/>
                <w:szCs w:val="18"/>
                <w:vertAlign w:val="superscript"/>
              </w:rPr>
              <w:t>122</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tcBorders>
              <w:bottom w:val="single" w:sz="4" w:space="0" w:color="auto"/>
            </w:tcBorders>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assess the effect of an intensive glucose-lowering regimen on mortality and CV outcomes</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the Cochrane Library, and EMBASE through January 2009</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 xml:space="preserve">5 RCTs </w:t>
            </w:r>
          </w:p>
        </w:tc>
        <w:tc>
          <w:tcPr>
            <w:tcW w:w="0" w:type="auto"/>
            <w:tcBorders>
              <w:bottom w:val="single" w:sz="4" w:space="0" w:color="auto"/>
            </w:tcBorders>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Trials of intensive vs standard glucose lowering reporting CV events</w:t>
            </w:r>
          </w:p>
        </w:tc>
      </w:tr>
      <w:tr w:rsidR="005023CA" w:rsidRPr="005A7E8D" w:rsidTr="005023CA">
        <w:trPr>
          <w:cantSplit/>
        </w:trPr>
        <w:tc>
          <w:tcPr>
            <w:tcW w:w="0" w:type="auto"/>
            <w:gridSpan w:val="5"/>
            <w:shd w:val="clear" w:color="auto" w:fill="F2F2F2"/>
            <w:hideMark/>
          </w:tcPr>
          <w:p w:rsidR="005023CA" w:rsidRPr="005A7E8D" w:rsidRDefault="005023CA" w:rsidP="005023CA">
            <w:pPr>
              <w:keepNext/>
              <w:rPr>
                <w:rFonts w:ascii="Arial" w:eastAsia="Times New Roman" w:hAnsi="Arial" w:cs="Arial"/>
                <w:sz w:val="18"/>
                <w:szCs w:val="18"/>
              </w:rPr>
            </w:pPr>
            <w:r w:rsidRPr="005A7E8D">
              <w:rPr>
                <w:rFonts w:ascii="Arial" w:eastAsia="Times New Roman" w:hAnsi="Arial" w:cs="Arial"/>
                <w:b/>
                <w:bCs/>
                <w:iCs/>
                <w:sz w:val="18"/>
                <w:szCs w:val="18"/>
              </w:rPr>
              <w:t>Intensive blood pressure control</w:t>
            </w:r>
            <w:r w:rsidRPr="005A7E8D">
              <w:rPr>
                <w:rFonts w:ascii="Arial" w:eastAsia="Times New Roman" w:hAnsi="Arial" w:cs="Arial"/>
                <w:sz w:val="18"/>
                <w:szCs w:val="18"/>
              </w:rPr>
              <w:t>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Bangalore, 2011</w:t>
            </w:r>
            <w:r w:rsidRPr="005A7E8D">
              <w:rPr>
                <w:rFonts w:ascii="Arial" w:eastAsia="Times New Roman" w:hAnsi="Arial" w:cs="Arial"/>
                <w:color w:val="000000"/>
                <w:sz w:val="18"/>
                <w:szCs w:val="18"/>
                <w:vertAlign w:val="superscript"/>
              </w:rPr>
              <w:t>125</w:t>
            </w:r>
          </w:p>
        </w:tc>
        <w:tc>
          <w:tcPr>
            <w:tcW w:w="0" w:type="auto"/>
            <w:shd w:val="clear" w:color="auto" w:fill="auto"/>
            <w:hideMark/>
          </w:tcPr>
          <w:p w:rsidR="005023CA" w:rsidRPr="005A7E8D" w:rsidRDefault="005023CA" w:rsidP="005023CA">
            <w:pPr>
              <w:ind w:right="-108"/>
              <w:rPr>
                <w:rFonts w:ascii="Arial" w:eastAsia="Times New Roman" w:hAnsi="Arial" w:cs="Arial"/>
                <w:color w:val="000000"/>
                <w:sz w:val="18"/>
                <w:szCs w:val="18"/>
              </w:rPr>
            </w:pPr>
            <w:r w:rsidRPr="005A7E8D">
              <w:rPr>
                <w:rFonts w:ascii="Arial" w:eastAsia="Times New Roman" w:hAnsi="Arial" w:cs="Arial"/>
                <w:color w:val="000000"/>
                <w:sz w:val="18"/>
                <w:szCs w:val="18"/>
              </w:rPr>
              <w:t>To evaluate target BP goals for patients with type 2 diabetes, impaired fasting glucose or glucose intolerance</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PUBMED, EMBASE, Cochrane, through October 2010</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13 RCTs</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Trials with achieved SBP ≤140 mm Hg in both groups with at least 3 mm Hg difference between groups</w:t>
            </w:r>
          </w:p>
        </w:tc>
      </w:tr>
      <w:tr w:rsidR="005023CA" w:rsidRPr="005A7E8D" w:rsidTr="005023CA">
        <w:trPr>
          <w:cantSplit/>
        </w:trPr>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Reboldi, 2011</w:t>
            </w:r>
            <w:r w:rsidRPr="005A7E8D">
              <w:rPr>
                <w:rFonts w:ascii="Arial" w:eastAsia="Times New Roman" w:hAnsi="Arial" w:cs="Arial"/>
                <w:color w:val="000000"/>
                <w:sz w:val="18"/>
                <w:szCs w:val="18"/>
                <w:vertAlign w:val="superscript"/>
              </w:rPr>
              <w:t>134</w:t>
            </w:r>
          </w:p>
        </w:tc>
        <w:tc>
          <w:tcPr>
            <w:tcW w:w="0" w:type="auto"/>
            <w:tcBorders>
              <w:bottom w:val="single" w:sz="4" w:space="0" w:color="auto"/>
            </w:tcBorders>
            <w:shd w:val="clear" w:color="auto" w:fill="auto"/>
            <w:hideMark/>
          </w:tcPr>
          <w:p w:rsidR="005023CA" w:rsidRPr="005A7E8D" w:rsidRDefault="005023CA" w:rsidP="005023CA">
            <w:pPr>
              <w:ind w:right="-108"/>
              <w:rPr>
                <w:rFonts w:ascii="Arial" w:eastAsia="Times New Roman" w:hAnsi="Arial" w:cs="Arial"/>
                <w:color w:val="000000"/>
                <w:sz w:val="18"/>
                <w:szCs w:val="18"/>
              </w:rPr>
            </w:pPr>
            <w:r w:rsidRPr="005A7E8D">
              <w:rPr>
                <w:rFonts w:ascii="Arial" w:eastAsia="Times New Roman" w:hAnsi="Arial" w:cs="Arial"/>
                <w:color w:val="000000"/>
                <w:sz w:val="18"/>
                <w:szCs w:val="18"/>
              </w:rPr>
              <w:t>To define the relation between the magnitude of BP reduction and the risk of stroke and MI in patients with diabetes</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MEDLINE, EMBASE, Cochrane through March 2010</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 xml:space="preserve">5 RCTs </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Trials of more versus less intensive BP control, though criteria for inclusion not clearly defined</w:t>
            </w:r>
          </w:p>
        </w:tc>
      </w:tr>
      <w:tr w:rsidR="005023CA" w:rsidRPr="005A7E8D" w:rsidTr="005023CA">
        <w:trPr>
          <w:cantSplit/>
        </w:trPr>
        <w:tc>
          <w:tcPr>
            <w:tcW w:w="0" w:type="auto"/>
            <w:gridSpan w:val="5"/>
            <w:shd w:val="clear" w:color="auto" w:fill="F2F2F2"/>
            <w:noWrap/>
            <w:hideMark/>
          </w:tcPr>
          <w:p w:rsidR="005023CA" w:rsidRPr="005A7E8D" w:rsidRDefault="005023CA" w:rsidP="005023CA">
            <w:pPr>
              <w:ind w:right="-108"/>
              <w:rPr>
                <w:rFonts w:ascii="Arial" w:eastAsia="Times New Roman" w:hAnsi="Arial" w:cs="Arial"/>
                <w:b/>
                <w:bCs/>
                <w:iCs/>
                <w:sz w:val="18"/>
                <w:szCs w:val="18"/>
              </w:rPr>
            </w:pPr>
            <w:r w:rsidRPr="005A7E8D">
              <w:rPr>
                <w:rFonts w:ascii="Arial" w:eastAsia="Times New Roman" w:hAnsi="Arial" w:cs="Arial"/>
                <w:b/>
                <w:bCs/>
                <w:iCs/>
                <w:sz w:val="18"/>
                <w:szCs w:val="18"/>
              </w:rPr>
              <w:t>Aspirin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De Berardis, 2009</w:t>
            </w:r>
            <w:r w:rsidRPr="005A7E8D">
              <w:rPr>
                <w:rFonts w:ascii="Arial" w:eastAsia="Times New Roman" w:hAnsi="Arial" w:cs="Arial"/>
                <w:color w:val="000000"/>
                <w:sz w:val="18"/>
                <w:szCs w:val="18"/>
                <w:vertAlign w:val="superscript"/>
              </w:rPr>
              <w:t>132</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assess the benefits and harms of low-dose aspiring in people with DM but without CVD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Cochrane through November 2008</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6 RCTs</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Trials (blinded or open) of aspirin vs no aspirin reporting mortality, nonfatal MI or nonfatal stroke</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Stavrakis, 2011</w:t>
            </w:r>
            <w:r w:rsidRPr="005A7E8D">
              <w:rPr>
                <w:rFonts w:ascii="Arial" w:eastAsia="Times New Roman" w:hAnsi="Arial" w:cs="Arial"/>
                <w:color w:val="000000"/>
                <w:sz w:val="18"/>
                <w:szCs w:val="18"/>
                <w:vertAlign w:val="superscript"/>
              </w:rPr>
              <w:t>133</w:t>
            </w:r>
          </w:p>
        </w:tc>
        <w:tc>
          <w:tcPr>
            <w:tcW w:w="0" w:type="auto"/>
            <w:shd w:val="clear" w:color="auto" w:fill="auto"/>
            <w:hideMark/>
          </w:tcPr>
          <w:p w:rsidR="005023CA" w:rsidRPr="005A7E8D" w:rsidRDefault="005023CA" w:rsidP="005023CA">
            <w:pPr>
              <w:ind w:right="-108"/>
              <w:rPr>
                <w:rFonts w:ascii="Arial" w:eastAsia="Times New Roman" w:hAnsi="Arial" w:cs="Arial"/>
                <w:sz w:val="18"/>
                <w:szCs w:val="18"/>
              </w:rPr>
            </w:pPr>
            <w:r w:rsidRPr="005A7E8D">
              <w:rPr>
                <w:rFonts w:ascii="Arial" w:eastAsia="Times New Roman" w:hAnsi="Arial" w:cs="Arial"/>
                <w:sz w:val="18"/>
                <w:szCs w:val="18"/>
              </w:rPr>
              <w:t>To assess the effect of low-dose aspirin for primary prevention of CV events in people with diabetes</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MEDLINE, EMBASE through November 2009</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7 RCTs</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Trials (blinded or open) conducted in people with no prior CVD reporting mortality, MI or stroke</w:t>
            </w:r>
          </w:p>
        </w:tc>
      </w:tr>
    </w:tbl>
    <w:p w:rsidR="005023CA" w:rsidRDefault="005023CA" w:rsidP="005023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424"/>
        <w:gridCol w:w="4730"/>
        <w:gridCol w:w="5165"/>
        <w:gridCol w:w="1871"/>
      </w:tblGrid>
      <w:tr w:rsidR="005023CA" w:rsidRPr="005A7E8D" w:rsidTr="005023CA">
        <w:trPr>
          <w:cantSplit/>
          <w:tblHeader/>
        </w:trPr>
        <w:tc>
          <w:tcPr>
            <w:tcW w:w="0" w:type="auto"/>
            <w:tcBorders>
              <w:bottom w:val="single" w:sz="4" w:space="0" w:color="auto"/>
            </w:tcBorders>
            <w:shd w:val="clear" w:color="auto" w:fill="D9D9D9"/>
            <w:vAlign w:val="bottom"/>
            <w:hideMark/>
          </w:tcPr>
          <w:p w:rsidR="005023CA" w:rsidRPr="005A7E8D" w:rsidRDefault="005023CA" w:rsidP="005023CA">
            <w:pPr>
              <w:rPr>
                <w:rFonts w:ascii="Arial" w:eastAsia="Times New Roman" w:hAnsi="Arial" w:cs="Arial"/>
                <w:b/>
                <w:bCs/>
                <w:sz w:val="18"/>
                <w:szCs w:val="18"/>
              </w:rPr>
            </w:pPr>
            <w:r w:rsidRPr="005A7E8D">
              <w:rPr>
                <w:rFonts w:ascii="Arial" w:eastAsia="Times New Roman" w:hAnsi="Arial" w:cs="Arial"/>
                <w:b/>
                <w:bCs/>
                <w:sz w:val="18"/>
                <w:szCs w:val="18"/>
              </w:rPr>
              <w:t>Author, Year</w:t>
            </w:r>
          </w:p>
        </w:tc>
        <w:tc>
          <w:tcPr>
            <w:tcW w:w="0" w:type="auto"/>
            <w:tcBorders>
              <w:bottom w:val="single" w:sz="4" w:space="0" w:color="auto"/>
            </w:tcBorders>
            <w:shd w:val="clear" w:color="auto" w:fill="D9D9D9"/>
            <w:vAlign w:val="bottom"/>
            <w:hideMark/>
          </w:tcPr>
          <w:p w:rsidR="005023CA" w:rsidRPr="005A7E8D" w:rsidRDefault="005023CA" w:rsidP="005023CA">
            <w:pPr>
              <w:jc w:val="center"/>
              <w:rPr>
                <w:rFonts w:ascii="Arial" w:eastAsia="Times New Roman" w:hAnsi="Arial" w:cs="Arial"/>
                <w:b/>
                <w:bCs/>
                <w:sz w:val="18"/>
                <w:szCs w:val="18"/>
              </w:rPr>
            </w:pPr>
            <w:r w:rsidRPr="005A7E8D">
              <w:rPr>
                <w:rFonts w:ascii="Arial" w:eastAsia="Times New Roman" w:hAnsi="Arial" w:cs="Arial"/>
                <w:b/>
                <w:bCs/>
                <w:sz w:val="18"/>
                <w:szCs w:val="18"/>
              </w:rPr>
              <w:t>Methods for Rating Methodological Quality of Primary Studies</w:t>
            </w:r>
          </w:p>
        </w:tc>
        <w:tc>
          <w:tcPr>
            <w:tcW w:w="0" w:type="auto"/>
            <w:tcBorders>
              <w:bottom w:val="single" w:sz="4" w:space="0" w:color="auto"/>
            </w:tcBorders>
            <w:shd w:val="clear" w:color="auto" w:fill="D9D9D9"/>
            <w:vAlign w:val="bottom"/>
            <w:hideMark/>
          </w:tcPr>
          <w:p w:rsidR="005023CA" w:rsidRPr="005A7E8D" w:rsidRDefault="005023CA" w:rsidP="005023CA">
            <w:pPr>
              <w:jc w:val="center"/>
              <w:rPr>
                <w:rFonts w:ascii="Arial" w:eastAsia="Times New Roman" w:hAnsi="Arial" w:cs="Arial"/>
                <w:b/>
                <w:bCs/>
                <w:sz w:val="18"/>
                <w:szCs w:val="18"/>
              </w:rPr>
            </w:pPr>
            <w:r w:rsidRPr="005A7E8D">
              <w:rPr>
                <w:rFonts w:ascii="Arial" w:eastAsia="Times New Roman" w:hAnsi="Arial" w:cs="Arial"/>
                <w:b/>
                <w:bCs/>
                <w:sz w:val="18"/>
                <w:szCs w:val="18"/>
              </w:rPr>
              <w:t>Methods for Synthesizing Results of Primary Studies</w:t>
            </w:r>
          </w:p>
        </w:tc>
        <w:tc>
          <w:tcPr>
            <w:tcW w:w="0" w:type="auto"/>
            <w:tcBorders>
              <w:bottom w:val="single" w:sz="4" w:space="0" w:color="auto"/>
            </w:tcBorders>
            <w:shd w:val="clear" w:color="auto" w:fill="D9D9D9"/>
            <w:noWrap/>
            <w:vAlign w:val="bottom"/>
            <w:hideMark/>
          </w:tcPr>
          <w:p w:rsidR="005023CA" w:rsidRPr="005A7E8D" w:rsidRDefault="005023CA" w:rsidP="005023CA">
            <w:pPr>
              <w:jc w:val="center"/>
              <w:rPr>
                <w:rFonts w:ascii="Arial" w:eastAsia="Times New Roman" w:hAnsi="Arial" w:cs="Arial"/>
                <w:b/>
                <w:bCs/>
                <w:sz w:val="18"/>
                <w:szCs w:val="18"/>
              </w:rPr>
            </w:pPr>
            <w:r w:rsidRPr="005A7E8D">
              <w:rPr>
                <w:rFonts w:ascii="Arial" w:eastAsia="Times New Roman" w:hAnsi="Arial" w:cs="Arial"/>
                <w:b/>
                <w:bCs/>
                <w:sz w:val="18"/>
                <w:szCs w:val="18"/>
              </w:rPr>
              <w:t>Interventions</w:t>
            </w:r>
          </w:p>
        </w:tc>
      </w:tr>
      <w:tr w:rsidR="005023CA" w:rsidRPr="005A7E8D" w:rsidTr="005023CA">
        <w:trPr>
          <w:cantSplit/>
        </w:trPr>
        <w:tc>
          <w:tcPr>
            <w:tcW w:w="0" w:type="auto"/>
            <w:gridSpan w:val="4"/>
            <w:shd w:val="clear" w:color="auto" w:fill="F2F2F2"/>
            <w:vAlign w:val="bottom"/>
            <w:hideMark/>
          </w:tcPr>
          <w:p w:rsidR="005023CA" w:rsidRPr="005A7E8D" w:rsidRDefault="005023CA" w:rsidP="005023CA">
            <w:pPr>
              <w:rPr>
                <w:rFonts w:ascii="Arial" w:eastAsia="Times New Roman" w:hAnsi="Arial" w:cs="Arial"/>
                <w:b/>
                <w:bCs/>
                <w:sz w:val="18"/>
                <w:szCs w:val="18"/>
              </w:rPr>
            </w:pPr>
            <w:r w:rsidRPr="005A7E8D">
              <w:rPr>
                <w:rFonts w:ascii="Arial" w:eastAsia="Times New Roman" w:hAnsi="Arial" w:cs="Arial"/>
                <w:b/>
                <w:bCs/>
                <w:iCs/>
                <w:sz w:val="18"/>
                <w:szCs w:val="18"/>
              </w:rPr>
              <w:t>Intensive glucose control</w:t>
            </w:r>
            <w:r w:rsidRPr="005A7E8D">
              <w:rPr>
                <w:rFonts w:ascii="Arial" w:eastAsia="Times New Roman" w:hAnsi="Arial" w:cs="Arial"/>
                <w:b/>
                <w:bCs/>
                <w:sz w:val="18"/>
                <w:szCs w:val="18"/>
              </w:rPr>
              <w:t>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Buehler, 2013</w:t>
            </w:r>
            <w:r w:rsidRPr="005A7E8D">
              <w:rPr>
                <w:rFonts w:ascii="Arial" w:eastAsia="Times New Roman" w:hAnsi="Arial" w:cs="Arial"/>
                <w:color w:val="000000"/>
                <w:sz w:val="18"/>
                <w:szCs w:val="18"/>
                <w:vertAlign w:val="superscript"/>
              </w:rPr>
              <w:t>114</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73"/>
              <w:rPr>
                <w:rFonts w:ascii="Arial" w:eastAsia="Times New Roman" w:hAnsi="Arial" w:cs="Arial"/>
                <w:sz w:val="18"/>
                <w:szCs w:val="18"/>
              </w:rPr>
            </w:pPr>
            <w:r w:rsidRPr="005A7E8D">
              <w:rPr>
                <w:rFonts w:ascii="Arial" w:eastAsia="Times New Roman" w:hAnsi="Arial" w:cs="Arial"/>
                <w:sz w:val="18"/>
                <w:szCs w:val="18"/>
              </w:rPr>
              <w:t>Assessment of allocation concealment, blinding of study participants, outcome assessors and investigators, intention to treat analysis and completeness of followup.</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Random effects meta-analysis, included assessment of heterogeneity</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 xml:space="preserve">A. Intensive glucose control (n=14,792) </w:t>
            </w:r>
            <w:r w:rsidRPr="005A7E8D">
              <w:rPr>
                <w:rFonts w:ascii="Arial" w:eastAsia="Times New Roman" w:hAnsi="Arial" w:cs="Arial"/>
                <w:sz w:val="18"/>
                <w:szCs w:val="18"/>
              </w:rPr>
              <w:br/>
              <w:t>B. Standard glucose control (n=12,862)</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Hemmingsen, 2012</w:t>
            </w:r>
            <w:r w:rsidRPr="005A7E8D">
              <w:rPr>
                <w:rFonts w:ascii="Arial" w:eastAsia="Times New Roman" w:hAnsi="Arial" w:cs="Arial"/>
                <w:color w:val="000000"/>
                <w:sz w:val="18"/>
                <w:szCs w:val="18"/>
                <w:vertAlign w:val="superscript"/>
              </w:rPr>
              <w:t>115</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73"/>
              <w:rPr>
                <w:rFonts w:ascii="Arial" w:eastAsia="Times New Roman" w:hAnsi="Arial" w:cs="Arial"/>
                <w:sz w:val="18"/>
                <w:szCs w:val="18"/>
              </w:rPr>
            </w:pPr>
            <w:r w:rsidRPr="005A7E8D">
              <w:rPr>
                <w:rFonts w:ascii="Arial" w:eastAsia="Times New Roman" w:hAnsi="Arial" w:cs="Arial"/>
                <w:sz w:val="18"/>
                <w:szCs w:val="18"/>
              </w:rPr>
              <w:t>Assessment of sequence generation, allocation concealment, blinding or participants and study personnel, presence of incomplete outcome data, selective outcome reporting and other sources of bias.</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Cochrane Handbook for Systematic Reviews methods; heterogeneity examined by meta-regression; Sensitivity analysis performed.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 xml:space="preserve">A. Intensive glucose control (n=16,106) </w:t>
            </w:r>
            <w:r w:rsidRPr="005A7E8D">
              <w:rPr>
                <w:rFonts w:ascii="Arial" w:eastAsia="Times New Roman" w:hAnsi="Arial" w:cs="Arial"/>
                <w:sz w:val="18"/>
                <w:szCs w:val="18"/>
              </w:rPr>
              <w:br/>
              <w:t xml:space="preserve"> B. Standard glucose control (n=13,880)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Coca, 2012</w:t>
            </w:r>
            <w:r w:rsidRPr="005A7E8D">
              <w:rPr>
                <w:rFonts w:ascii="Arial" w:eastAsia="Times New Roman" w:hAnsi="Arial" w:cs="Arial"/>
                <w:color w:val="000000"/>
                <w:sz w:val="18"/>
                <w:szCs w:val="18"/>
                <w:vertAlign w:val="superscript"/>
              </w:rPr>
              <w:t>116</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73"/>
              <w:rPr>
                <w:rFonts w:ascii="Arial" w:eastAsia="Times New Roman" w:hAnsi="Arial" w:cs="Arial"/>
                <w:sz w:val="18"/>
                <w:szCs w:val="18"/>
              </w:rPr>
            </w:pPr>
            <w:r w:rsidRPr="005A7E8D">
              <w:rPr>
                <w:rFonts w:ascii="Arial" w:eastAsia="Times New Roman" w:hAnsi="Arial" w:cs="Arial"/>
                <w:sz w:val="18"/>
                <w:szCs w:val="18"/>
              </w:rPr>
              <w:t>Assessment of method of allocation and concealment; blinding of participants, staff, and outcome assessors; incomplete outcome data; selective outcome reporting; and other sources of bias.</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Forest plots were created to determine pooled measures using random effects model, heterogeneity was assessed.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Intensive glucose control (n=13,644)</w:t>
            </w:r>
            <w:r w:rsidRPr="005A7E8D">
              <w:rPr>
                <w:rFonts w:ascii="Arial" w:eastAsia="Times New Roman" w:hAnsi="Arial" w:cs="Arial"/>
                <w:sz w:val="18"/>
                <w:szCs w:val="18"/>
              </w:rPr>
              <w:br/>
              <w:t>B. Standard glucose control (n=12,383)</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Hemmingsen, 2011</w:t>
            </w:r>
            <w:r w:rsidRPr="005A7E8D">
              <w:rPr>
                <w:rFonts w:ascii="Arial" w:eastAsia="Times New Roman" w:hAnsi="Arial" w:cs="Arial"/>
                <w:sz w:val="18"/>
                <w:szCs w:val="18"/>
                <w:vertAlign w:val="superscript"/>
              </w:rPr>
              <w:t>117</w:t>
            </w:r>
            <w:r w:rsidRPr="005A7E8D">
              <w:rPr>
                <w:rFonts w:ascii="Arial" w:eastAsia="Times New Roman" w:hAnsi="Arial" w:cs="Arial"/>
                <w:sz w:val="18"/>
                <w:szCs w:val="18"/>
              </w:rPr>
              <w:t xml:space="preserve"> </w:t>
            </w:r>
          </w:p>
        </w:tc>
        <w:tc>
          <w:tcPr>
            <w:tcW w:w="0" w:type="auto"/>
            <w:shd w:val="clear" w:color="auto" w:fill="auto"/>
            <w:hideMark/>
          </w:tcPr>
          <w:p w:rsidR="005023CA" w:rsidRPr="005A7E8D" w:rsidRDefault="005023CA" w:rsidP="005023CA">
            <w:pPr>
              <w:ind w:right="-73"/>
              <w:rPr>
                <w:rFonts w:ascii="Arial" w:eastAsia="Times New Roman" w:hAnsi="Arial" w:cs="Arial"/>
                <w:sz w:val="18"/>
                <w:szCs w:val="18"/>
              </w:rPr>
            </w:pPr>
            <w:r w:rsidRPr="005A7E8D">
              <w:rPr>
                <w:rFonts w:ascii="Arial" w:eastAsia="Times New Roman" w:hAnsi="Arial" w:cs="Arial"/>
                <w:sz w:val="18"/>
                <w:szCs w:val="18"/>
              </w:rPr>
              <w:t>Assessment of sequence generation, allocation concealment and blinding.</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Random and fixed effects models and heterogeneity assessed. Sensitivity analysis including trial sequential analysis.</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 xml:space="preserve">A. Intensive glucose control (n=15 269) </w:t>
            </w:r>
            <w:r w:rsidRPr="005A7E8D">
              <w:rPr>
                <w:rFonts w:ascii="Arial" w:eastAsia="Times New Roman" w:hAnsi="Arial" w:cs="Arial"/>
                <w:sz w:val="18"/>
                <w:szCs w:val="18"/>
              </w:rPr>
              <w:br/>
              <w:t xml:space="preserve">B. Standard glucose control (n=13 345).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lastRenderedPageBreak/>
              <w:t>Boussageon, 2011</w:t>
            </w:r>
            <w:r w:rsidRPr="005A7E8D">
              <w:rPr>
                <w:rFonts w:ascii="Arial" w:eastAsia="Times New Roman" w:hAnsi="Arial" w:cs="Arial"/>
                <w:color w:val="000000"/>
                <w:sz w:val="18"/>
                <w:szCs w:val="18"/>
                <w:vertAlign w:val="superscript"/>
              </w:rPr>
              <w:t>118</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ind w:right="-73"/>
              <w:rPr>
                <w:rFonts w:ascii="Arial" w:eastAsia="Times New Roman" w:hAnsi="Arial" w:cs="Arial"/>
                <w:sz w:val="18"/>
                <w:szCs w:val="18"/>
              </w:rPr>
            </w:pPr>
            <w:r w:rsidRPr="005A7E8D">
              <w:rPr>
                <w:rFonts w:ascii="Arial" w:eastAsia="Times New Roman" w:hAnsi="Arial" w:cs="Arial"/>
                <w:sz w:val="18"/>
                <w:szCs w:val="18"/>
              </w:rPr>
              <w:t>Assessment of sequence generation, allocation concealment and blinding.</w:t>
            </w:r>
          </w:p>
        </w:tc>
        <w:tc>
          <w:tcPr>
            <w:tcW w:w="0" w:type="auto"/>
            <w:shd w:val="clear" w:color="auto" w:fill="auto"/>
            <w:hideMark/>
          </w:tcPr>
          <w:p w:rsidR="005023CA" w:rsidRPr="005A7E8D" w:rsidRDefault="005023CA" w:rsidP="005023CA">
            <w:pPr>
              <w:ind w:right="-133"/>
              <w:rPr>
                <w:rFonts w:ascii="Arial" w:eastAsia="Times New Roman" w:hAnsi="Arial" w:cs="Arial"/>
                <w:sz w:val="18"/>
                <w:szCs w:val="18"/>
              </w:rPr>
            </w:pPr>
            <w:r w:rsidRPr="005A7E8D">
              <w:rPr>
                <w:rFonts w:ascii="Arial" w:eastAsia="Times New Roman" w:hAnsi="Arial" w:cs="Arial"/>
                <w:sz w:val="18"/>
                <w:szCs w:val="18"/>
              </w:rPr>
              <w:t>Calculation of risk ratios and 99% CIs, meta-analysis using used fixed effects model or random effects model if heterogeneity was significant. Absolute risk reductions calculated using the range risk estimates for each outcome in the control group of the three most powerful and recent trials (ACCORD, ADVANCE, and VADT) over a five year period. Sensitivity analysis was carried out according to the Jadad score.</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 xml:space="preserve">A. Intensive glucose control (n=18,315) </w:t>
            </w:r>
            <w:r w:rsidRPr="005A7E8D">
              <w:rPr>
                <w:rFonts w:ascii="Arial" w:eastAsia="Times New Roman" w:hAnsi="Arial" w:cs="Arial"/>
                <w:sz w:val="18"/>
                <w:szCs w:val="18"/>
              </w:rPr>
              <w:br/>
              <w:t>B. Standard glucose control (n= 16,218)</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Castagno, 2011</w:t>
            </w:r>
            <w:r w:rsidRPr="005A7E8D">
              <w:rPr>
                <w:rFonts w:ascii="Arial" w:eastAsia="Times New Roman" w:hAnsi="Arial" w:cs="Arial"/>
                <w:color w:val="000000"/>
                <w:sz w:val="18"/>
                <w:szCs w:val="18"/>
                <w:vertAlign w:val="superscript"/>
              </w:rPr>
              <w:t>119</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method unclear though authors state included studies were quality assessed; dual review was undertaken</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 xml:space="preserve">Odds ratios (ORs) and 95% CIs, were calculated; heterogeneity was assessed. Egger's linear regression test was used to ascertain potential funnel plot asymmetry. </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Intensive glucose control (n=19,562)</w:t>
            </w:r>
            <w:r w:rsidRPr="005A7E8D">
              <w:rPr>
                <w:rFonts w:ascii="Arial" w:eastAsia="Times New Roman" w:hAnsi="Arial" w:cs="Arial"/>
                <w:sz w:val="18"/>
                <w:szCs w:val="18"/>
              </w:rPr>
              <w:br/>
              <w:t>B. Standard glucose control (n=17,667)</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Wu, 2010</w:t>
            </w:r>
            <w:r w:rsidRPr="005A7E8D">
              <w:rPr>
                <w:rFonts w:ascii="Arial" w:eastAsia="Times New Roman" w:hAnsi="Arial" w:cs="Arial"/>
                <w:color w:val="000000"/>
                <w:sz w:val="18"/>
                <w:szCs w:val="18"/>
                <w:vertAlign w:val="superscript"/>
              </w:rPr>
              <w:t>120</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of randomization, allocation and blinding.</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Relative risk and 95% CI calculated and results pooled using a random effects model with sensitivity analyses. Publication bias was assessed.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 xml:space="preserve">A. Intensive glucose control (n=14,792) </w:t>
            </w:r>
            <w:r w:rsidRPr="005A7E8D">
              <w:rPr>
                <w:rFonts w:ascii="Arial" w:eastAsia="Times New Roman" w:hAnsi="Arial" w:cs="Arial"/>
                <w:sz w:val="18"/>
                <w:szCs w:val="18"/>
              </w:rPr>
              <w:br/>
              <w:t>B. Standard glucose control (n=13,273)</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Kelly, 2009</w:t>
            </w:r>
            <w:r w:rsidRPr="005A7E8D">
              <w:rPr>
                <w:rFonts w:ascii="Arial" w:eastAsia="Times New Roman" w:hAnsi="Arial" w:cs="Arial"/>
                <w:color w:val="000000"/>
                <w:sz w:val="18"/>
                <w:szCs w:val="18"/>
                <w:vertAlign w:val="superscript"/>
              </w:rPr>
              <w:t>121</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of randomization, blinding, adjudication procedures for outcomes, loss to followup.</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Relative risk and CIs calculated and pooled using fixed-effects and DerSimonian and Laird random effects models with assessment of heterogeneity.</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Intensive glucose control (n=14,662)</w:t>
            </w:r>
            <w:r w:rsidRPr="005A7E8D">
              <w:rPr>
                <w:rFonts w:ascii="Arial" w:eastAsia="Times New Roman" w:hAnsi="Arial" w:cs="Arial"/>
                <w:sz w:val="18"/>
                <w:szCs w:val="18"/>
              </w:rPr>
              <w:br/>
              <w:t>B. Standard glucose control (n=13,410)</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Ma, 2009</w:t>
            </w:r>
            <w:r w:rsidRPr="005A7E8D">
              <w:rPr>
                <w:rFonts w:ascii="Arial" w:eastAsia="Times New Roman" w:hAnsi="Arial" w:cs="Arial"/>
                <w:color w:val="000000"/>
                <w:sz w:val="18"/>
                <w:szCs w:val="18"/>
                <w:vertAlign w:val="superscript"/>
              </w:rPr>
              <w:t>123</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of randomization, allocation concealment, blinding, loss to followup/withdrawals, and similarity of baseline characteristics</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Relative ratio and 95% CIs were calculated. Results pooled using a fixed effects or, if significant heterogeneity was present, a random effects model.</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Intensive glucose control (n=5,544)</w:t>
            </w:r>
            <w:r w:rsidRPr="005A7E8D">
              <w:rPr>
                <w:rFonts w:ascii="Arial" w:eastAsia="Times New Roman" w:hAnsi="Arial" w:cs="Arial"/>
                <w:sz w:val="18"/>
                <w:szCs w:val="18"/>
              </w:rPr>
              <w:br/>
              <w:t>B. Standard glucose control (n=3,984)</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Mannucci, 2009</w:t>
            </w:r>
            <w:r w:rsidRPr="005A7E8D">
              <w:rPr>
                <w:rFonts w:ascii="Arial" w:eastAsia="Times New Roman" w:hAnsi="Arial" w:cs="Arial"/>
                <w:color w:val="000000"/>
                <w:sz w:val="18"/>
                <w:szCs w:val="18"/>
                <w:vertAlign w:val="superscript"/>
              </w:rPr>
              <w:t>124</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using QUOROM methods</w:t>
            </w:r>
          </w:p>
        </w:tc>
        <w:tc>
          <w:tcPr>
            <w:tcW w:w="0" w:type="auto"/>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 xml:space="preserve">Expected and observed event rates reported. Heterogeneity was assessed. If present both random and a fixed-effects models used. Weighted mean differences in BMI at endpoint, and Mantel-Henzel Odds Ratio (MH-OR) with 95% CI for all categorical endpoints, were calculated. Meta-regression was performed. </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Intensive glucose control (n=17,267</w:t>
            </w:r>
            <w:r w:rsidRPr="005A7E8D">
              <w:rPr>
                <w:rFonts w:ascii="Arial" w:eastAsia="Times New Roman" w:hAnsi="Arial" w:cs="Arial"/>
                <w:sz w:val="18"/>
                <w:szCs w:val="18"/>
              </w:rPr>
              <w:br/>
              <w:t>B. Standard glucose control (n=15,362)</w:t>
            </w:r>
          </w:p>
        </w:tc>
      </w:tr>
      <w:tr w:rsidR="005023CA" w:rsidRPr="005A7E8D" w:rsidTr="005023CA">
        <w:trPr>
          <w:cantSplit/>
        </w:trPr>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Ray, 2009</w:t>
            </w:r>
            <w:r w:rsidRPr="005A7E8D">
              <w:rPr>
                <w:rFonts w:ascii="Arial" w:eastAsia="Times New Roman" w:hAnsi="Arial" w:cs="Arial"/>
                <w:color w:val="000000"/>
                <w:sz w:val="18"/>
                <w:szCs w:val="18"/>
                <w:vertAlign w:val="superscript"/>
              </w:rPr>
              <w:t>122</w:t>
            </w:r>
            <w:r w:rsidRPr="005A7E8D">
              <w:rPr>
                <w:rFonts w:ascii="Arial" w:eastAsia="Times New Roman" w:hAnsi="Arial" w:cs="Arial"/>
                <w:color w:val="000000"/>
                <w:sz w:val="18"/>
                <w:szCs w:val="18"/>
              </w:rPr>
              <w:br/>
            </w:r>
            <w:r w:rsidRPr="005A7E8D">
              <w:rPr>
                <w:rFonts w:ascii="Arial" w:eastAsia="Times New Roman" w:hAnsi="Arial" w:cs="Arial"/>
                <w:iCs/>
                <w:color w:val="000000"/>
                <w:sz w:val="18"/>
                <w:szCs w:val="18"/>
              </w:rPr>
              <w:t>Good</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method not reported</w:t>
            </w:r>
          </w:p>
        </w:tc>
        <w:tc>
          <w:tcPr>
            <w:tcW w:w="0" w:type="auto"/>
            <w:tcBorders>
              <w:bottom w:val="single" w:sz="4" w:space="0" w:color="auto"/>
            </w:tcBorders>
            <w:shd w:val="clear" w:color="auto" w:fill="auto"/>
            <w:hideMark/>
          </w:tcPr>
          <w:p w:rsidR="005023CA" w:rsidRPr="005A7E8D" w:rsidRDefault="005023CA" w:rsidP="005023CA">
            <w:pPr>
              <w:ind w:right="-43"/>
              <w:rPr>
                <w:rFonts w:ascii="Arial" w:eastAsia="Times New Roman" w:hAnsi="Arial" w:cs="Arial"/>
                <w:sz w:val="18"/>
                <w:szCs w:val="18"/>
              </w:rPr>
            </w:pPr>
            <w:r w:rsidRPr="005A7E8D">
              <w:rPr>
                <w:rFonts w:ascii="Arial" w:eastAsia="Times New Roman" w:hAnsi="Arial" w:cs="Arial"/>
                <w:sz w:val="18"/>
                <w:szCs w:val="18"/>
              </w:rPr>
              <w:t>Meta-analysis using random effects model, heterogeneity was assessed. a sensitivity analysis, odds ratios from the main analysis were compared with corresponding rate ratios. All p-values are two-sided (p&lt;0·05).</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Intensive glucose control (n=17,267)</w:t>
            </w:r>
            <w:r w:rsidRPr="005A7E8D">
              <w:rPr>
                <w:rFonts w:ascii="Arial" w:eastAsia="Times New Roman" w:hAnsi="Arial" w:cs="Arial"/>
                <w:sz w:val="18"/>
                <w:szCs w:val="18"/>
              </w:rPr>
              <w:br/>
              <w:t>B. Standard glucose control (n=15,773)</w:t>
            </w:r>
          </w:p>
        </w:tc>
      </w:tr>
      <w:tr w:rsidR="005023CA" w:rsidRPr="005A7E8D" w:rsidTr="005023CA">
        <w:trPr>
          <w:cantSplit/>
        </w:trPr>
        <w:tc>
          <w:tcPr>
            <w:tcW w:w="0" w:type="auto"/>
            <w:gridSpan w:val="4"/>
            <w:shd w:val="clear" w:color="auto" w:fill="F2F2F2"/>
            <w:hideMark/>
          </w:tcPr>
          <w:p w:rsidR="005023CA" w:rsidRPr="005A7E8D" w:rsidRDefault="005023CA" w:rsidP="005023CA">
            <w:pPr>
              <w:keepNext/>
              <w:rPr>
                <w:rFonts w:ascii="Arial" w:eastAsia="Times New Roman" w:hAnsi="Arial" w:cs="Arial"/>
                <w:sz w:val="18"/>
                <w:szCs w:val="18"/>
              </w:rPr>
            </w:pPr>
            <w:r w:rsidRPr="005A7E8D">
              <w:rPr>
                <w:rFonts w:ascii="Arial" w:eastAsia="Times New Roman" w:hAnsi="Arial" w:cs="Arial"/>
                <w:b/>
                <w:bCs/>
                <w:iCs/>
                <w:sz w:val="18"/>
                <w:szCs w:val="18"/>
              </w:rPr>
              <w:lastRenderedPageBreak/>
              <w:t>Intensive blood pressure control</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Bangalore, 2011</w:t>
            </w:r>
            <w:r w:rsidRPr="005A7E8D">
              <w:rPr>
                <w:rFonts w:ascii="Arial" w:eastAsia="Times New Roman" w:hAnsi="Arial" w:cs="Arial"/>
                <w:color w:val="000000"/>
                <w:sz w:val="18"/>
                <w:szCs w:val="18"/>
                <w:vertAlign w:val="superscript"/>
              </w:rPr>
              <w:t>125</w:t>
            </w:r>
          </w:p>
        </w:tc>
        <w:tc>
          <w:tcPr>
            <w:tcW w:w="0" w:type="auto"/>
            <w:shd w:val="clear" w:color="auto" w:fill="auto"/>
            <w:hideMark/>
          </w:tcPr>
          <w:p w:rsidR="005023CA" w:rsidRPr="005A7E8D" w:rsidRDefault="005023CA" w:rsidP="005023CA">
            <w:pPr>
              <w:ind w:right="-73"/>
              <w:rPr>
                <w:rFonts w:ascii="Arial" w:eastAsia="Times New Roman" w:hAnsi="Arial" w:cs="Arial"/>
                <w:color w:val="000000"/>
                <w:sz w:val="18"/>
                <w:szCs w:val="18"/>
              </w:rPr>
            </w:pPr>
            <w:r w:rsidRPr="005A7E8D">
              <w:rPr>
                <w:rFonts w:ascii="Arial" w:eastAsia="Times New Roman" w:hAnsi="Arial" w:cs="Arial"/>
                <w:color w:val="000000"/>
                <w:sz w:val="18"/>
                <w:szCs w:val="18"/>
              </w:rPr>
              <w:t>Cochrane Collaboration methods: sequence generation of allocation, allocation concealment, blinding of participants/personnel/outcomes assessors, incomplete outcome data, selective outcome reporting, and other sources of bias</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Meta-regression analysis to evaluate SBP and outcomes. Sensitivity analyses used Bayesian random-effects model</w:t>
            </w:r>
          </w:p>
        </w:tc>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 xml:space="preserve">A. Intensive BP lowering (achieved SBP </w:t>
            </w:r>
            <w:r w:rsidRPr="005A7E8D">
              <w:rPr>
                <w:rFonts w:eastAsia="Times New Roman" w:cs="Arial"/>
                <w:color w:val="000000"/>
                <w:sz w:val="18"/>
                <w:szCs w:val="18"/>
              </w:rPr>
              <w:t>≤</w:t>
            </w:r>
            <w:r w:rsidRPr="005A7E8D">
              <w:rPr>
                <w:rFonts w:ascii="Arial" w:eastAsia="Times New Roman" w:hAnsi="Arial" w:cs="Arial"/>
                <w:color w:val="000000"/>
                <w:sz w:val="18"/>
                <w:szCs w:val="18"/>
              </w:rPr>
              <w:t>135 mm Hg; n=19,042)</w:t>
            </w:r>
            <w:r w:rsidRPr="005A7E8D">
              <w:rPr>
                <w:rFonts w:ascii="Arial" w:eastAsia="Times New Roman" w:hAnsi="Arial" w:cs="Arial"/>
                <w:color w:val="000000"/>
                <w:sz w:val="18"/>
                <w:szCs w:val="18"/>
              </w:rPr>
              <w:br/>
              <w:t>B. Standard BP lowering (achieved BP ≤140 mm Hg; n=18,694)</w:t>
            </w:r>
          </w:p>
        </w:tc>
      </w:tr>
      <w:tr w:rsidR="005023CA" w:rsidRPr="005A7E8D" w:rsidTr="005023CA">
        <w:trPr>
          <w:cantSplit/>
        </w:trPr>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Reboldi, 2011</w:t>
            </w:r>
            <w:r w:rsidRPr="005A7E8D">
              <w:rPr>
                <w:rFonts w:ascii="Arial" w:eastAsia="Times New Roman" w:hAnsi="Arial" w:cs="Arial"/>
                <w:color w:val="000000"/>
                <w:sz w:val="18"/>
                <w:szCs w:val="18"/>
                <w:vertAlign w:val="superscript"/>
              </w:rPr>
              <w:t>134</w:t>
            </w:r>
          </w:p>
        </w:tc>
        <w:tc>
          <w:tcPr>
            <w:tcW w:w="0" w:type="auto"/>
            <w:tcBorders>
              <w:bottom w:val="single" w:sz="4" w:space="0" w:color="auto"/>
            </w:tcBorders>
            <w:shd w:val="clear" w:color="auto" w:fill="auto"/>
            <w:hideMark/>
          </w:tcPr>
          <w:p w:rsidR="005023CA" w:rsidRPr="005A7E8D" w:rsidRDefault="005023CA" w:rsidP="005023CA">
            <w:pPr>
              <w:ind w:right="-73"/>
              <w:rPr>
                <w:rFonts w:ascii="Arial" w:eastAsia="Times New Roman" w:hAnsi="Arial" w:cs="Arial"/>
                <w:color w:val="000000"/>
                <w:sz w:val="18"/>
                <w:szCs w:val="18"/>
              </w:rPr>
            </w:pPr>
            <w:r w:rsidRPr="005A7E8D">
              <w:rPr>
                <w:rFonts w:ascii="Arial" w:eastAsia="Times New Roman" w:hAnsi="Arial" w:cs="Arial"/>
                <w:color w:val="000000"/>
                <w:sz w:val="18"/>
                <w:szCs w:val="18"/>
              </w:rPr>
              <w:t>Cochrane Collaboration methods: sequence generation of allocation, allocation concealment, blinding of participants/personnel/outcomes assessors, incomplete outcome data, selective outcome reporting, and other sources of bias</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Fixed-effect and random-effect meta-regression</w:t>
            </w:r>
          </w:p>
        </w:tc>
        <w:tc>
          <w:tcPr>
            <w:tcW w:w="0" w:type="auto"/>
            <w:tcBorders>
              <w:bottom w:val="single" w:sz="4" w:space="0" w:color="auto"/>
            </w:tcBorders>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A. Intensive BP lowering (no specific BP targets; n=4,093)</w:t>
            </w:r>
            <w:r w:rsidRPr="005A7E8D">
              <w:rPr>
                <w:rFonts w:ascii="Arial" w:eastAsia="Times New Roman" w:hAnsi="Arial" w:cs="Arial"/>
                <w:color w:val="000000"/>
                <w:sz w:val="18"/>
                <w:szCs w:val="18"/>
              </w:rPr>
              <w:br/>
              <w:t>B. Standard BP lowering (no specific BP targets; n=4,239)</w:t>
            </w:r>
          </w:p>
        </w:tc>
      </w:tr>
      <w:tr w:rsidR="005023CA" w:rsidRPr="005A7E8D" w:rsidTr="005023CA">
        <w:trPr>
          <w:cantSplit/>
        </w:trPr>
        <w:tc>
          <w:tcPr>
            <w:tcW w:w="0" w:type="auto"/>
            <w:gridSpan w:val="4"/>
            <w:shd w:val="clear" w:color="auto" w:fill="F2F2F2"/>
            <w:noWrap/>
            <w:hideMark/>
          </w:tcPr>
          <w:p w:rsidR="005023CA" w:rsidRPr="005A7E8D" w:rsidRDefault="005023CA" w:rsidP="005023CA">
            <w:pPr>
              <w:rPr>
                <w:rFonts w:ascii="Arial" w:eastAsia="Times New Roman" w:hAnsi="Arial" w:cs="Arial"/>
                <w:b/>
                <w:bCs/>
                <w:iCs/>
                <w:sz w:val="18"/>
                <w:szCs w:val="18"/>
              </w:rPr>
            </w:pPr>
            <w:r w:rsidRPr="005A7E8D">
              <w:rPr>
                <w:rFonts w:ascii="Arial" w:eastAsia="Times New Roman" w:hAnsi="Arial" w:cs="Arial"/>
                <w:b/>
                <w:bCs/>
                <w:iCs/>
                <w:sz w:val="18"/>
                <w:szCs w:val="18"/>
              </w:rPr>
              <w:t>Aspirin </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De Berardis, 2009</w:t>
            </w:r>
            <w:r w:rsidRPr="005A7E8D">
              <w:rPr>
                <w:rFonts w:ascii="Arial" w:eastAsia="Times New Roman" w:hAnsi="Arial" w:cs="Arial"/>
                <w:color w:val="000000"/>
                <w:sz w:val="18"/>
                <w:szCs w:val="18"/>
                <w:vertAlign w:val="superscript"/>
              </w:rPr>
              <w:t>132</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of allocation concealment, blinding, intention to treat and completeness of followup</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Random effects meta-analysis, included assessment of heterogeneity</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Aspirin (n=5,064)</w:t>
            </w:r>
            <w:r w:rsidRPr="005A7E8D">
              <w:rPr>
                <w:rFonts w:ascii="Arial" w:eastAsia="Times New Roman" w:hAnsi="Arial" w:cs="Arial"/>
                <w:sz w:val="18"/>
                <w:szCs w:val="18"/>
              </w:rPr>
              <w:br/>
              <w:t>B. No aspirin (n=5,053)</w:t>
            </w:r>
          </w:p>
        </w:tc>
      </w:tr>
      <w:tr w:rsidR="005023CA" w:rsidRPr="005A7E8D" w:rsidTr="005023CA">
        <w:trPr>
          <w:cantSplit/>
        </w:trPr>
        <w:tc>
          <w:tcPr>
            <w:tcW w:w="0" w:type="auto"/>
            <w:shd w:val="clear" w:color="auto" w:fill="auto"/>
            <w:hideMark/>
          </w:tcPr>
          <w:p w:rsidR="005023CA" w:rsidRPr="005A7E8D" w:rsidRDefault="005023CA" w:rsidP="005023CA">
            <w:pPr>
              <w:rPr>
                <w:rFonts w:ascii="Arial" w:eastAsia="Times New Roman" w:hAnsi="Arial" w:cs="Arial"/>
                <w:color w:val="000000"/>
                <w:sz w:val="18"/>
                <w:szCs w:val="18"/>
              </w:rPr>
            </w:pPr>
            <w:r w:rsidRPr="005A7E8D">
              <w:rPr>
                <w:rFonts w:ascii="Arial" w:eastAsia="Times New Roman" w:hAnsi="Arial" w:cs="Arial"/>
                <w:color w:val="000000"/>
                <w:sz w:val="18"/>
                <w:szCs w:val="18"/>
              </w:rPr>
              <w:t>Stavrakis, 2011</w:t>
            </w:r>
            <w:r w:rsidRPr="005A7E8D">
              <w:rPr>
                <w:rFonts w:ascii="Arial" w:eastAsia="Times New Roman" w:hAnsi="Arial" w:cs="Arial"/>
                <w:color w:val="000000"/>
                <w:sz w:val="18"/>
                <w:szCs w:val="18"/>
                <w:vertAlign w:val="superscript"/>
              </w:rPr>
              <w:t>133</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Assessment of method of randomization, blinding and withdrawals/dropouts</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Random and fixed effects models using DerSimonian-Laird method; included assessment of heterogeneity</w:t>
            </w:r>
          </w:p>
        </w:tc>
        <w:tc>
          <w:tcPr>
            <w:tcW w:w="0" w:type="auto"/>
            <w:shd w:val="clear" w:color="auto" w:fill="auto"/>
            <w:hideMark/>
          </w:tcPr>
          <w:p w:rsidR="005023CA" w:rsidRPr="005A7E8D" w:rsidRDefault="005023CA" w:rsidP="005023CA">
            <w:pPr>
              <w:rPr>
                <w:rFonts w:ascii="Arial" w:eastAsia="Times New Roman" w:hAnsi="Arial" w:cs="Arial"/>
                <w:sz w:val="18"/>
                <w:szCs w:val="18"/>
              </w:rPr>
            </w:pPr>
            <w:r w:rsidRPr="005A7E8D">
              <w:rPr>
                <w:rFonts w:ascii="Arial" w:eastAsia="Times New Roman" w:hAnsi="Arial" w:cs="Arial"/>
                <w:sz w:val="18"/>
                <w:szCs w:val="18"/>
              </w:rPr>
              <w:t>A. Aspirin (n=not reported)</w:t>
            </w:r>
            <w:r w:rsidRPr="005A7E8D">
              <w:rPr>
                <w:rFonts w:ascii="Arial" w:eastAsia="Times New Roman" w:hAnsi="Arial" w:cs="Arial"/>
                <w:sz w:val="18"/>
                <w:szCs w:val="18"/>
              </w:rPr>
              <w:br/>
              <w:t>B. No aspirin (n=not reported)</w:t>
            </w:r>
          </w:p>
        </w:tc>
      </w:tr>
    </w:tbl>
    <w:p w:rsidR="005023CA" w:rsidRPr="005A7E8D" w:rsidRDefault="005023CA" w:rsidP="005023CA">
      <w:pPr>
        <w:rPr>
          <w:sz w:val="16"/>
          <w:szCs w:val="16"/>
        </w:rPr>
      </w:pPr>
      <w:r w:rsidRPr="005A7E8D">
        <w:rPr>
          <w:rFonts w:ascii="Arial" w:hAnsi="Arial" w:cs="Arial"/>
          <w:b/>
          <w:sz w:val="16"/>
          <w:szCs w:val="16"/>
        </w:rPr>
        <w:t>Abbreviations:</w:t>
      </w:r>
      <w:r w:rsidRPr="005A7E8D">
        <w:rPr>
          <w:rFonts w:ascii="Arial" w:hAnsi="Arial" w:cs="Arial"/>
          <w:sz w:val="16"/>
          <w:szCs w:val="16"/>
        </w:rPr>
        <w:t xml:space="preserve"> CI = confidence interval; CV = cardiovascular; CVD = cardiovascular disease; DM = diabetes mellitus; RCT = randomized, controlled trial</w:t>
      </w:r>
      <w:r>
        <w:rPr>
          <w:rFonts w:ascii="Arial" w:hAnsi="Arial" w:cs="Arial"/>
          <w:sz w:val="16"/>
          <w:szCs w:val="16"/>
        </w:rPr>
        <w:t>.</w:t>
      </w:r>
      <w:bookmarkStart w:id="0" w:name="_GoBack"/>
      <w:bookmarkEnd w:id="0"/>
    </w:p>
    <w:sectPr w:rsidR="005023CA" w:rsidRPr="005A7E8D" w:rsidSect="00602475">
      <w:headerReference w:type="default" r:id="rId8"/>
      <w:footerReference w:type="default" r:id="rId9"/>
      <w:pgSz w:w="15840" w:h="12240" w:orient="landscape"/>
      <w:pgMar w:top="1440" w:right="1440" w:bottom="1440" w:left="1440" w:header="720" w:footer="720" w:gutter="0"/>
      <w:pgNumType w:start="1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5C" w:rsidRDefault="005B035C" w:rsidP="008C7966">
      <w:r>
        <w:separator/>
      </w:r>
    </w:p>
  </w:endnote>
  <w:endnote w:type="continuationSeparator" w:id="0">
    <w:p w:rsidR="005B035C" w:rsidRDefault="005B035C" w:rsidP="008C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5" w:rsidRPr="00A6773E" w:rsidRDefault="00602475" w:rsidP="005023CA">
    <w:pPr>
      <w:pStyle w:val="Footer"/>
      <w:tabs>
        <w:tab w:val="clear" w:pos="4680"/>
        <w:tab w:val="clear" w:pos="9360"/>
        <w:tab w:val="center" w:pos="6480"/>
        <w:tab w:val="right" w:pos="12960"/>
      </w:tabs>
      <w:rPr>
        <w:rFonts w:ascii="Arial" w:hAnsi="Arial" w:cs="Arial"/>
        <w:sz w:val="16"/>
        <w:szCs w:val="16"/>
      </w:rPr>
    </w:pPr>
    <w:r w:rsidRPr="00A6773E">
      <w:rPr>
        <w:rFonts w:ascii="Arial" w:hAnsi="Arial" w:cs="Arial"/>
        <w:sz w:val="16"/>
        <w:szCs w:val="16"/>
      </w:rPr>
      <w:t xml:space="preserve">Screening for Type 2 Diabetes Mellitus </w:t>
    </w:r>
    <w:r>
      <w:rPr>
        <w:rFonts w:ascii="Arial" w:hAnsi="Arial" w:cs="Arial"/>
        <w:sz w:val="16"/>
        <w:szCs w:val="16"/>
      </w:rPr>
      <w:tab/>
    </w:r>
    <w:r w:rsidRPr="00A6773E">
      <w:rPr>
        <w:rFonts w:ascii="Arial" w:hAnsi="Arial" w:cs="Arial"/>
        <w:sz w:val="16"/>
        <w:szCs w:val="16"/>
      </w:rPr>
      <w:fldChar w:fldCharType="begin"/>
    </w:r>
    <w:r w:rsidRPr="00A6773E">
      <w:rPr>
        <w:rFonts w:ascii="Arial" w:hAnsi="Arial" w:cs="Arial"/>
        <w:sz w:val="16"/>
        <w:szCs w:val="16"/>
      </w:rPr>
      <w:instrText xml:space="preserve"> PAGE   \* MERGEFORMAT </w:instrText>
    </w:r>
    <w:r w:rsidRPr="00A6773E">
      <w:rPr>
        <w:rFonts w:ascii="Arial" w:hAnsi="Arial" w:cs="Arial"/>
        <w:sz w:val="16"/>
        <w:szCs w:val="16"/>
      </w:rPr>
      <w:fldChar w:fldCharType="separate"/>
    </w:r>
    <w:r>
      <w:rPr>
        <w:rFonts w:ascii="Arial" w:hAnsi="Arial" w:cs="Arial"/>
        <w:noProof/>
        <w:sz w:val="16"/>
        <w:szCs w:val="16"/>
      </w:rPr>
      <w:t>163</w:t>
    </w:r>
    <w:r w:rsidRPr="00A6773E">
      <w:rPr>
        <w:rFonts w:ascii="Arial" w:hAnsi="Arial" w:cs="Arial"/>
        <w:noProof/>
        <w:sz w:val="16"/>
        <w:szCs w:val="16"/>
      </w:rPr>
      <w:fldChar w:fldCharType="end"/>
    </w:r>
    <w:r>
      <w:rPr>
        <w:rFonts w:ascii="Arial" w:hAnsi="Arial" w:cs="Arial"/>
        <w:noProof/>
        <w:sz w:val="16"/>
        <w:szCs w:val="16"/>
      </w:rPr>
      <w:tab/>
    </w:r>
    <w:r w:rsidRPr="00A6773E">
      <w:rPr>
        <w:rFonts w:ascii="Arial" w:hAnsi="Arial" w:cs="Arial"/>
        <w:noProof/>
        <w:sz w:val="16"/>
        <w:szCs w:val="16"/>
      </w:rPr>
      <w:t>Pacific Northwest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5C" w:rsidRDefault="005B035C" w:rsidP="008C7966">
      <w:r>
        <w:separator/>
      </w:r>
    </w:p>
  </w:footnote>
  <w:footnote w:type="continuationSeparator" w:id="0">
    <w:p w:rsidR="005B035C" w:rsidRDefault="005B035C" w:rsidP="008C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5" w:rsidRPr="005A7E8D" w:rsidRDefault="00602475" w:rsidP="005023CA">
    <w:pPr>
      <w:rPr>
        <w:rFonts w:ascii="Arial" w:hAnsi="Arial" w:cs="Arial"/>
        <w:b/>
        <w:sz w:val="20"/>
        <w:szCs w:val="20"/>
      </w:rPr>
    </w:pPr>
    <w:r w:rsidRPr="005A7E8D">
      <w:rPr>
        <w:rFonts w:ascii="Arial" w:hAnsi="Arial" w:cs="Arial"/>
        <w:b/>
        <w:sz w:val="20"/>
        <w:szCs w:val="20"/>
      </w:rPr>
      <w:t>Appendix B6. Study Characteristics of Systematic Reviews of Intensive Glucose, Blood Pressure Control, or Aspirin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4DD"/>
    <w:multiLevelType w:val="multilevel"/>
    <w:tmpl w:val="0952F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5D1FDA"/>
    <w:multiLevelType w:val="hybridMultilevel"/>
    <w:tmpl w:val="B7887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E45E1"/>
    <w:multiLevelType w:val="hybridMultilevel"/>
    <w:tmpl w:val="04D49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6279F"/>
    <w:multiLevelType w:val="hybridMultilevel"/>
    <w:tmpl w:val="6A90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D5CFF"/>
    <w:multiLevelType w:val="multilevel"/>
    <w:tmpl w:val="E43A3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6DF"/>
    <w:rsid w:val="00001248"/>
    <w:rsid w:val="000A77D7"/>
    <w:rsid w:val="000B2BED"/>
    <w:rsid w:val="000B7D5D"/>
    <w:rsid w:val="000E00A8"/>
    <w:rsid w:val="001A0FE9"/>
    <w:rsid w:val="001A517D"/>
    <w:rsid w:val="001C375B"/>
    <w:rsid w:val="001F2BEB"/>
    <w:rsid w:val="00200137"/>
    <w:rsid w:val="00232B7A"/>
    <w:rsid w:val="0034503B"/>
    <w:rsid w:val="00364C4D"/>
    <w:rsid w:val="003876DF"/>
    <w:rsid w:val="003E4B76"/>
    <w:rsid w:val="00487363"/>
    <w:rsid w:val="004940B9"/>
    <w:rsid w:val="004D7E1F"/>
    <w:rsid w:val="005023CA"/>
    <w:rsid w:val="00510486"/>
    <w:rsid w:val="00585395"/>
    <w:rsid w:val="005B035C"/>
    <w:rsid w:val="005F0559"/>
    <w:rsid w:val="00602475"/>
    <w:rsid w:val="00610C93"/>
    <w:rsid w:val="00684B55"/>
    <w:rsid w:val="006B1655"/>
    <w:rsid w:val="006C2174"/>
    <w:rsid w:val="0071783A"/>
    <w:rsid w:val="007E07DB"/>
    <w:rsid w:val="007E6A32"/>
    <w:rsid w:val="007E6E05"/>
    <w:rsid w:val="007F3E84"/>
    <w:rsid w:val="008250AA"/>
    <w:rsid w:val="008313A0"/>
    <w:rsid w:val="008722C3"/>
    <w:rsid w:val="008A7C9F"/>
    <w:rsid w:val="008B34B2"/>
    <w:rsid w:val="008C2132"/>
    <w:rsid w:val="008C7966"/>
    <w:rsid w:val="008F1076"/>
    <w:rsid w:val="009D0605"/>
    <w:rsid w:val="009E002B"/>
    <w:rsid w:val="00A56119"/>
    <w:rsid w:val="00B51B42"/>
    <w:rsid w:val="00B80D8C"/>
    <w:rsid w:val="00BC36AA"/>
    <w:rsid w:val="00C250F7"/>
    <w:rsid w:val="00C5351B"/>
    <w:rsid w:val="00D14759"/>
    <w:rsid w:val="00D23F06"/>
    <w:rsid w:val="00D404AD"/>
    <w:rsid w:val="00DD7305"/>
    <w:rsid w:val="00DF0112"/>
    <w:rsid w:val="00E16484"/>
    <w:rsid w:val="00E71023"/>
    <w:rsid w:val="00F14C6C"/>
    <w:rsid w:val="00F15E49"/>
    <w:rsid w:val="00F53852"/>
    <w:rsid w:val="00F87243"/>
    <w:rsid w:val="00FD557E"/>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86"/>
    <w:rPr>
      <w:sz w:val="22"/>
      <w:szCs w:val="22"/>
    </w:rPr>
  </w:style>
  <w:style w:type="paragraph" w:styleId="Heading5">
    <w:name w:val="heading 5"/>
    <w:basedOn w:val="Normal"/>
    <w:next w:val="Normal"/>
    <w:link w:val="Heading5Char"/>
    <w:semiHidden/>
    <w:unhideWhenUsed/>
    <w:qFormat/>
    <w:rsid w:val="00DD7305"/>
    <w:pPr>
      <w:keepNext/>
      <w:jc w:val="center"/>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966"/>
    <w:pPr>
      <w:tabs>
        <w:tab w:val="center" w:pos="4680"/>
        <w:tab w:val="right" w:pos="9360"/>
      </w:tabs>
    </w:pPr>
    <w:rPr>
      <w:lang w:val="x-none" w:eastAsia="x-none"/>
    </w:rPr>
  </w:style>
  <w:style w:type="character" w:customStyle="1" w:styleId="HeaderChar">
    <w:name w:val="Header Char"/>
    <w:link w:val="Header"/>
    <w:uiPriority w:val="99"/>
    <w:rsid w:val="008C7966"/>
    <w:rPr>
      <w:sz w:val="22"/>
      <w:szCs w:val="22"/>
    </w:rPr>
  </w:style>
  <w:style w:type="paragraph" w:styleId="Footer">
    <w:name w:val="footer"/>
    <w:basedOn w:val="Normal"/>
    <w:link w:val="FooterChar"/>
    <w:uiPriority w:val="99"/>
    <w:unhideWhenUsed/>
    <w:rsid w:val="008C7966"/>
    <w:pPr>
      <w:tabs>
        <w:tab w:val="center" w:pos="4680"/>
        <w:tab w:val="right" w:pos="9360"/>
      </w:tabs>
    </w:pPr>
    <w:rPr>
      <w:lang w:val="x-none" w:eastAsia="x-none"/>
    </w:rPr>
  </w:style>
  <w:style w:type="character" w:customStyle="1" w:styleId="FooterChar">
    <w:name w:val="Footer Char"/>
    <w:link w:val="Footer"/>
    <w:uiPriority w:val="99"/>
    <w:rsid w:val="008C7966"/>
    <w:rPr>
      <w:sz w:val="22"/>
      <w:szCs w:val="22"/>
    </w:rPr>
  </w:style>
  <w:style w:type="paragraph" w:styleId="BalloonText">
    <w:name w:val="Balloon Text"/>
    <w:basedOn w:val="Normal"/>
    <w:link w:val="BalloonTextChar"/>
    <w:uiPriority w:val="99"/>
    <w:semiHidden/>
    <w:unhideWhenUsed/>
    <w:rsid w:val="008C7966"/>
    <w:rPr>
      <w:rFonts w:ascii="Tahoma" w:hAnsi="Tahoma"/>
      <w:sz w:val="16"/>
      <w:szCs w:val="16"/>
      <w:lang w:val="x-none" w:eastAsia="x-none"/>
    </w:rPr>
  </w:style>
  <w:style w:type="character" w:customStyle="1" w:styleId="BalloonTextChar">
    <w:name w:val="Balloon Text Char"/>
    <w:link w:val="BalloonText"/>
    <w:uiPriority w:val="99"/>
    <w:semiHidden/>
    <w:rsid w:val="008C7966"/>
    <w:rPr>
      <w:rFonts w:ascii="Tahoma" w:hAnsi="Tahoma" w:cs="Tahoma"/>
      <w:sz w:val="16"/>
      <w:szCs w:val="16"/>
    </w:rPr>
  </w:style>
  <w:style w:type="paragraph" w:styleId="NoSpacing">
    <w:name w:val="No Spacing"/>
    <w:uiPriority w:val="1"/>
    <w:qFormat/>
    <w:rsid w:val="00DD7305"/>
    <w:rPr>
      <w:sz w:val="22"/>
      <w:szCs w:val="22"/>
    </w:rPr>
  </w:style>
  <w:style w:type="character" w:customStyle="1" w:styleId="Heading5Char">
    <w:name w:val="Heading 5 Char"/>
    <w:link w:val="Heading5"/>
    <w:semiHidden/>
    <w:rsid w:val="00DD7305"/>
    <w:rPr>
      <w:rFonts w:ascii="Arial" w:eastAsia="Times New Roman" w:hAnsi="Arial" w:cs="Arial"/>
      <w:b/>
      <w:bCs/>
      <w:szCs w:val="24"/>
    </w:rPr>
  </w:style>
  <w:style w:type="paragraph" w:styleId="Title">
    <w:name w:val="Title"/>
    <w:basedOn w:val="Normal"/>
    <w:link w:val="TitleChar"/>
    <w:qFormat/>
    <w:rsid w:val="00DD7305"/>
    <w:pPr>
      <w:jc w:val="center"/>
    </w:pPr>
    <w:rPr>
      <w:rFonts w:ascii="Times New Roman" w:eastAsia="Times New Roman" w:hAnsi="Times New Roman"/>
      <w:b/>
      <w:bCs/>
      <w:sz w:val="24"/>
      <w:szCs w:val="24"/>
    </w:rPr>
  </w:style>
  <w:style w:type="character" w:customStyle="1" w:styleId="TitleChar">
    <w:name w:val="Title Char"/>
    <w:link w:val="Title"/>
    <w:rsid w:val="00DD7305"/>
    <w:rPr>
      <w:rFonts w:ascii="Times New Roman" w:eastAsia="Times New Roman" w:hAnsi="Times New Roman"/>
      <w:b/>
      <w:bCs/>
      <w:sz w:val="24"/>
      <w:szCs w:val="24"/>
    </w:rPr>
  </w:style>
  <w:style w:type="paragraph" w:styleId="PlainText">
    <w:name w:val="Plain Text"/>
    <w:basedOn w:val="Normal"/>
    <w:link w:val="PlainTextChar"/>
    <w:uiPriority w:val="99"/>
    <w:unhideWhenUsed/>
    <w:rsid w:val="00FD557E"/>
    <w:rPr>
      <w:rFonts w:ascii="Arial" w:eastAsia="Times New Roman" w:hAnsi="Arial"/>
      <w:sz w:val="20"/>
      <w:szCs w:val="21"/>
    </w:rPr>
  </w:style>
  <w:style w:type="character" w:customStyle="1" w:styleId="PlainTextChar">
    <w:name w:val="Plain Text Char"/>
    <w:link w:val="PlainText"/>
    <w:uiPriority w:val="99"/>
    <w:rsid w:val="00FD557E"/>
    <w:rPr>
      <w:rFonts w:ascii="Arial" w:eastAsia="Times New Roman" w:hAnsi="Arial"/>
      <w:szCs w:val="21"/>
    </w:rPr>
  </w:style>
  <w:style w:type="character" w:styleId="Hyperlink">
    <w:name w:val="Hyperlink"/>
    <w:uiPriority w:val="99"/>
    <w:semiHidden/>
    <w:unhideWhenUsed/>
    <w:rsid w:val="003E4B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8887">
      <w:bodyDiv w:val="1"/>
      <w:marLeft w:val="0"/>
      <w:marRight w:val="0"/>
      <w:marTop w:val="0"/>
      <w:marBottom w:val="0"/>
      <w:divBdr>
        <w:top w:val="none" w:sz="0" w:space="0" w:color="auto"/>
        <w:left w:val="none" w:sz="0" w:space="0" w:color="auto"/>
        <w:bottom w:val="none" w:sz="0" w:space="0" w:color="auto"/>
        <w:right w:val="none" w:sz="0" w:space="0" w:color="auto"/>
      </w:divBdr>
    </w:div>
    <w:div w:id="73476058">
      <w:bodyDiv w:val="1"/>
      <w:marLeft w:val="0"/>
      <w:marRight w:val="0"/>
      <w:marTop w:val="0"/>
      <w:marBottom w:val="0"/>
      <w:divBdr>
        <w:top w:val="none" w:sz="0" w:space="0" w:color="auto"/>
        <w:left w:val="none" w:sz="0" w:space="0" w:color="auto"/>
        <w:bottom w:val="none" w:sz="0" w:space="0" w:color="auto"/>
        <w:right w:val="none" w:sz="0" w:space="0" w:color="auto"/>
      </w:divBdr>
      <w:divsChild>
        <w:div w:id="74742435">
          <w:marLeft w:val="0"/>
          <w:marRight w:val="0"/>
          <w:marTop w:val="0"/>
          <w:marBottom w:val="0"/>
          <w:divBdr>
            <w:top w:val="none" w:sz="0" w:space="0" w:color="auto"/>
            <w:left w:val="none" w:sz="0" w:space="0" w:color="auto"/>
            <w:bottom w:val="none" w:sz="0" w:space="0" w:color="auto"/>
            <w:right w:val="none" w:sz="0" w:space="0" w:color="auto"/>
          </w:divBdr>
          <w:divsChild>
            <w:div w:id="1508710859">
              <w:marLeft w:val="0"/>
              <w:marRight w:val="0"/>
              <w:marTop w:val="0"/>
              <w:marBottom w:val="0"/>
              <w:divBdr>
                <w:top w:val="none" w:sz="0" w:space="0" w:color="auto"/>
                <w:left w:val="none" w:sz="0" w:space="0" w:color="auto"/>
                <w:bottom w:val="none" w:sz="0" w:space="0" w:color="auto"/>
                <w:right w:val="none" w:sz="0" w:space="0" w:color="auto"/>
              </w:divBdr>
            </w:div>
          </w:divsChild>
        </w:div>
        <w:div w:id="106580305">
          <w:marLeft w:val="0"/>
          <w:marRight w:val="0"/>
          <w:marTop w:val="0"/>
          <w:marBottom w:val="0"/>
          <w:divBdr>
            <w:top w:val="none" w:sz="0" w:space="0" w:color="auto"/>
            <w:left w:val="none" w:sz="0" w:space="0" w:color="auto"/>
            <w:bottom w:val="none" w:sz="0" w:space="0" w:color="auto"/>
            <w:right w:val="none" w:sz="0" w:space="0" w:color="auto"/>
          </w:divBdr>
          <w:divsChild>
            <w:div w:id="1943486325">
              <w:marLeft w:val="0"/>
              <w:marRight w:val="0"/>
              <w:marTop w:val="0"/>
              <w:marBottom w:val="0"/>
              <w:divBdr>
                <w:top w:val="none" w:sz="0" w:space="0" w:color="auto"/>
                <w:left w:val="none" w:sz="0" w:space="0" w:color="auto"/>
                <w:bottom w:val="none" w:sz="0" w:space="0" w:color="auto"/>
                <w:right w:val="none" w:sz="0" w:space="0" w:color="auto"/>
              </w:divBdr>
            </w:div>
          </w:divsChild>
        </w:div>
        <w:div w:id="1129519156">
          <w:marLeft w:val="0"/>
          <w:marRight w:val="0"/>
          <w:marTop w:val="0"/>
          <w:marBottom w:val="0"/>
          <w:divBdr>
            <w:top w:val="none" w:sz="0" w:space="0" w:color="auto"/>
            <w:left w:val="none" w:sz="0" w:space="0" w:color="auto"/>
            <w:bottom w:val="none" w:sz="0" w:space="0" w:color="auto"/>
            <w:right w:val="none" w:sz="0" w:space="0" w:color="auto"/>
          </w:divBdr>
          <w:divsChild>
            <w:div w:id="1746608152">
              <w:marLeft w:val="0"/>
              <w:marRight w:val="0"/>
              <w:marTop w:val="0"/>
              <w:marBottom w:val="0"/>
              <w:divBdr>
                <w:top w:val="none" w:sz="0" w:space="0" w:color="auto"/>
                <w:left w:val="none" w:sz="0" w:space="0" w:color="auto"/>
                <w:bottom w:val="none" w:sz="0" w:space="0" w:color="auto"/>
                <w:right w:val="none" w:sz="0" w:space="0" w:color="auto"/>
              </w:divBdr>
            </w:div>
          </w:divsChild>
        </w:div>
        <w:div w:id="1132868394">
          <w:marLeft w:val="0"/>
          <w:marRight w:val="0"/>
          <w:marTop w:val="0"/>
          <w:marBottom w:val="0"/>
          <w:divBdr>
            <w:top w:val="none" w:sz="0" w:space="0" w:color="auto"/>
            <w:left w:val="none" w:sz="0" w:space="0" w:color="auto"/>
            <w:bottom w:val="none" w:sz="0" w:space="0" w:color="auto"/>
            <w:right w:val="none" w:sz="0" w:space="0" w:color="auto"/>
          </w:divBdr>
          <w:divsChild>
            <w:div w:id="941568702">
              <w:marLeft w:val="0"/>
              <w:marRight w:val="0"/>
              <w:marTop w:val="0"/>
              <w:marBottom w:val="0"/>
              <w:divBdr>
                <w:top w:val="none" w:sz="0" w:space="0" w:color="auto"/>
                <w:left w:val="none" w:sz="0" w:space="0" w:color="auto"/>
                <w:bottom w:val="none" w:sz="0" w:space="0" w:color="auto"/>
                <w:right w:val="none" w:sz="0" w:space="0" w:color="auto"/>
              </w:divBdr>
            </w:div>
          </w:divsChild>
        </w:div>
        <w:div w:id="1318191458">
          <w:marLeft w:val="0"/>
          <w:marRight w:val="0"/>
          <w:marTop w:val="0"/>
          <w:marBottom w:val="0"/>
          <w:divBdr>
            <w:top w:val="none" w:sz="0" w:space="0" w:color="auto"/>
            <w:left w:val="none" w:sz="0" w:space="0" w:color="auto"/>
            <w:bottom w:val="none" w:sz="0" w:space="0" w:color="auto"/>
            <w:right w:val="none" w:sz="0" w:space="0" w:color="auto"/>
          </w:divBdr>
          <w:divsChild>
            <w:div w:id="340553291">
              <w:marLeft w:val="0"/>
              <w:marRight w:val="0"/>
              <w:marTop w:val="0"/>
              <w:marBottom w:val="0"/>
              <w:divBdr>
                <w:top w:val="none" w:sz="0" w:space="0" w:color="auto"/>
                <w:left w:val="none" w:sz="0" w:space="0" w:color="auto"/>
                <w:bottom w:val="none" w:sz="0" w:space="0" w:color="auto"/>
                <w:right w:val="none" w:sz="0" w:space="0" w:color="auto"/>
              </w:divBdr>
            </w:div>
          </w:divsChild>
        </w:div>
        <w:div w:id="1675761171">
          <w:marLeft w:val="0"/>
          <w:marRight w:val="0"/>
          <w:marTop w:val="0"/>
          <w:marBottom w:val="0"/>
          <w:divBdr>
            <w:top w:val="none" w:sz="0" w:space="0" w:color="auto"/>
            <w:left w:val="none" w:sz="0" w:space="0" w:color="auto"/>
            <w:bottom w:val="none" w:sz="0" w:space="0" w:color="auto"/>
            <w:right w:val="none" w:sz="0" w:space="0" w:color="auto"/>
          </w:divBdr>
          <w:divsChild>
            <w:div w:id="1376350652">
              <w:marLeft w:val="0"/>
              <w:marRight w:val="0"/>
              <w:marTop w:val="0"/>
              <w:marBottom w:val="0"/>
              <w:divBdr>
                <w:top w:val="none" w:sz="0" w:space="0" w:color="auto"/>
                <w:left w:val="none" w:sz="0" w:space="0" w:color="auto"/>
                <w:bottom w:val="none" w:sz="0" w:space="0" w:color="auto"/>
                <w:right w:val="none" w:sz="0" w:space="0" w:color="auto"/>
              </w:divBdr>
            </w:div>
          </w:divsChild>
        </w:div>
        <w:div w:id="1949657289">
          <w:marLeft w:val="0"/>
          <w:marRight w:val="0"/>
          <w:marTop w:val="0"/>
          <w:marBottom w:val="0"/>
          <w:divBdr>
            <w:top w:val="none" w:sz="0" w:space="0" w:color="auto"/>
            <w:left w:val="none" w:sz="0" w:space="0" w:color="auto"/>
            <w:bottom w:val="none" w:sz="0" w:space="0" w:color="auto"/>
            <w:right w:val="none" w:sz="0" w:space="0" w:color="auto"/>
          </w:divBdr>
          <w:divsChild>
            <w:div w:id="209001173">
              <w:marLeft w:val="0"/>
              <w:marRight w:val="0"/>
              <w:marTop w:val="0"/>
              <w:marBottom w:val="0"/>
              <w:divBdr>
                <w:top w:val="none" w:sz="0" w:space="0" w:color="auto"/>
                <w:left w:val="none" w:sz="0" w:space="0" w:color="auto"/>
                <w:bottom w:val="none" w:sz="0" w:space="0" w:color="auto"/>
                <w:right w:val="none" w:sz="0" w:space="0" w:color="auto"/>
              </w:divBdr>
            </w:div>
          </w:divsChild>
        </w:div>
        <w:div w:id="2001425870">
          <w:marLeft w:val="0"/>
          <w:marRight w:val="0"/>
          <w:marTop w:val="0"/>
          <w:marBottom w:val="0"/>
          <w:divBdr>
            <w:top w:val="none" w:sz="0" w:space="0" w:color="auto"/>
            <w:left w:val="none" w:sz="0" w:space="0" w:color="auto"/>
            <w:bottom w:val="none" w:sz="0" w:space="0" w:color="auto"/>
            <w:right w:val="none" w:sz="0" w:space="0" w:color="auto"/>
          </w:divBdr>
          <w:divsChild>
            <w:div w:id="17375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4799">
      <w:bodyDiv w:val="1"/>
      <w:marLeft w:val="0"/>
      <w:marRight w:val="0"/>
      <w:marTop w:val="0"/>
      <w:marBottom w:val="0"/>
      <w:divBdr>
        <w:top w:val="none" w:sz="0" w:space="0" w:color="auto"/>
        <w:left w:val="none" w:sz="0" w:space="0" w:color="auto"/>
        <w:bottom w:val="none" w:sz="0" w:space="0" w:color="auto"/>
        <w:right w:val="none" w:sz="0" w:space="0" w:color="auto"/>
      </w:divBdr>
    </w:div>
    <w:div w:id="202407582">
      <w:bodyDiv w:val="1"/>
      <w:marLeft w:val="0"/>
      <w:marRight w:val="0"/>
      <w:marTop w:val="0"/>
      <w:marBottom w:val="0"/>
      <w:divBdr>
        <w:top w:val="none" w:sz="0" w:space="0" w:color="auto"/>
        <w:left w:val="none" w:sz="0" w:space="0" w:color="auto"/>
        <w:bottom w:val="none" w:sz="0" w:space="0" w:color="auto"/>
        <w:right w:val="none" w:sz="0" w:space="0" w:color="auto"/>
      </w:divBdr>
    </w:div>
    <w:div w:id="219371268">
      <w:bodyDiv w:val="1"/>
      <w:marLeft w:val="0"/>
      <w:marRight w:val="0"/>
      <w:marTop w:val="0"/>
      <w:marBottom w:val="0"/>
      <w:divBdr>
        <w:top w:val="none" w:sz="0" w:space="0" w:color="auto"/>
        <w:left w:val="none" w:sz="0" w:space="0" w:color="auto"/>
        <w:bottom w:val="none" w:sz="0" w:space="0" w:color="auto"/>
        <w:right w:val="none" w:sz="0" w:space="0" w:color="auto"/>
      </w:divBdr>
    </w:div>
    <w:div w:id="998001569">
      <w:bodyDiv w:val="1"/>
      <w:marLeft w:val="0"/>
      <w:marRight w:val="0"/>
      <w:marTop w:val="0"/>
      <w:marBottom w:val="0"/>
      <w:divBdr>
        <w:top w:val="none" w:sz="0" w:space="0" w:color="auto"/>
        <w:left w:val="none" w:sz="0" w:space="0" w:color="auto"/>
        <w:bottom w:val="none" w:sz="0" w:space="0" w:color="auto"/>
        <w:right w:val="none" w:sz="0" w:space="0" w:color="auto"/>
      </w:divBdr>
    </w:div>
    <w:div w:id="1007634437">
      <w:bodyDiv w:val="1"/>
      <w:marLeft w:val="0"/>
      <w:marRight w:val="0"/>
      <w:marTop w:val="0"/>
      <w:marBottom w:val="0"/>
      <w:divBdr>
        <w:top w:val="none" w:sz="0" w:space="0" w:color="auto"/>
        <w:left w:val="none" w:sz="0" w:space="0" w:color="auto"/>
        <w:bottom w:val="none" w:sz="0" w:space="0" w:color="auto"/>
        <w:right w:val="none" w:sz="0" w:space="0" w:color="auto"/>
      </w:divBdr>
      <w:divsChild>
        <w:div w:id="57368084">
          <w:marLeft w:val="0"/>
          <w:marRight w:val="0"/>
          <w:marTop w:val="0"/>
          <w:marBottom w:val="0"/>
          <w:divBdr>
            <w:top w:val="none" w:sz="0" w:space="0" w:color="auto"/>
            <w:left w:val="none" w:sz="0" w:space="0" w:color="auto"/>
            <w:bottom w:val="none" w:sz="0" w:space="0" w:color="auto"/>
            <w:right w:val="none" w:sz="0" w:space="0" w:color="auto"/>
          </w:divBdr>
          <w:divsChild>
            <w:div w:id="874119461">
              <w:marLeft w:val="0"/>
              <w:marRight w:val="0"/>
              <w:marTop w:val="0"/>
              <w:marBottom w:val="0"/>
              <w:divBdr>
                <w:top w:val="none" w:sz="0" w:space="0" w:color="auto"/>
                <w:left w:val="none" w:sz="0" w:space="0" w:color="auto"/>
                <w:bottom w:val="none" w:sz="0" w:space="0" w:color="auto"/>
                <w:right w:val="none" w:sz="0" w:space="0" w:color="auto"/>
              </w:divBdr>
            </w:div>
          </w:divsChild>
        </w:div>
        <w:div w:id="120806458">
          <w:marLeft w:val="0"/>
          <w:marRight w:val="0"/>
          <w:marTop w:val="0"/>
          <w:marBottom w:val="0"/>
          <w:divBdr>
            <w:top w:val="none" w:sz="0" w:space="0" w:color="auto"/>
            <w:left w:val="none" w:sz="0" w:space="0" w:color="auto"/>
            <w:bottom w:val="none" w:sz="0" w:space="0" w:color="auto"/>
            <w:right w:val="none" w:sz="0" w:space="0" w:color="auto"/>
          </w:divBdr>
          <w:divsChild>
            <w:div w:id="1543130901">
              <w:marLeft w:val="0"/>
              <w:marRight w:val="0"/>
              <w:marTop w:val="0"/>
              <w:marBottom w:val="0"/>
              <w:divBdr>
                <w:top w:val="none" w:sz="0" w:space="0" w:color="auto"/>
                <w:left w:val="none" w:sz="0" w:space="0" w:color="auto"/>
                <w:bottom w:val="none" w:sz="0" w:space="0" w:color="auto"/>
                <w:right w:val="none" w:sz="0" w:space="0" w:color="auto"/>
              </w:divBdr>
            </w:div>
          </w:divsChild>
        </w:div>
        <w:div w:id="144249534">
          <w:marLeft w:val="0"/>
          <w:marRight w:val="0"/>
          <w:marTop w:val="0"/>
          <w:marBottom w:val="0"/>
          <w:divBdr>
            <w:top w:val="none" w:sz="0" w:space="0" w:color="auto"/>
            <w:left w:val="none" w:sz="0" w:space="0" w:color="auto"/>
            <w:bottom w:val="none" w:sz="0" w:space="0" w:color="auto"/>
            <w:right w:val="none" w:sz="0" w:space="0" w:color="auto"/>
          </w:divBdr>
          <w:divsChild>
            <w:div w:id="328754493">
              <w:marLeft w:val="0"/>
              <w:marRight w:val="0"/>
              <w:marTop w:val="0"/>
              <w:marBottom w:val="0"/>
              <w:divBdr>
                <w:top w:val="none" w:sz="0" w:space="0" w:color="auto"/>
                <w:left w:val="none" w:sz="0" w:space="0" w:color="auto"/>
                <w:bottom w:val="none" w:sz="0" w:space="0" w:color="auto"/>
                <w:right w:val="none" w:sz="0" w:space="0" w:color="auto"/>
              </w:divBdr>
            </w:div>
          </w:divsChild>
        </w:div>
        <w:div w:id="154155234">
          <w:marLeft w:val="0"/>
          <w:marRight w:val="0"/>
          <w:marTop w:val="0"/>
          <w:marBottom w:val="0"/>
          <w:divBdr>
            <w:top w:val="none" w:sz="0" w:space="0" w:color="auto"/>
            <w:left w:val="none" w:sz="0" w:space="0" w:color="auto"/>
            <w:bottom w:val="none" w:sz="0" w:space="0" w:color="auto"/>
            <w:right w:val="none" w:sz="0" w:space="0" w:color="auto"/>
          </w:divBdr>
          <w:divsChild>
            <w:div w:id="1845167318">
              <w:marLeft w:val="0"/>
              <w:marRight w:val="0"/>
              <w:marTop w:val="0"/>
              <w:marBottom w:val="0"/>
              <w:divBdr>
                <w:top w:val="none" w:sz="0" w:space="0" w:color="auto"/>
                <w:left w:val="none" w:sz="0" w:space="0" w:color="auto"/>
                <w:bottom w:val="none" w:sz="0" w:space="0" w:color="auto"/>
                <w:right w:val="none" w:sz="0" w:space="0" w:color="auto"/>
              </w:divBdr>
            </w:div>
          </w:divsChild>
        </w:div>
        <w:div w:id="266472655">
          <w:marLeft w:val="0"/>
          <w:marRight w:val="0"/>
          <w:marTop w:val="0"/>
          <w:marBottom w:val="0"/>
          <w:divBdr>
            <w:top w:val="none" w:sz="0" w:space="0" w:color="auto"/>
            <w:left w:val="none" w:sz="0" w:space="0" w:color="auto"/>
            <w:bottom w:val="none" w:sz="0" w:space="0" w:color="auto"/>
            <w:right w:val="none" w:sz="0" w:space="0" w:color="auto"/>
          </w:divBdr>
          <w:divsChild>
            <w:div w:id="1541746358">
              <w:marLeft w:val="0"/>
              <w:marRight w:val="0"/>
              <w:marTop w:val="0"/>
              <w:marBottom w:val="0"/>
              <w:divBdr>
                <w:top w:val="none" w:sz="0" w:space="0" w:color="auto"/>
                <w:left w:val="none" w:sz="0" w:space="0" w:color="auto"/>
                <w:bottom w:val="none" w:sz="0" w:space="0" w:color="auto"/>
                <w:right w:val="none" w:sz="0" w:space="0" w:color="auto"/>
              </w:divBdr>
            </w:div>
          </w:divsChild>
        </w:div>
        <w:div w:id="330910758">
          <w:marLeft w:val="0"/>
          <w:marRight w:val="0"/>
          <w:marTop w:val="0"/>
          <w:marBottom w:val="0"/>
          <w:divBdr>
            <w:top w:val="none" w:sz="0" w:space="0" w:color="auto"/>
            <w:left w:val="none" w:sz="0" w:space="0" w:color="auto"/>
            <w:bottom w:val="none" w:sz="0" w:space="0" w:color="auto"/>
            <w:right w:val="none" w:sz="0" w:space="0" w:color="auto"/>
          </w:divBdr>
          <w:divsChild>
            <w:div w:id="80029119">
              <w:marLeft w:val="0"/>
              <w:marRight w:val="0"/>
              <w:marTop w:val="0"/>
              <w:marBottom w:val="0"/>
              <w:divBdr>
                <w:top w:val="none" w:sz="0" w:space="0" w:color="auto"/>
                <w:left w:val="none" w:sz="0" w:space="0" w:color="auto"/>
                <w:bottom w:val="none" w:sz="0" w:space="0" w:color="auto"/>
                <w:right w:val="none" w:sz="0" w:space="0" w:color="auto"/>
              </w:divBdr>
            </w:div>
          </w:divsChild>
        </w:div>
        <w:div w:id="766734637">
          <w:marLeft w:val="0"/>
          <w:marRight w:val="0"/>
          <w:marTop w:val="0"/>
          <w:marBottom w:val="0"/>
          <w:divBdr>
            <w:top w:val="none" w:sz="0" w:space="0" w:color="auto"/>
            <w:left w:val="none" w:sz="0" w:space="0" w:color="auto"/>
            <w:bottom w:val="none" w:sz="0" w:space="0" w:color="auto"/>
            <w:right w:val="none" w:sz="0" w:space="0" w:color="auto"/>
          </w:divBdr>
          <w:divsChild>
            <w:div w:id="1828283510">
              <w:marLeft w:val="0"/>
              <w:marRight w:val="0"/>
              <w:marTop w:val="0"/>
              <w:marBottom w:val="0"/>
              <w:divBdr>
                <w:top w:val="none" w:sz="0" w:space="0" w:color="auto"/>
                <w:left w:val="none" w:sz="0" w:space="0" w:color="auto"/>
                <w:bottom w:val="none" w:sz="0" w:space="0" w:color="auto"/>
                <w:right w:val="none" w:sz="0" w:space="0" w:color="auto"/>
              </w:divBdr>
            </w:div>
          </w:divsChild>
        </w:div>
        <w:div w:id="787624346">
          <w:marLeft w:val="0"/>
          <w:marRight w:val="0"/>
          <w:marTop w:val="0"/>
          <w:marBottom w:val="0"/>
          <w:divBdr>
            <w:top w:val="none" w:sz="0" w:space="0" w:color="auto"/>
            <w:left w:val="none" w:sz="0" w:space="0" w:color="auto"/>
            <w:bottom w:val="none" w:sz="0" w:space="0" w:color="auto"/>
            <w:right w:val="none" w:sz="0" w:space="0" w:color="auto"/>
          </w:divBdr>
          <w:divsChild>
            <w:div w:id="385183343">
              <w:marLeft w:val="0"/>
              <w:marRight w:val="0"/>
              <w:marTop w:val="0"/>
              <w:marBottom w:val="0"/>
              <w:divBdr>
                <w:top w:val="none" w:sz="0" w:space="0" w:color="auto"/>
                <w:left w:val="none" w:sz="0" w:space="0" w:color="auto"/>
                <w:bottom w:val="none" w:sz="0" w:space="0" w:color="auto"/>
                <w:right w:val="none" w:sz="0" w:space="0" w:color="auto"/>
              </w:divBdr>
            </w:div>
          </w:divsChild>
        </w:div>
        <w:div w:id="862406257">
          <w:marLeft w:val="0"/>
          <w:marRight w:val="0"/>
          <w:marTop w:val="0"/>
          <w:marBottom w:val="0"/>
          <w:divBdr>
            <w:top w:val="none" w:sz="0" w:space="0" w:color="auto"/>
            <w:left w:val="none" w:sz="0" w:space="0" w:color="auto"/>
            <w:bottom w:val="none" w:sz="0" w:space="0" w:color="auto"/>
            <w:right w:val="none" w:sz="0" w:space="0" w:color="auto"/>
          </w:divBdr>
          <w:divsChild>
            <w:div w:id="739520890">
              <w:marLeft w:val="0"/>
              <w:marRight w:val="0"/>
              <w:marTop w:val="0"/>
              <w:marBottom w:val="0"/>
              <w:divBdr>
                <w:top w:val="none" w:sz="0" w:space="0" w:color="auto"/>
                <w:left w:val="none" w:sz="0" w:space="0" w:color="auto"/>
                <w:bottom w:val="none" w:sz="0" w:space="0" w:color="auto"/>
                <w:right w:val="none" w:sz="0" w:space="0" w:color="auto"/>
              </w:divBdr>
            </w:div>
          </w:divsChild>
        </w:div>
        <w:div w:id="1005209893">
          <w:marLeft w:val="0"/>
          <w:marRight w:val="0"/>
          <w:marTop w:val="0"/>
          <w:marBottom w:val="0"/>
          <w:divBdr>
            <w:top w:val="none" w:sz="0" w:space="0" w:color="auto"/>
            <w:left w:val="none" w:sz="0" w:space="0" w:color="auto"/>
            <w:bottom w:val="none" w:sz="0" w:space="0" w:color="auto"/>
            <w:right w:val="none" w:sz="0" w:space="0" w:color="auto"/>
          </w:divBdr>
          <w:divsChild>
            <w:div w:id="16930703">
              <w:marLeft w:val="0"/>
              <w:marRight w:val="0"/>
              <w:marTop w:val="0"/>
              <w:marBottom w:val="0"/>
              <w:divBdr>
                <w:top w:val="none" w:sz="0" w:space="0" w:color="auto"/>
                <w:left w:val="none" w:sz="0" w:space="0" w:color="auto"/>
                <w:bottom w:val="none" w:sz="0" w:space="0" w:color="auto"/>
                <w:right w:val="none" w:sz="0" w:space="0" w:color="auto"/>
              </w:divBdr>
            </w:div>
          </w:divsChild>
        </w:div>
        <w:div w:id="1367295199">
          <w:marLeft w:val="0"/>
          <w:marRight w:val="0"/>
          <w:marTop w:val="0"/>
          <w:marBottom w:val="0"/>
          <w:divBdr>
            <w:top w:val="none" w:sz="0" w:space="0" w:color="auto"/>
            <w:left w:val="none" w:sz="0" w:space="0" w:color="auto"/>
            <w:bottom w:val="none" w:sz="0" w:space="0" w:color="auto"/>
            <w:right w:val="none" w:sz="0" w:space="0" w:color="auto"/>
          </w:divBdr>
          <w:divsChild>
            <w:div w:id="1917125100">
              <w:marLeft w:val="0"/>
              <w:marRight w:val="0"/>
              <w:marTop w:val="0"/>
              <w:marBottom w:val="0"/>
              <w:divBdr>
                <w:top w:val="none" w:sz="0" w:space="0" w:color="auto"/>
                <w:left w:val="none" w:sz="0" w:space="0" w:color="auto"/>
                <w:bottom w:val="none" w:sz="0" w:space="0" w:color="auto"/>
                <w:right w:val="none" w:sz="0" w:space="0" w:color="auto"/>
              </w:divBdr>
            </w:div>
          </w:divsChild>
        </w:div>
        <w:div w:id="1548105177">
          <w:marLeft w:val="0"/>
          <w:marRight w:val="0"/>
          <w:marTop w:val="0"/>
          <w:marBottom w:val="0"/>
          <w:divBdr>
            <w:top w:val="none" w:sz="0" w:space="0" w:color="auto"/>
            <w:left w:val="none" w:sz="0" w:space="0" w:color="auto"/>
            <w:bottom w:val="none" w:sz="0" w:space="0" w:color="auto"/>
            <w:right w:val="none" w:sz="0" w:space="0" w:color="auto"/>
          </w:divBdr>
          <w:divsChild>
            <w:div w:id="2002615167">
              <w:marLeft w:val="0"/>
              <w:marRight w:val="0"/>
              <w:marTop w:val="0"/>
              <w:marBottom w:val="0"/>
              <w:divBdr>
                <w:top w:val="none" w:sz="0" w:space="0" w:color="auto"/>
                <w:left w:val="none" w:sz="0" w:space="0" w:color="auto"/>
                <w:bottom w:val="none" w:sz="0" w:space="0" w:color="auto"/>
                <w:right w:val="none" w:sz="0" w:space="0" w:color="auto"/>
              </w:divBdr>
            </w:div>
          </w:divsChild>
        </w:div>
        <w:div w:id="1769304309">
          <w:marLeft w:val="0"/>
          <w:marRight w:val="0"/>
          <w:marTop w:val="0"/>
          <w:marBottom w:val="0"/>
          <w:divBdr>
            <w:top w:val="none" w:sz="0" w:space="0" w:color="auto"/>
            <w:left w:val="none" w:sz="0" w:space="0" w:color="auto"/>
            <w:bottom w:val="none" w:sz="0" w:space="0" w:color="auto"/>
            <w:right w:val="none" w:sz="0" w:space="0" w:color="auto"/>
          </w:divBdr>
          <w:divsChild>
            <w:div w:id="1572811429">
              <w:marLeft w:val="0"/>
              <w:marRight w:val="0"/>
              <w:marTop w:val="0"/>
              <w:marBottom w:val="0"/>
              <w:divBdr>
                <w:top w:val="none" w:sz="0" w:space="0" w:color="auto"/>
                <w:left w:val="none" w:sz="0" w:space="0" w:color="auto"/>
                <w:bottom w:val="none" w:sz="0" w:space="0" w:color="auto"/>
                <w:right w:val="none" w:sz="0" w:space="0" w:color="auto"/>
              </w:divBdr>
            </w:div>
          </w:divsChild>
        </w:div>
        <w:div w:id="1859460990">
          <w:marLeft w:val="0"/>
          <w:marRight w:val="0"/>
          <w:marTop w:val="0"/>
          <w:marBottom w:val="0"/>
          <w:divBdr>
            <w:top w:val="none" w:sz="0" w:space="0" w:color="auto"/>
            <w:left w:val="none" w:sz="0" w:space="0" w:color="auto"/>
            <w:bottom w:val="none" w:sz="0" w:space="0" w:color="auto"/>
            <w:right w:val="none" w:sz="0" w:space="0" w:color="auto"/>
          </w:divBdr>
          <w:divsChild>
            <w:div w:id="2003973043">
              <w:marLeft w:val="0"/>
              <w:marRight w:val="0"/>
              <w:marTop w:val="0"/>
              <w:marBottom w:val="0"/>
              <w:divBdr>
                <w:top w:val="none" w:sz="0" w:space="0" w:color="auto"/>
                <w:left w:val="none" w:sz="0" w:space="0" w:color="auto"/>
                <w:bottom w:val="none" w:sz="0" w:space="0" w:color="auto"/>
                <w:right w:val="none" w:sz="0" w:space="0" w:color="auto"/>
              </w:divBdr>
            </w:div>
          </w:divsChild>
        </w:div>
        <w:div w:id="1911427042">
          <w:marLeft w:val="0"/>
          <w:marRight w:val="0"/>
          <w:marTop w:val="0"/>
          <w:marBottom w:val="0"/>
          <w:divBdr>
            <w:top w:val="none" w:sz="0" w:space="0" w:color="auto"/>
            <w:left w:val="none" w:sz="0" w:space="0" w:color="auto"/>
            <w:bottom w:val="none" w:sz="0" w:space="0" w:color="auto"/>
            <w:right w:val="none" w:sz="0" w:space="0" w:color="auto"/>
          </w:divBdr>
          <w:divsChild>
            <w:div w:id="1998415462">
              <w:marLeft w:val="0"/>
              <w:marRight w:val="0"/>
              <w:marTop w:val="0"/>
              <w:marBottom w:val="0"/>
              <w:divBdr>
                <w:top w:val="none" w:sz="0" w:space="0" w:color="auto"/>
                <w:left w:val="none" w:sz="0" w:space="0" w:color="auto"/>
                <w:bottom w:val="none" w:sz="0" w:space="0" w:color="auto"/>
                <w:right w:val="none" w:sz="0" w:space="0" w:color="auto"/>
              </w:divBdr>
            </w:div>
          </w:divsChild>
        </w:div>
        <w:div w:id="1957058626">
          <w:marLeft w:val="0"/>
          <w:marRight w:val="0"/>
          <w:marTop w:val="0"/>
          <w:marBottom w:val="0"/>
          <w:divBdr>
            <w:top w:val="none" w:sz="0" w:space="0" w:color="auto"/>
            <w:left w:val="none" w:sz="0" w:space="0" w:color="auto"/>
            <w:bottom w:val="none" w:sz="0" w:space="0" w:color="auto"/>
            <w:right w:val="none" w:sz="0" w:space="0" w:color="auto"/>
          </w:divBdr>
          <w:divsChild>
            <w:div w:id="675569870">
              <w:marLeft w:val="0"/>
              <w:marRight w:val="0"/>
              <w:marTop w:val="0"/>
              <w:marBottom w:val="0"/>
              <w:divBdr>
                <w:top w:val="none" w:sz="0" w:space="0" w:color="auto"/>
                <w:left w:val="none" w:sz="0" w:space="0" w:color="auto"/>
                <w:bottom w:val="none" w:sz="0" w:space="0" w:color="auto"/>
                <w:right w:val="none" w:sz="0" w:space="0" w:color="auto"/>
              </w:divBdr>
            </w:div>
          </w:divsChild>
        </w:div>
        <w:div w:id="2133748653">
          <w:marLeft w:val="0"/>
          <w:marRight w:val="0"/>
          <w:marTop w:val="0"/>
          <w:marBottom w:val="0"/>
          <w:divBdr>
            <w:top w:val="none" w:sz="0" w:space="0" w:color="auto"/>
            <w:left w:val="none" w:sz="0" w:space="0" w:color="auto"/>
            <w:bottom w:val="none" w:sz="0" w:space="0" w:color="auto"/>
            <w:right w:val="none" w:sz="0" w:space="0" w:color="auto"/>
          </w:divBdr>
          <w:divsChild>
            <w:div w:id="1207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543">
      <w:bodyDiv w:val="1"/>
      <w:marLeft w:val="0"/>
      <w:marRight w:val="0"/>
      <w:marTop w:val="0"/>
      <w:marBottom w:val="0"/>
      <w:divBdr>
        <w:top w:val="none" w:sz="0" w:space="0" w:color="auto"/>
        <w:left w:val="none" w:sz="0" w:space="0" w:color="auto"/>
        <w:bottom w:val="none" w:sz="0" w:space="0" w:color="auto"/>
        <w:right w:val="none" w:sz="0" w:space="0" w:color="auto"/>
      </w:divBdr>
    </w:div>
    <w:div w:id="1401640171">
      <w:bodyDiv w:val="1"/>
      <w:marLeft w:val="0"/>
      <w:marRight w:val="0"/>
      <w:marTop w:val="0"/>
      <w:marBottom w:val="0"/>
      <w:divBdr>
        <w:top w:val="none" w:sz="0" w:space="0" w:color="auto"/>
        <w:left w:val="none" w:sz="0" w:space="0" w:color="auto"/>
        <w:bottom w:val="none" w:sz="0" w:space="0" w:color="auto"/>
        <w:right w:val="none" w:sz="0" w:space="0" w:color="auto"/>
      </w:divBdr>
    </w:div>
    <w:div w:id="1644851712">
      <w:bodyDiv w:val="1"/>
      <w:marLeft w:val="0"/>
      <w:marRight w:val="0"/>
      <w:marTop w:val="0"/>
      <w:marBottom w:val="0"/>
      <w:divBdr>
        <w:top w:val="none" w:sz="0" w:space="0" w:color="auto"/>
        <w:left w:val="none" w:sz="0" w:space="0" w:color="auto"/>
        <w:bottom w:val="none" w:sz="0" w:space="0" w:color="auto"/>
        <w:right w:val="none" w:sz="0" w:space="0" w:color="auto"/>
      </w:divBdr>
      <w:divsChild>
        <w:div w:id="140922991">
          <w:marLeft w:val="0"/>
          <w:marRight w:val="0"/>
          <w:marTop w:val="0"/>
          <w:marBottom w:val="0"/>
          <w:divBdr>
            <w:top w:val="none" w:sz="0" w:space="0" w:color="auto"/>
            <w:left w:val="none" w:sz="0" w:space="0" w:color="auto"/>
            <w:bottom w:val="none" w:sz="0" w:space="0" w:color="auto"/>
            <w:right w:val="none" w:sz="0" w:space="0" w:color="auto"/>
          </w:divBdr>
          <w:divsChild>
            <w:div w:id="1846902039">
              <w:marLeft w:val="0"/>
              <w:marRight w:val="0"/>
              <w:marTop w:val="0"/>
              <w:marBottom w:val="0"/>
              <w:divBdr>
                <w:top w:val="none" w:sz="0" w:space="0" w:color="auto"/>
                <w:left w:val="none" w:sz="0" w:space="0" w:color="auto"/>
                <w:bottom w:val="none" w:sz="0" w:space="0" w:color="auto"/>
                <w:right w:val="none" w:sz="0" w:space="0" w:color="auto"/>
              </w:divBdr>
            </w:div>
          </w:divsChild>
        </w:div>
        <w:div w:id="165947112">
          <w:marLeft w:val="0"/>
          <w:marRight w:val="0"/>
          <w:marTop w:val="0"/>
          <w:marBottom w:val="0"/>
          <w:divBdr>
            <w:top w:val="none" w:sz="0" w:space="0" w:color="auto"/>
            <w:left w:val="none" w:sz="0" w:space="0" w:color="auto"/>
            <w:bottom w:val="none" w:sz="0" w:space="0" w:color="auto"/>
            <w:right w:val="none" w:sz="0" w:space="0" w:color="auto"/>
          </w:divBdr>
          <w:divsChild>
            <w:div w:id="1677421479">
              <w:marLeft w:val="0"/>
              <w:marRight w:val="0"/>
              <w:marTop w:val="0"/>
              <w:marBottom w:val="0"/>
              <w:divBdr>
                <w:top w:val="none" w:sz="0" w:space="0" w:color="auto"/>
                <w:left w:val="none" w:sz="0" w:space="0" w:color="auto"/>
                <w:bottom w:val="none" w:sz="0" w:space="0" w:color="auto"/>
                <w:right w:val="none" w:sz="0" w:space="0" w:color="auto"/>
              </w:divBdr>
            </w:div>
          </w:divsChild>
        </w:div>
        <w:div w:id="238249058">
          <w:marLeft w:val="0"/>
          <w:marRight w:val="0"/>
          <w:marTop w:val="0"/>
          <w:marBottom w:val="0"/>
          <w:divBdr>
            <w:top w:val="none" w:sz="0" w:space="0" w:color="auto"/>
            <w:left w:val="none" w:sz="0" w:space="0" w:color="auto"/>
            <w:bottom w:val="none" w:sz="0" w:space="0" w:color="auto"/>
            <w:right w:val="none" w:sz="0" w:space="0" w:color="auto"/>
          </w:divBdr>
          <w:divsChild>
            <w:div w:id="415633923">
              <w:marLeft w:val="0"/>
              <w:marRight w:val="0"/>
              <w:marTop w:val="0"/>
              <w:marBottom w:val="0"/>
              <w:divBdr>
                <w:top w:val="none" w:sz="0" w:space="0" w:color="auto"/>
                <w:left w:val="none" w:sz="0" w:space="0" w:color="auto"/>
                <w:bottom w:val="none" w:sz="0" w:space="0" w:color="auto"/>
                <w:right w:val="none" w:sz="0" w:space="0" w:color="auto"/>
              </w:divBdr>
            </w:div>
          </w:divsChild>
        </w:div>
        <w:div w:id="539782022">
          <w:marLeft w:val="0"/>
          <w:marRight w:val="0"/>
          <w:marTop w:val="0"/>
          <w:marBottom w:val="0"/>
          <w:divBdr>
            <w:top w:val="none" w:sz="0" w:space="0" w:color="auto"/>
            <w:left w:val="none" w:sz="0" w:space="0" w:color="auto"/>
            <w:bottom w:val="none" w:sz="0" w:space="0" w:color="auto"/>
            <w:right w:val="none" w:sz="0" w:space="0" w:color="auto"/>
          </w:divBdr>
          <w:divsChild>
            <w:div w:id="811407920">
              <w:marLeft w:val="0"/>
              <w:marRight w:val="0"/>
              <w:marTop w:val="0"/>
              <w:marBottom w:val="0"/>
              <w:divBdr>
                <w:top w:val="none" w:sz="0" w:space="0" w:color="auto"/>
                <w:left w:val="none" w:sz="0" w:space="0" w:color="auto"/>
                <w:bottom w:val="none" w:sz="0" w:space="0" w:color="auto"/>
                <w:right w:val="none" w:sz="0" w:space="0" w:color="auto"/>
              </w:divBdr>
            </w:div>
          </w:divsChild>
        </w:div>
        <w:div w:id="631596162">
          <w:marLeft w:val="0"/>
          <w:marRight w:val="0"/>
          <w:marTop w:val="0"/>
          <w:marBottom w:val="0"/>
          <w:divBdr>
            <w:top w:val="none" w:sz="0" w:space="0" w:color="auto"/>
            <w:left w:val="none" w:sz="0" w:space="0" w:color="auto"/>
            <w:bottom w:val="none" w:sz="0" w:space="0" w:color="auto"/>
            <w:right w:val="none" w:sz="0" w:space="0" w:color="auto"/>
          </w:divBdr>
          <w:divsChild>
            <w:div w:id="1236548466">
              <w:marLeft w:val="0"/>
              <w:marRight w:val="0"/>
              <w:marTop w:val="0"/>
              <w:marBottom w:val="0"/>
              <w:divBdr>
                <w:top w:val="none" w:sz="0" w:space="0" w:color="auto"/>
                <w:left w:val="none" w:sz="0" w:space="0" w:color="auto"/>
                <w:bottom w:val="none" w:sz="0" w:space="0" w:color="auto"/>
                <w:right w:val="none" w:sz="0" w:space="0" w:color="auto"/>
              </w:divBdr>
            </w:div>
          </w:divsChild>
        </w:div>
        <w:div w:id="681710548">
          <w:marLeft w:val="0"/>
          <w:marRight w:val="0"/>
          <w:marTop w:val="0"/>
          <w:marBottom w:val="0"/>
          <w:divBdr>
            <w:top w:val="none" w:sz="0" w:space="0" w:color="auto"/>
            <w:left w:val="none" w:sz="0" w:space="0" w:color="auto"/>
            <w:bottom w:val="none" w:sz="0" w:space="0" w:color="auto"/>
            <w:right w:val="none" w:sz="0" w:space="0" w:color="auto"/>
          </w:divBdr>
          <w:divsChild>
            <w:div w:id="1389963261">
              <w:marLeft w:val="0"/>
              <w:marRight w:val="0"/>
              <w:marTop w:val="0"/>
              <w:marBottom w:val="0"/>
              <w:divBdr>
                <w:top w:val="none" w:sz="0" w:space="0" w:color="auto"/>
                <w:left w:val="none" w:sz="0" w:space="0" w:color="auto"/>
                <w:bottom w:val="none" w:sz="0" w:space="0" w:color="auto"/>
                <w:right w:val="none" w:sz="0" w:space="0" w:color="auto"/>
              </w:divBdr>
            </w:div>
          </w:divsChild>
        </w:div>
        <w:div w:id="856961403">
          <w:marLeft w:val="0"/>
          <w:marRight w:val="0"/>
          <w:marTop w:val="0"/>
          <w:marBottom w:val="0"/>
          <w:divBdr>
            <w:top w:val="none" w:sz="0" w:space="0" w:color="auto"/>
            <w:left w:val="none" w:sz="0" w:space="0" w:color="auto"/>
            <w:bottom w:val="none" w:sz="0" w:space="0" w:color="auto"/>
            <w:right w:val="none" w:sz="0" w:space="0" w:color="auto"/>
          </w:divBdr>
          <w:divsChild>
            <w:div w:id="1723366623">
              <w:marLeft w:val="0"/>
              <w:marRight w:val="0"/>
              <w:marTop w:val="0"/>
              <w:marBottom w:val="0"/>
              <w:divBdr>
                <w:top w:val="none" w:sz="0" w:space="0" w:color="auto"/>
                <w:left w:val="none" w:sz="0" w:space="0" w:color="auto"/>
                <w:bottom w:val="none" w:sz="0" w:space="0" w:color="auto"/>
                <w:right w:val="none" w:sz="0" w:space="0" w:color="auto"/>
              </w:divBdr>
            </w:div>
          </w:divsChild>
        </w:div>
        <w:div w:id="1144077803">
          <w:marLeft w:val="0"/>
          <w:marRight w:val="0"/>
          <w:marTop w:val="0"/>
          <w:marBottom w:val="0"/>
          <w:divBdr>
            <w:top w:val="none" w:sz="0" w:space="0" w:color="auto"/>
            <w:left w:val="none" w:sz="0" w:space="0" w:color="auto"/>
            <w:bottom w:val="none" w:sz="0" w:space="0" w:color="auto"/>
            <w:right w:val="none" w:sz="0" w:space="0" w:color="auto"/>
          </w:divBdr>
          <w:divsChild>
            <w:div w:id="581722938">
              <w:marLeft w:val="0"/>
              <w:marRight w:val="0"/>
              <w:marTop w:val="0"/>
              <w:marBottom w:val="0"/>
              <w:divBdr>
                <w:top w:val="none" w:sz="0" w:space="0" w:color="auto"/>
                <w:left w:val="none" w:sz="0" w:space="0" w:color="auto"/>
                <w:bottom w:val="none" w:sz="0" w:space="0" w:color="auto"/>
                <w:right w:val="none" w:sz="0" w:space="0" w:color="auto"/>
              </w:divBdr>
            </w:div>
          </w:divsChild>
        </w:div>
        <w:div w:id="1207645054">
          <w:marLeft w:val="0"/>
          <w:marRight w:val="0"/>
          <w:marTop w:val="0"/>
          <w:marBottom w:val="0"/>
          <w:divBdr>
            <w:top w:val="none" w:sz="0" w:space="0" w:color="auto"/>
            <w:left w:val="none" w:sz="0" w:space="0" w:color="auto"/>
            <w:bottom w:val="none" w:sz="0" w:space="0" w:color="auto"/>
            <w:right w:val="none" w:sz="0" w:space="0" w:color="auto"/>
          </w:divBdr>
          <w:divsChild>
            <w:div w:id="302347811">
              <w:marLeft w:val="0"/>
              <w:marRight w:val="0"/>
              <w:marTop w:val="0"/>
              <w:marBottom w:val="0"/>
              <w:divBdr>
                <w:top w:val="none" w:sz="0" w:space="0" w:color="auto"/>
                <w:left w:val="none" w:sz="0" w:space="0" w:color="auto"/>
                <w:bottom w:val="none" w:sz="0" w:space="0" w:color="auto"/>
                <w:right w:val="none" w:sz="0" w:space="0" w:color="auto"/>
              </w:divBdr>
            </w:div>
          </w:divsChild>
        </w:div>
        <w:div w:id="1433550912">
          <w:marLeft w:val="0"/>
          <w:marRight w:val="0"/>
          <w:marTop w:val="0"/>
          <w:marBottom w:val="0"/>
          <w:divBdr>
            <w:top w:val="none" w:sz="0" w:space="0" w:color="auto"/>
            <w:left w:val="none" w:sz="0" w:space="0" w:color="auto"/>
            <w:bottom w:val="none" w:sz="0" w:space="0" w:color="auto"/>
            <w:right w:val="none" w:sz="0" w:space="0" w:color="auto"/>
          </w:divBdr>
          <w:divsChild>
            <w:div w:id="1287813377">
              <w:marLeft w:val="0"/>
              <w:marRight w:val="0"/>
              <w:marTop w:val="0"/>
              <w:marBottom w:val="0"/>
              <w:divBdr>
                <w:top w:val="none" w:sz="0" w:space="0" w:color="auto"/>
                <w:left w:val="none" w:sz="0" w:space="0" w:color="auto"/>
                <w:bottom w:val="none" w:sz="0" w:space="0" w:color="auto"/>
                <w:right w:val="none" w:sz="0" w:space="0" w:color="auto"/>
              </w:divBdr>
            </w:div>
          </w:divsChild>
        </w:div>
        <w:div w:id="1495410545">
          <w:marLeft w:val="0"/>
          <w:marRight w:val="0"/>
          <w:marTop w:val="0"/>
          <w:marBottom w:val="0"/>
          <w:divBdr>
            <w:top w:val="none" w:sz="0" w:space="0" w:color="auto"/>
            <w:left w:val="none" w:sz="0" w:space="0" w:color="auto"/>
            <w:bottom w:val="none" w:sz="0" w:space="0" w:color="auto"/>
            <w:right w:val="none" w:sz="0" w:space="0" w:color="auto"/>
          </w:divBdr>
          <w:divsChild>
            <w:div w:id="219097126">
              <w:marLeft w:val="0"/>
              <w:marRight w:val="0"/>
              <w:marTop w:val="0"/>
              <w:marBottom w:val="0"/>
              <w:divBdr>
                <w:top w:val="none" w:sz="0" w:space="0" w:color="auto"/>
                <w:left w:val="none" w:sz="0" w:space="0" w:color="auto"/>
                <w:bottom w:val="none" w:sz="0" w:space="0" w:color="auto"/>
                <w:right w:val="none" w:sz="0" w:space="0" w:color="auto"/>
              </w:divBdr>
            </w:div>
          </w:divsChild>
        </w:div>
        <w:div w:id="1646230767">
          <w:marLeft w:val="0"/>
          <w:marRight w:val="0"/>
          <w:marTop w:val="0"/>
          <w:marBottom w:val="0"/>
          <w:divBdr>
            <w:top w:val="none" w:sz="0" w:space="0" w:color="auto"/>
            <w:left w:val="none" w:sz="0" w:space="0" w:color="auto"/>
            <w:bottom w:val="none" w:sz="0" w:space="0" w:color="auto"/>
            <w:right w:val="none" w:sz="0" w:space="0" w:color="auto"/>
          </w:divBdr>
          <w:divsChild>
            <w:div w:id="195508664">
              <w:marLeft w:val="0"/>
              <w:marRight w:val="0"/>
              <w:marTop w:val="0"/>
              <w:marBottom w:val="0"/>
              <w:divBdr>
                <w:top w:val="none" w:sz="0" w:space="0" w:color="auto"/>
                <w:left w:val="none" w:sz="0" w:space="0" w:color="auto"/>
                <w:bottom w:val="none" w:sz="0" w:space="0" w:color="auto"/>
                <w:right w:val="none" w:sz="0" w:space="0" w:color="auto"/>
              </w:divBdr>
            </w:div>
          </w:divsChild>
        </w:div>
        <w:div w:id="1818720376">
          <w:marLeft w:val="0"/>
          <w:marRight w:val="0"/>
          <w:marTop w:val="0"/>
          <w:marBottom w:val="0"/>
          <w:divBdr>
            <w:top w:val="none" w:sz="0" w:space="0" w:color="auto"/>
            <w:left w:val="none" w:sz="0" w:space="0" w:color="auto"/>
            <w:bottom w:val="none" w:sz="0" w:space="0" w:color="auto"/>
            <w:right w:val="none" w:sz="0" w:space="0" w:color="auto"/>
          </w:divBdr>
          <w:divsChild>
            <w:div w:id="1864586973">
              <w:marLeft w:val="0"/>
              <w:marRight w:val="0"/>
              <w:marTop w:val="0"/>
              <w:marBottom w:val="0"/>
              <w:divBdr>
                <w:top w:val="none" w:sz="0" w:space="0" w:color="auto"/>
                <w:left w:val="none" w:sz="0" w:space="0" w:color="auto"/>
                <w:bottom w:val="none" w:sz="0" w:space="0" w:color="auto"/>
                <w:right w:val="none" w:sz="0" w:space="0" w:color="auto"/>
              </w:divBdr>
            </w:div>
          </w:divsChild>
        </w:div>
        <w:div w:id="1887060216">
          <w:marLeft w:val="0"/>
          <w:marRight w:val="0"/>
          <w:marTop w:val="0"/>
          <w:marBottom w:val="0"/>
          <w:divBdr>
            <w:top w:val="none" w:sz="0" w:space="0" w:color="auto"/>
            <w:left w:val="none" w:sz="0" w:space="0" w:color="auto"/>
            <w:bottom w:val="none" w:sz="0" w:space="0" w:color="auto"/>
            <w:right w:val="none" w:sz="0" w:space="0" w:color="auto"/>
          </w:divBdr>
          <w:divsChild>
            <w:div w:id="1039472301">
              <w:marLeft w:val="0"/>
              <w:marRight w:val="0"/>
              <w:marTop w:val="0"/>
              <w:marBottom w:val="0"/>
              <w:divBdr>
                <w:top w:val="none" w:sz="0" w:space="0" w:color="auto"/>
                <w:left w:val="none" w:sz="0" w:space="0" w:color="auto"/>
                <w:bottom w:val="none" w:sz="0" w:space="0" w:color="auto"/>
                <w:right w:val="none" w:sz="0" w:space="0" w:color="auto"/>
              </w:divBdr>
            </w:div>
          </w:divsChild>
        </w:div>
        <w:div w:id="1888180982">
          <w:marLeft w:val="0"/>
          <w:marRight w:val="0"/>
          <w:marTop w:val="0"/>
          <w:marBottom w:val="0"/>
          <w:divBdr>
            <w:top w:val="none" w:sz="0" w:space="0" w:color="auto"/>
            <w:left w:val="none" w:sz="0" w:space="0" w:color="auto"/>
            <w:bottom w:val="none" w:sz="0" w:space="0" w:color="auto"/>
            <w:right w:val="none" w:sz="0" w:space="0" w:color="auto"/>
          </w:divBdr>
          <w:divsChild>
            <w:div w:id="1457673141">
              <w:marLeft w:val="0"/>
              <w:marRight w:val="0"/>
              <w:marTop w:val="0"/>
              <w:marBottom w:val="0"/>
              <w:divBdr>
                <w:top w:val="none" w:sz="0" w:space="0" w:color="auto"/>
                <w:left w:val="none" w:sz="0" w:space="0" w:color="auto"/>
                <w:bottom w:val="none" w:sz="0" w:space="0" w:color="auto"/>
                <w:right w:val="none" w:sz="0" w:space="0" w:color="auto"/>
              </w:divBdr>
            </w:div>
          </w:divsChild>
        </w:div>
        <w:div w:id="2014918664">
          <w:marLeft w:val="0"/>
          <w:marRight w:val="0"/>
          <w:marTop w:val="0"/>
          <w:marBottom w:val="0"/>
          <w:divBdr>
            <w:top w:val="none" w:sz="0" w:space="0" w:color="auto"/>
            <w:left w:val="none" w:sz="0" w:space="0" w:color="auto"/>
            <w:bottom w:val="none" w:sz="0" w:space="0" w:color="auto"/>
            <w:right w:val="none" w:sz="0" w:space="0" w:color="auto"/>
          </w:divBdr>
          <w:divsChild>
            <w:div w:id="15498582">
              <w:marLeft w:val="0"/>
              <w:marRight w:val="0"/>
              <w:marTop w:val="0"/>
              <w:marBottom w:val="0"/>
              <w:divBdr>
                <w:top w:val="none" w:sz="0" w:space="0" w:color="auto"/>
                <w:left w:val="none" w:sz="0" w:space="0" w:color="auto"/>
                <w:bottom w:val="none" w:sz="0" w:space="0" w:color="auto"/>
                <w:right w:val="none" w:sz="0" w:space="0" w:color="auto"/>
              </w:divBdr>
            </w:div>
          </w:divsChild>
        </w:div>
        <w:div w:id="2050062587">
          <w:marLeft w:val="0"/>
          <w:marRight w:val="0"/>
          <w:marTop w:val="0"/>
          <w:marBottom w:val="0"/>
          <w:divBdr>
            <w:top w:val="none" w:sz="0" w:space="0" w:color="auto"/>
            <w:left w:val="none" w:sz="0" w:space="0" w:color="auto"/>
            <w:bottom w:val="none" w:sz="0" w:space="0" w:color="auto"/>
            <w:right w:val="none" w:sz="0" w:space="0" w:color="auto"/>
          </w:divBdr>
          <w:divsChild>
            <w:div w:id="894660746">
              <w:marLeft w:val="0"/>
              <w:marRight w:val="0"/>
              <w:marTop w:val="0"/>
              <w:marBottom w:val="0"/>
              <w:divBdr>
                <w:top w:val="none" w:sz="0" w:space="0" w:color="auto"/>
                <w:left w:val="none" w:sz="0" w:space="0" w:color="auto"/>
                <w:bottom w:val="none" w:sz="0" w:space="0" w:color="auto"/>
                <w:right w:val="none" w:sz="0" w:space="0" w:color="auto"/>
              </w:divBdr>
            </w:div>
          </w:divsChild>
        </w:div>
        <w:div w:id="2119521992">
          <w:marLeft w:val="0"/>
          <w:marRight w:val="0"/>
          <w:marTop w:val="0"/>
          <w:marBottom w:val="0"/>
          <w:divBdr>
            <w:top w:val="none" w:sz="0" w:space="0" w:color="auto"/>
            <w:left w:val="none" w:sz="0" w:space="0" w:color="auto"/>
            <w:bottom w:val="none" w:sz="0" w:space="0" w:color="auto"/>
            <w:right w:val="none" w:sz="0" w:space="0" w:color="auto"/>
          </w:divBdr>
          <w:divsChild>
            <w:div w:id="6578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3822">
      <w:bodyDiv w:val="1"/>
      <w:marLeft w:val="0"/>
      <w:marRight w:val="0"/>
      <w:marTop w:val="0"/>
      <w:marBottom w:val="0"/>
      <w:divBdr>
        <w:top w:val="none" w:sz="0" w:space="0" w:color="auto"/>
        <w:left w:val="none" w:sz="0" w:space="0" w:color="auto"/>
        <w:bottom w:val="none" w:sz="0" w:space="0" w:color="auto"/>
        <w:right w:val="none" w:sz="0" w:space="0" w:color="auto"/>
      </w:divBdr>
    </w:div>
    <w:div w:id="1862939135">
      <w:bodyDiv w:val="1"/>
      <w:marLeft w:val="0"/>
      <w:marRight w:val="0"/>
      <w:marTop w:val="0"/>
      <w:marBottom w:val="0"/>
      <w:divBdr>
        <w:top w:val="none" w:sz="0" w:space="0" w:color="auto"/>
        <w:left w:val="none" w:sz="0" w:space="0" w:color="auto"/>
        <w:bottom w:val="none" w:sz="0" w:space="0" w:color="auto"/>
        <w:right w:val="none" w:sz="0" w:space="0" w:color="auto"/>
      </w:divBdr>
      <w:divsChild>
        <w:div w:id="13461389">
          <w:marLeft w:val="0"/>
          <w:marRight w:val="0"/>
          <w:marTop w:val="0"/>
          <w:marBottom w:val="0"/>
          <w:divBdr>
            <w:top w:val="none" w:sz="0" w:space="0" w:color="auto"/>
            <w:left w:val="none" w:sz="0" w:space="0" w:color="auto"/>
            <w:bottom w:val="none" w:sz="0" w:space="0" w:color="auto"/>
            <w:right w:val="none" w:sz="0" w:space="0" w:color="auto"/>
          </w:divBdr>
          <w:divsChild>
            <w:div w:id="145171568">
              <w:marLeft w:val="0"/>
              <w:marRight w:val="0"/>
              <w:marTop w:val="0"/>
              <w:marBottom w:val="0"/>
              <w:divBdr>
                <w:top w:val="none" w:sz="0" w:space="0" w:color="auto"/>
                <w:left w:val="none" w:sz="0" w:space="0" w:color="auto"/>
                <w:bottom w:val="none" w:sz="0" w:space="0" w:color="auto"/>
                <w:right w:val="none" w:sz="0" w:space="0" w:color="auto"/>
              </w:divBdr>
            </w:div>
          </w:divsChild>
        </w:div>
        <w:div w:id="428157837">
          <w:marLeft w:val="0"/>
          <w:marRight w:val="0"/>
          <w:marTop w:val="0"/>
          <w:marBottom w:val="0"/>
          <w:divBdr>
            <w:top w:val="none" w:sz="0" w:space="0" w:color="auto"/>
            <w:left w:val="none" w:sz="0" w:space="0" w:color="auto"/>
            <w:bottom w:val="none" w:sz="0" w:space="0" w:color="auto"/>
            <w:right w:val="none" w:sz="0" w:space="0" w:color="auto"/>
          </w:divBdr>
          <w:divsChild>
            <w:div w:id="766148514">
              <w:marLeft w:val="0"/>
              <w:marRight w:val="0"/>
              <w:marTop w:val="0"/>
              <w:marBottom w:val="0"/>
              <w:divBdr>
                <w:top w:val="none" w:sz="0" w:space="0" w:color="auto"/>
                <w:left w:val="none" w:sz="0" w:space="0" w:color="auto"/>
                <w:bottom w:val="none" w:sz="0" w:space="0" w:color="auto"/>
                <w:right w:val="none" w:sz="0" w:space="0" w:color="auto"/>
              </w:divBdr>
            </w:div>
          </w:divsChild>
        </w:div>
        <w:div w:id="459108479">
          <w:marLeft w:val="0"/>
          <w:marRight w:val="0"/>
          <w:marTop w:val="0"/>
          <w:marBottom w:val="0"/>
          <w:divBdr>
            <w:top w:val="none" w:sz="0" w:space="0" w:color="auto"/>
            <w:left w:val="none" w:sz="0" w:space="0" w:color="auto"/>
            <w:bottom w:val="none" w:sz="0" w:space="0" w:color="auto"/>
            <w:right w:val="none" w:sz="0" w:space="0" w:color="auto"/>
          </w:divBdr>
          <w:divsChild>
            <w:div w:id="1185481035">
              <w:marLeft w:val="0"/>
              <w:marRight w:val="0"/>
              <w:marTop w:val="0"/>
              <w:marBottom w:val="0"/>
              <w:divBdr>
                <w:top w:val="none" w:sz="0" w:space="0" w:color="auto"/>
                <w:left w:val="none" w:sz="0" w:space="0" w:color="auto"/>
                <w:bottom w:val="none" w:sz="0" w:space="0" w:color="auto"/>
                <w:right w:val="none" w:sz="0" w:space="0" w:color="auto"/>
              </w:divBdr>
            </w:div>
          </w:divsChild>
        </w:div>
        <w:div w:id="711152199">
          <w:marLeft w:val="0"/>
          <w:marRight w:val="0"/>
          <w:marTop w:val="0"/>
          <w:marBottom w:val="0"/>
          <w:divBdr>
            <w:top w:val="none" w:sz="0" w:space="0" w:color="auto"/>
            <w:left w:val="none" w:sz="0" w:space="0" w:color="auto"/>
            <w:bottom w:val="none" w:sz="0" w:space="0" w:color="auto"/>
            <w:right w:val="none" w:sz="0" w:space="0" w:color="auto"/>
          </w:divBdr>
          <w:divsChild>
            <w:div w:id="1807312501">
              <w:marLeft w:val="0"/>
              <w:marRight w:val="0"/>
              <w:marTop w:val="0"/>
              <w:marBottom w:val="0"/>
              <w:divBdr>
                <w:top w:val="none" w:sz="0" w:space="0" w:color="auto"/>
                <w:left w:val="none" w:sz="0" w:space="0" w:color="auto"/>
                <w:bottom w:val="none" w:sz="0" w:space="0" w:color="auto"/>
                <w:right w:val="none" w:sz="0" w:space="0" w:color="auto"/>
              </w:divBdr>
            </w:div>
          </w:divsChild>
        </w:div>
        <w:div w:id="1161041973">
          <w:marLeft w:val="0"/>
          <w:marRight w:val="0"/>
          <w:marTop w:val="0"/>
          <w:marBottom w:val="0"/>
          <w:divBdr>
            <w:top w:val="none" w:sz="0" w:space="0" w:color="auto"/>
            <w:left w:val="none" w:sz="0" w:space="0" w:color="auto"/>
            <w:bottom w:val="none" w:sz="0" w:space="0" w:color="auto"/>
            <w:right w:val="none" w:sz="0" w:space="0" w:color="auto"/>
          </w:divBdr>
          <w:divsChild>
            <w:div w:id="163057827">
              <w:marLeft w:val="0"/>
              <w:marRight w:val="0"/>
              <w:marTop w:val="0"/>
              <w:marBottom w:val="0"/>
              <w:divBdr>
                <w:top w:val="none" w:sz="0" w:space="0" w:color="auto"/>
                <w:left w:val="none" w:sz="0" w:space="0" w:color="auto"/>
                <w:bottom w:val="none" w:sz="0" w:space="0" w:color="auto"/>
                <w:right w:val="none" w:sz="0" w:space="0" w:color="auto"/>
              </w:divBdr>
            </w:div>
          </w:divsChild>
        </w:div>
        <w:div w:id="1227956899">
          <w:marLeft w:val="0"/>
          <w:marRight w:val="0"/>
          <w:marTop w:val="0"/>
          <w:marBottom w:val="0"/>
          <w:divBdr>
            <w:top w:val="none" w:sz="0" w:space="0" w:color="auto"/>
            <w:left w:val="none" w:sz="0" w:space="0" w:color="auto"/>
            <w:bottom w:val="none" w:sz="0" w:space="0" w:color="auto"/>
            <w:right w:val="none" w:sz="0" w:space="0" w:color="auto"/>
          </w:divBdr>
          <w:divsChild>
            <w:div w:id="1078868170">
              <w:marLeft w:val="0"/>
              <w:marRight w:val="0"/>
              <w:marTop w:val="0"/>
              <w:marBottom w:val="0"/>
              <w:divBdr>
                <w:top w:val="none" w:sz="0" w:space="0" w:color="auto"/>
                <w:left w:val="none" w:sz="0" w:space="0" w:color="auto"/>
                <w:bottom w:val="none" w:sz="0" w:space="0" w:color="auto"/>
                <w:right w:val="none" w:sz="0" w:space="0" w:color="auto"/>
              </w:divBdr>
            </w:div>
          </w:divsChild>
        </w:div>
        <w:div w:id="1308361874">
          <w:marLeft w:val="0"/>
          <w:marRight w:val="0"/>
          <w:marTop w:val="0"/>
          <w:marBottom w:val="0"/>
          <w:divBdr>
            <w:top w:val="none" w:sz="0" w:space="0" w:color="auto"/>
            <w:left w:val="none" w:sz="0" w:space="0" w:color="auto"/>
            <w:bottom w:val="none" w:sz="0" w:space="0" w:color="auto"/>
            <w:right w:val="none" w:sz="0" w:space="0" w:color="auto"/>
          </w:divBdr>
          <w:divsChild>
            <w:div w:id="1193615791">
              <w:marLeft w:val="0"/>
              <w:marRight w:val="0"/>
              <w:marTop w:val="0"/>
              <w:marBottom w:val="0"/>
              <w:divBdr>
                <w:top w:val="none" w:sz="0" w:space="0" w:color="auto"/>
                <w:left w:val="none" w:sz="0" w:space="0" w:color="auto"/>
                <w:bottom w:val="none" w:sz="0" w:space="0" w:color="auto"/>
                <w:right w:val="none" w:sz="0" w:space="0" w:color="auto"/>
              </w:divBdr>
            </w:div>
          </w:divsChild>
        </w:div>
        <w:div w:id="1379090641">
          <w:marLeft w:val="0"/>
          <w:marRight w:val="0"/>
          <w:marTop w:val="0"/>
          <w:marBottom w:val="0"/>
          <w:divBdr>
            <w:top w:val="none" w:sz="0" w:space="0" w:color="auto"/>
            <w:left w:val="none" w:sz="0" w:space="0" w:color="auto"/>
            <w:bottom w:val="none" w:sz="0" w:space="0" w:color="auto"/>
            <w:right w:val="none" w:sz="0" w:space="0" w:color="auto"/>
          </w:divBdr>
          <w:divsChild>
            <w:div w:id="1500584026">
              <w:marLeft w:val="0"/>
              <w:marRight w:val="0"/>
              <w:marTop w:val="0"/>
              <w:marBottom w:val="0"/>
              <w:divBdr>
                <w:top w:val="none" w:sz="0" w:space="0" w:color="auto"/>
                <w:left w:val="none" w:sz="0" w:space="0" w:color="auto"/>
                <w:bottom w:val="none" w:sz="0" w:space="0" w:color="auto"/>
                <w:right w:val="none" w:sz="0" w:space="0" w:color="auto"/>
              </w:divBdr>
            </w:div>
          </w:divsChild>
        </w:div>
        <w:div w:id="1391075250">
          <w:marLeft w:val="0"/>
          <w:marRight w:val="0"/>
          <w:marTop w:val="0"/>
          <w:marBottom w:val="0"/>
          <w:divBdr>
            <w:top w:val="none" w:sz="0" w:space="0" w:color="auto"/>
            <w:left w:val="none" w:sz="0" w:space="0" w:color="auto"/>
            <w:bottom w:val="none" w:sz="0" w:space="0" w:color="auto"/>
            <w:right w:val="none" w:sz="0" w:space="0" w:color="auto"/>
          </w:divBdr>
          <w:divsChild>
            <w:div w:id="350230472">
              <w:marLeft w:val="0"/>
              <w:marRight w:val="0"/>
              <w:marTop w:val="0"/>
              <w:marBottom w:val="0"/>
              <w:divBdr>
                <w:top w:val="none" w:sz="0" w:space="0" w:color="auto"/>
                <w:left w:val="none" w:sz="0" w:space="0" w:color="auto"/>
                <w:bottom w:val="none" w:sz="0" w:space="0" w:color="auto"/>
                <w:right w:val="none" w:sz="0" w:space="0" w:color="auto"/>
              </w:divBdr>
            </w:div>
          </w:divsChild>
        </w:div>
        <w:div w:id="1395543297">
          <w:marLeft w:val="0"/>
          <w:marRight w:val="0"/>
          <w:marTop w:val="0"/>
          <w:marBottom w:val="0"/>
          <w:divBdr>
            <w:top w:val="none" w:sz="0" w:space="0" w:color="auto"/>
            <w:left w:val="none" w:sz="0" w:space="0" w:color="auto"/>
            <w:bottom w:val="none" w:sz="0" w:space="0" w:color="auto"/>
            <w:right w:val="none" w:sz="0" w:space="0" w:color="auto"/>
          </w:divBdr>
          <w:divsChild>
            <w:div w:id="1463500903">
              <w:marLeft w:val="0"/>
              <w:marRight w:val="0"/>
              <w:marTop w:val="0"/>
              <w:marBottom w:val="0"/>
              <w:divBdr>
                <w:top w:val="none" w:sz="0" w:space="0" w:color="auto"/>
                <w:left w:val="none" w:sz="0" w:space="0" w:color="auto"/>
                <w:bottom w:val="none" w:sz="0" w:space="0" w:color="auto"/>
                <w:right w:val="none" w:sz="0" w:space="0" w:color="auto"/>
              </w:divBdr>
            </w:div>
          </w:divsChild>
        </w:div>
        <w:div w:id="1557817540">
          <w:marLeft w:val="0"/>
          <w:marRight w:val="0"/>
          <w:marTop w:val="0"/>
          <w:marBottom w:val="0"/>
          <w:divBdr>
            <w:top w:val="none" w:sz="0" w:space="0" w:color="auto"/>
            <w:left w:val="none" w:sz="0" w:space="0" w:color="auto"/>
            <w:bottom w:val="none" w:sz="0" w:space="0" w:color="auto"/>
            <w:right w:val="none" w:sz="0" w:space="0" w:color="auto"/>
          </w:divBdr>
          <w:divsChild>
            <w:div w:id="1045763049">
              <w:marLeft w:val="0"/>
              <w:marRight w:val="0"/>
              <w:marTop w:val="0"/>
              <w:marBottom w:val="0"/>
              <w:divBdr>
                <w:top w:val="none" w:sz="0" w:space="0" w:color="auto"/>
                <w:left w:val="none" w:sz="0" w:space="0" w:color="auto"/>
                <w:bottom w:val="none" w:sz="0" w:space="0" w:color="auto"/>
                <w:right w:val="none" w:sz="0" w:space="0" w:color="auto"/>
              </w:divBdr>
            </w:div>
          </w:divsChild>
        </w:div>
        <w:div w:id="1692605470">
          <w:marLeft w:val="0"/>
          <w:marRight w:val="0"/>
          <w:marTop w:val="0"/>
          <w:marBottom w:val="0"/>
          <w:divBdr>
            <w:top w:val="none" w:sz="0" w:space="0" w:color="auto"/>
            <w:left w:val="none" w:sz="0" w:space="0" w:color="auto"/>
            <w:bottom w:val="none" w:sz="0" w:space="0" w:color="auto"/>
            <w:right w:val="none" w:sz="0" w:space="0" w:color="auto"/>
          </w:divBdr>
          <w:divsChild>
            <w:div w:id="646134444">
              <w:marLeft w:val="0"/>
              <w:marRight w:val="0"/>
              <w:marTop w:val="0"/>
              <w:marBottom w:val="0"/>
              <w:divBdr>
                <w:top w:val="none" w:sz="0" w:space="0" w:color="auto"/>
                <w:left w:val="none" w:sz="0" w:space="0" w:color="auto"/>
                <w:bottom w:val="none" w:sz="0" w:space="0" w:color="auto"/>
                <w:right w:val="none" w:sz="0" w:space="0" w:color="auto"/>
              </w:divBdr>
            </w:div>
          </w:divsChild>
        </w:div>
        <w:div w:id="1783839358">
          <w:marLeft w:val="0"/>
          <w:marRight w:val="0"/>
          <w:marTop w:val="0"/>
          <w:marBottom w:val="0"/>
          <w:divBdr>
            <w:top w:val="none" w:sz="0" w:space="0" w:color="auto"/>
            <w:left w:val="none" w:sz="0" w:space="0" w:color="auto"/>
            <w:bottom w:val="none" w:sz="0" w:space="0" w:color="auto"/>
            <w:right w:val="none" w:sz="0" w:space="0" w:color="auto"/>
          </w:divBdr>
          <w:divsChild>
            <w:div w:id="1330791785">
              <w:marLeft w:val="0"/>
              <w:marRight w:val="0"/>
              <w:marTop w:val="0"/>
              <w:marBottom w:val="0"/>
              <w:divBdr>
                <w:top w:val="none" w:sz="0" w:space="0" w:color="auto"/>
                <w:left w:val="none" w:sz="0" w:space="0" w:color="auto"/>
                <w:bottom w:val="none" w:sz="0" w:space="0" w:color="auto"/>
                <w:right w:val="none" w:sz="0" w:space="0" w:color="auto"/>
              </w:divBdr>
            </w:div>
          </w:divsChild>
        </w:div>
        <w:div w:id="1865362631">
          <w:marLeft w:val="0"/>
          <w:marRight w:val="0"/>
          <w:marTop w:val="0"/>
          <w:marBottom w:val="0"/>
          <w:divBdr>
            <w:top w:val="none" w:sz="0" w:space="0" w:color="auto"/>
            <w:left w:val="none" w:sz="0" w:space="0" w:color="auto"/>
            <w:bottom w:val="none" w:sz="0" w:space="0" w:color="auto"/>
            <w:right w:val="none" w:sz="0" w:space="0" w:color="auto"/>
          </w:divBdr>
          <w:divsChild>
            <w:div w:id="1778941940">
              <w:marLeft w:val="0"/>
              <w:marRight w:val="0"/>
              <w:marTop w:val="0"/>
              <w:marBottom w:val="0"/>
              <w:divBdr>
                <w:top w:val="none" w:sz="0" w:space="0" w:color="auto"/>
                <w:left w:val="none" w:sz="0" w:space="0" w:color="auto"/>
                <w:bottom w:val="none" w:sz="0" w:space="0" w:color="auto"/>
                <w:right w:val="none" w:sz="0" w:space="0" w:color="auto"/>
              </w:divBdr>
            </w:div>
          </w:divsChild>
        </w:div>
        <w:div w:id="1926573895">
          <w:marLeft w:val="0"/>
          <w:marRight w:val="0"/>
          <w:marTop w:val="0"/>
          <w:marBottom w:val="0"/>
          <w:divBdr>
            <w:top w:val="none" w:sz="0" w:space="0" w:color="auto"/>
            <w:left w:val="none" w:sz="0" w:space="0" w:color="auto"/>
            <w:bottom w:val="none" w:sz="0" w:space="0" w:color="auto"/>
            <w:right w:val="none" w:sz="0" w:space="0" w:color="auto"/>
          </w:divBdr>
          <w:divsChild>
            <w:div w:id="410810162">
              <w:marLeft w:val="0"/>
              <w:marRight w:val="0"/>
              <w:marTop w:val="0"/>
              <w:marBottom w:val="0"/>
              <w:divBdr>
                <w:top w:val="none" w:sz="0" w:space="0" w:color="auto"/>
                <w:left w:val="none" w:sz="0" w:space="0" w:color="auto"/>
                <w:bottom w:val="none" w:sz="0" w:space="0" w:color="auto"/>
                <w:right w:val="none" w:sz="0" w:space="0" w:color="auto"/>
              </w:divBdr>
            </w:div>
          </w:divsChild>
        </w:div>
        <w:div w:id="2027519368">
          <w:marLeft w:val="0"/>
          <w:marRight w:val="0"/>
          <w:marTop w:val="0"/>
          <w:marBottom w:val="0"/>
          <w:divBdr>
            <w:top w:val="none" w:sz="0" w:space="0" w:color="auto"/>
            <w:left w:val="none" w:sz="0" w:space="0" w:color="auto"/>
            <w:bottom w:val="none" w:sz="0" w:space="0" w:color="auto"/>
            <w:right w:val="none" w:sz="0" w:space="0" w:color="auto"/>
          </w:divBdr>
          <w:divsChild>
            <w:div w:id="1349018140">
              <w:marLeft w:val="0"/>
              <w:marRight w:val="0"/>
              <w:marTop w:val="0"/>
              <w:marBottom w:val="0"/>
              <w:divBdr>
                <w:top w:val="none" w:sz="0" w:space="0" w:color="auto"/>
                <w:left w:val="none" w:sz="0" w:space="0" w:color="auto"/>
                <w:bottom w:val="none" w:sz="0" w:space="0" w:color="auto"/>
                <w:right w:val="none" w:sz="0" w:space="0" w:color="auto"/>
              </w:divBdr>
            </w:div>
          </w:divsChild>
        </w:div>
        <w:div w:id="2146852487">
          <w:marLeft w:val="0"/>
          <w:marRight w:val="0"/>
          <w:marTop w:val="0"/>
          <w:marBottom w:val="0"/>
          <w:divBdr>
            <w:top w:val="none" w:sz="0" w:space="0" w:color="auto"/>
            <w:left w:val="none" w:sz="0" w:space="0" w:color="auto"/>
            <w:bottom w:val="none" w:sz="0" w:space="0" w:color="auto"/>
            <w:right w:val="none" w:sz="0" w:space="0" w:color="auto"/>
          </w:divBdr>
          <w:divsChild>
            <w:div w:id="10911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7603">
      <w:bodyDiv w:val="1"/>
      <w:marLeft w:val="0"/>
      <w:marRight w:val="0"/>
      <w:marTop w:val="0"/>
      <w:marBottom w:val="0"/>
      <w:divBdr>
        <w:top w:val="none" w:sz="0" w:space="0" w:color="auto"/>
        <w:left w:val="none" w:sz="0" w:space="0" w:color="auto"/>
        <w:bottom w:val="none" w:sz="0" w:space="0" w:color="auto"/>
        <w:right w:val="none" w:sz="0" w:space="0" w:color="auto"/>
      </w:divBdr>
    </w:div>
    <w:div w:id="2037542108">
      <w:bodyDiv w:val="1"/>
      <w:marLeft w:val="0"/>
      <w:marRight w:val="0"/>
      <w:marTop w:val="0"/>
      <w:marBottom w:val="0"/>
      <w:divBdr>
        <w:top w:val="none" w:sz="0" w:space="0" w:color="auto"/>
        <w:left w:val="none" w:sz="0" w:space="0" w:color="auto"/>
        <w:bottom w:val="none" w:sz="0" w:space="0" w:color="auto"/>
        <w:right w:val="none" w:sz="0" w:space="0" w:color="auto"/>
      </w:divBdr>
      <w:divsChild>
        <w:div w:id="118767756">
          <w:marLeft w:val="0"/>
          <w:marRight w:val="0"/>
          <w:marTop w:val="0"/>
          <w:marBottom w:val="0"/>
          <w:divBdr>
            <w:top w:val="none" w:sz="0" w:space="0" w:color="auto"/>
            <w:left w:val="none" w:sz="0" w:space="0" w:color="auto"/>
            <w:bottom w:val="none" w:sz="0" w:space="0" w:color="auto"/>
            <w:right w:val="none" w:sz="0" w:space="0" w:color="auto"/>
          </w:divBdr>
          <w:divsChild>
            <w:div w:id="1769545754">
              <w:marLeft w:val="0"/>
              <w:marRight w:val="0"/>
              <w:marTop w:val="0"/>
              <w:marBottom w:val="0"/>
              <w:divBdr>
                <w:top w:val="none" w:sz="0" w:space="0" w:color="auto"/>
                <w:left w:val="none" w:sz="0" w:space="0" w:color="auto"/>
                <w:bottom w:val="none" w:sz="0" w:space="0" w:color="auto"/>
                <w:right w:val="none" w:sz="0" w:space="0" w:color="auto"/>
              </w:divBdr>
            </w:div>
          </w:divsChild>
        </w:div>
        <w:div w:id="361637307">
          <w:marLeft w:val="0"/>
          <w:marRight w:val="0"/>
          <w:marTop w:val="0"/>
          <w:marBottom w:val="0"/>
          <w:divBdr>
            <w:top w:val="none" w:sz="0" w:space="0" w:color="auto"/>
            <w:left w:val="none" w:sz="0" w:space="0" w:color="auto"/>
            <w:bottom w:val="none" w:sz="0" w:space="0" w:color="auto"/>
            <w:right w:val="none" w:sz="0" w:space="0" w:color="auto"/>
          </w:divBdr>
          <w:divsChild>
            <w:div w:id="2118402393">
              <w:marLeft w:val="0"/>
              <w:marRight w:val="0"/>
              <w:marTop w:val="0"/>
              <w:marBottom w:val="0"/>
              <w:divBdr>
                <w:top w:val="none" w:sz="0" w:space="0" w:color="auto"/>
                <w:left w:val="none" w:sz="0" w:space="0" w:color="auto"/>
                <w:bottom w:val="none" w:sz="0" w:space="0" w:color="auto"/>
                <w:right w:val="none" w:sz="0" w:space="0" w:color="auto"/>
              </w:divBdr>
            </w:div>
          </w:divsChild>
        </w:div>
        <w:div w:id="440537963">
          <w:marLeft w:val="0"/>
          <w:marRight w:val="0"/>
          <w:marTop w:val="0"/>
          <w:marBottom w:val="0"/>
          <w:divBdr>
            <w:top w:val="none" w:sz="0" w:space="0" w:color="auto"/>
            <w:left w:val="none" w:sz="0" w:space="0" w:color="auto"/>
            <w:bottom w:val="none" w:sz="0" w:space="0" w:color="auto"/>
            <w:right w:val="none" w:sz="0" w:space="0" w:color="auto"/>
          </w:divBdr>
          <w:divsChild>
            <w:div w:id="399252206">
              <w:marLeft w:val="0"/>
              <w:marRight w:val="0"/>
              <w:marTop w:val="0"/>
              <w:marBottom w:val="0"/>
              <w:divBdr>
                <w:top w:val="none" w:sz="0" w:space="0" w:color="auto"/>
                <w:left w:val="none" w:sz="0" w:space="0" w:color="auto"/>
                <w:bottom w:val="none" w:sz="0" w:space="0" w:color="auto"/>
                <w:right w:val="none" w:sz="0" w:space="0" w:color="auto"/>
              </w:divBdr>
            </w:div>
          </w:divsChild>
        </w:div>
        <w:div w:id="666983326">
          <w:marLeft w:val="0"/>
          <w:marRight w:val="0"/>
          <w:marTop w:val="0"/>
          <w:marBottom w:val="0"/>
          <w:divBdr>
            <w:top w:val="none" w:sz="0" w:space="0" w:color="auto"/>
            <w:left w:val="none" w:sz="0" w:space="0" w:color="auto"/>
            <w:bottom w:val="none" w:sz="0" w:space="0" w:color="auto"/>
            <w:right w:val="none" w:sz="0" w:space="0" w:color="auto"/>
          </w:divBdr>
          <w:divsChild>
            <w:div w:id="1047680951">
              <w:marLeft w:val="0"/>
              <w:marRight w:val="0"/>
              <w:marTop w:val="0"/>
              <w:marBottom w:val="0"/>
              <w:divBdr>
                <w:top w:val="none" w:sz="0" w:space="0" w:color="auto"/>
                <w:left w:val="none" w:sz="0" w:space="0" w:color="auto"/>
                <w:bottom w:val="none" w:sz="0" w:space="0" w:color="auto"/>
                <w:right w:val="none" w:sz="0" w:space="0" w:color="auto"/>
              </w:divBdr>
            </w:div>
          </w:divsChild>
        </w:div>
        <w:div w:id="1748648547">
          <w:marLeft w:val="0"/>
          <w:marRight w:val="0"/>
          <w:marTop w:val="0"/>
          <w:marBottom w:val="0"/>
          <w:divBdr>
            <w:top w:val="none" w:sz="0" w:space="0" w:color="auto"/>
            <w:left w:val="none" w:sz="0" w:space="0" w:color="auto"/>
            <w:bottom w:val="none" w:sz="0" w:space="0" w:color="auto"/>
            <w:right w:val="none" w:sz="0" w:space="0" w:color="auto"/>
          </w:divBdr>
          <w:divsChild>
            <w:div w:id="1848133466">
              <w:marLeft w:val="0"/>
              <w:marRight w:val="0"/>
              <w:marTop w:val="0"/>
              <w:marBottom w:val="0"/>
              <w:divBdr>
                <w:top w:val="none" w:sz="0" w:space="0" w:color="auto"/>
                <w:left w:val="none" w:sz="0" w:space="0" w:color="auto"/>
                <w:bottom w:val="none" w:sz="0" w:space="0" w:color="auto"/>
                <w:right w:val="none" w:sz="0" w:space="0" w:color="auto"/>
              </w:divBdr>
            </w:div>
          </w:divsChild>
        </w:div>
        <w:div w:id="1900676920">
          <w:marLeft w:val="0"/>
          <w:marRight w:val="0"/>
          <w:marTop w:val="0"/>
          <w:marBottom w:val="0"/>
          <w:divBdr>
            <w:top w:val="none" w:sz="0" w:space="0" w:color="auto"/>
            <w:left w:val="none" w:sz="0" w:space="0" w:color="auto"/>
            <w:bottom w:val="none" w:sz="0" w:space="0" w:color="auto"/>
            <w:right w:val="none" w:sz="0" w:space="0" w:color="auto"/>
          </w:divBdr>
          <w:divsChild>
            <w:div w:id="14022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Dana</dc:creator>
  <cp:lastModifiedBy>Dipali Misal</cp:lastModifiedBy>
  <cp:revision>10</cp:revision>
  <dcterms:created xsi:type="dcterms:W3CDTF">2015-04-08T14:17:00Z</dcterms:created>
  <dcterms:modified xsi:type="dcterms:W3CDTF">2015-05-05T07:45:00Z</dcterms:modified>
</cp:coreProperties>
</file>