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350"/>
        <w:gridCol w:w="2250"/>
        <w:gridCol w:w="1260"/>
        <w:gridCol w:w="1080"/>
        <w:gridCol w:w="1440"/>
        <w:gridCol w:w="1350"/>
        <w:gridCol w:w="2250"/>
      </w:tblGrid>
      <w:tr w:rsidR="00020FD4" w:rsidRPr="00B01545" w:rsidTr="00020FD4">
        <w:trPr>
          <w:tblHeader/>
        </w:trPr>
        <w:tc>
          <w:tcPr>
            <w:tcW w:w="1530" w:type="dxa"/>
            <w:shd w:val="pct10" w:color="auto" w:fill="auto"/>
            <w:vAlign w:val="bottom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01545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1350" w:type="dxa"/>
            <w:shd w:val="pct10" w:color="auto" w:fill="auto"/>
            <w:vAlign w:val="bottom"/>
          </w:tcPr>
          <w:p w:rsidR="00020FD4" w:rsidRPr="00B01545" w:rsidRDefault="00020FD4" w:rsidP="00020FD4">
            <w:pPr>
              <w:pStyle w:val="BodyText11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5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250" w:type="dxa"/>
            <w:shd w:val="pct10" w:color="auto" w:fill="auto"/>
            <w:vAlign w:val="bottom"/>
          </w:tcPr>
          <w:p w:rsidR="00020FD4" w:rsidRPr="00B01545" w:rsidRDefault="00020FD4" w:rsidP="00020FD4">
            <w:pPr>
              <w:pStyle w:val="BodyText11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5">
              <w:rPr>
                <w:rFonts w:ascii="Arial" w:hAnsi="Arial" w:cs="Arial"/>
                <w:b/>
                <w:sz w:val="18"/>
                <w:szCs w:val="18"/>
              </w:rPr>
              <w:t>Major inclusion criteria</w:t>
            </w:r>
          </w:p>
        </w:tc>
        <w:tc>
          <w:tcPr>
            <w:tcW w:w="1260" w:type="dxa"/>
            <w:shd w:val="pct10" w:color="auto" w:fill="auto"/>
            <w:vAlign w:val="bottom"/>
          </w:tcPr>
          <w:p w:rsidR="00020FD4" w:rsidRPr="00B01545" w:rsidRDefault="00020FD4" w:rsidP="00020FD4">
            <w:pPr>
              <w:pStyle w:val="BodyText11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5">
              <w:rPr>
                <w:rFonts w:ascii="Arial" w:hAnsi="Arial" w:cs="Arial"/>
                <w:b/>
                <w:sz w:val="18"/>
                <w:szCs w:val="18"/>
              </w:rPr>
              <w:t>Mean age</w:t>
            </w:r>
          </w:p>
          <w:p w:rsidR="00020FD4" w:rsidRPr="00B01545" w:rsidRDefault="00020FD4" w:rsidP="00020FD4">
            <w:pPr>
              <w:pStyle w:val="BodyText11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5">
              <w:rPr>
                <w:rFonts w:ascii="Arial" w:hAnsi="Arial" w:cs="Arial"/>
                <w:b/>
                <w:sz w:val="18"/>
                <w:szCs w:val="18"/>
              </w:rPr>
              <w:t>% Female</w:t>
            </w:r>
          </w:p>
        </w:tc>
        <w:tc>
          <w:tcPr>
            <w:tcW w:w="1080" w:type="dxa"/>
            <w:shd w:val="pct10" w:color="auto" w:fill="auto"/>
            <w:vAlign w:val="bottom"/>
          </w:tcPr>
          <w:p w:rsidR="00020FD4" w:rsidRPr="00B01545" w:rsidRDefault="00020FD4" w:rsidP="00020FD4">
            <w:pPr>
              <w:pStyle w:val="BodyText11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5">
              <w:rPr>
                <w:rFonts w:ascii="Arial" w:hAnsi="Arial" w:cs="Arial"/>
                <w:b/>
                <w:sz w:val="18"/>
                <w:szCs w:val="18"/>
              </w:rPr>
              <w:t>% Current smoking</w:t>
            </w:r>
          </w:p>
        </w:tc>
        <w:tc>
          <w:tcPr>
            <w:tcW w:w="1440" w:type="dxa"/>
            <w:shd w:val="pct10" w:color="auto" w:fill="auto"/>
            <w:vAlign w:val="bottom"/>
          </w:tcPr>
          <w:p w:rsidR="00020FD4" w:rsidRPr="00B01545" w:rsidRDefault="00020FD4" w:rsidP="00020FD4">
            <w:pPr>
              <w:pStyle w:val="BodyText11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5">
              <w:rPr>
                <w:rFonts w:ascii="Arial" w:hAnsi="Arial" w:cs="Arial"/>
                <w:b/>
                <w:sz w:val="18"/>
                <w:szCs w:val="18"/>
              </w:rPr>
              <w:t>% Family history</w:t>
            </w:r>
          </w:p>
        </w:tc>
        <w:tc>
          <w:tcPr>
            <w:tcW w:w="1350" w:type="dxa"/>
            <w:shd w:val="pct10" w:color="auto" w:fill="auto"/>
            <w:vAlign w:val="bottom"/>
          </w:tcPr>
          <w:p w:rsidR="00020FD4" w:rsidRPr="00B01545" w:rsidRDefault="00020FD4" w:rsidP="00020FD4">
            <w:pPr>
              <w:pStyle w:val="BodyText11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5">
              <w:rPr>
                <w:rFonts w:ascii="Arial" w:hAnsi="Arial" w:cs="Arial"/>
                <w:b/>
                <w:sz w:val="18"/>
                <w:szCs w:val="18"/>
              </w:rPr>
              <w:t>% Diabetes</w:t>
            </w:r>
          </w:p>
        </w:tc>
        <w:tc>
          <w:tcPr>
            <w:tcW w:w="2250" w:type="dxa"/>
            <w:shd w:val="pct10" w:color="auto" w:fill="auto"/>
            <w:vAlign w:val="bottom"/>
          </w:tcPr>
          <w:p w:rsidR="00020FD4" w:rsidRPr="00B01545" w:rsidRDefault="00020FD4" w:rsidP="00020FD4">
            <w:pPr>
              <w:pStyle w:val="BodyText11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5">
              <w:rPr>
                <w:rFonts w:ascii="Arial" w:hAnsi="Arial" w:cs="Arial"/>
                <w:b/>
                <w:sz w:val="18"/>
                <w:szCs w:val="18"/>
              </w:rPr>
              <w:t>% CVD risk factors</w:t>
            </w:r>
          </w:p>
        </w:tc>
      </w:tr>
      <w:tr w:rsidR="00020FD4" w:rsidRPr="00B01545" w:rsidTr="00020FD4">
        <w:trPr>
          <w:trHeight w:val="70"/>
        </w:trPr>
        <w:tc>
          <w:tcPr>
            <w:tcW w:w="1530" w:type="dxa"/>
            <w:vMerge w:val="restart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 xml:space="preserve">Screening vs.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B01545">
              <w:rPr>
                <w:rFonts w:ascii="Arial" w:hAnsi="Arial" w:cs="Arial"/>
                <w:sz w:val="18"/>
                <w:szCs w:val="18"/>
              </w:rPr>
              <w:t>o screening</w:t>
            </w:r>
          </w:p>
        </w:tc>
        <w:tc>
          <w:tcPr>
            <w:tcW w:w="1350" w:type="dxa"/>
          </w:tcPr>
          <w:p w:rsidR="00020FD4" w:rsidRPr="00192938" w:rsidRDefault="00020FD4" w:rsidP="00020FD4">
            <w:pPr>
              <w:pStyle w:val="BodyText111"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MASS, 2002</w:t>
            </w:r>
            <w:r w:rsidRPr="0076464B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2250" w:type="dxa"/>
          </w:tcPr>
          <w:p w:rsidR="00020FD4" w:rsidRPr="00B01545" w:rsidRDefault="00020FD4" w:rsidP="00020FD4">
            <w:pPr>
              <w:pStyle w:val="BodyText111"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Men age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01545">
              <w:rPr>
                <w:rFonts w:ascii="Arial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01545">
              <w:rPr>
                <w:rFonts w:ascii="Arial" w:hAnsi="Arial" w:cs="Arial"/>
                <w:sz w:val="18"/>
                <w:szCs w:val="18"/>
              </w:rPr>
              <w:t>74</w:t>
            </w:r>
            <w:r>
              <w:rPr>
                <w:rFonts w:ascii="Arial" w:hAnsi="Arial" w:cs="Arial"/>
                <w:sz w:val="18"/>
                <w:szCs w:val="18"/>
              </w:rPr>
              <w:t xml:space="preserve"> y</w:t>
            </w:r>
          </w:p>
        </w:tc>
        <w:tc>
          <w:tcPr>
            <w:tcW w:w="126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 xml:space="preserve">69.2 </w:t>
            </w:r>
          </w:p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25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020FD4" w:rsidRPr="00B01545" w:rsidTr="000E2BA8">
        <w:tc>
          <w:tcPr>
            <w:tcW w:w="1530" w:type="dxa"/>
            <w:vMerge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020FD4" w:rsidRPr="00192938" w:rsidRDefault="00020FD4" w:rsidP="00020FD4">
            <w:pPr>
              <w:pStyle w:val="BodyText111"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 xml:space="preserve">Chichester, </w:t>
            </w:r>
            <w:r w:rsidRPr="00192938">
              <w:rPr>
                <w:rFonts w:ascii="Arial" w:hAnsi="Arial" w:cs="Arial"/>
                <w:sz w:val="18"/>
                <w:szCs w:val="18"/>
              </w:rPr>
              <w:t>1995</w:t>
            </w:r>
            <w:r w:rsidRPr="0076464B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2250" w:type="dxa"/>
          </w:tcPr>
          <w:p w:rsidR="00020FD4" w:rsidRPr="00B01545" w:rsidRDefault="00020FD4" w:rsidP="00020FD4">
            <w:pPr>
              <w:pStyle w:val="BodyText111"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Patients age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01545">
              <w:rPr>
                <w:rFonts w:ascii="Arial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01545">
              <w:rPr>
                <w:rFonts w:ascii="Arial" w:hAnsi="Arial" w:cs="Arial"/>
                <w:sz w:val="18"/>
                <w:szCs w:val="18"/>
              </w:rPr>
              <w:t>80 y</w:t>
            </w:r>
          </w:p>
        </w:tc>
        <w:tc>
          <w:tcPr>
            <w:tcW w:w="126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72* </w:t>
            </w:r>
          </w:p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  <w:tc>
          <w:tcPr>
            <w:tcW w:w="108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25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020FD4" w:rsidRPr="00B01545" w:rsidTr="000E2BA8">
        <w:tc>
          <w:tcPr>
            <w:tcW w:w="1530" w:type="dxa"/>
            <w:vMerge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020FD4" w:rsidRPr="00192938" w:rsidRDefault="00020FD4" w:rsidP="00020FD4">
            <w:pPr>
              <w:pStyle w:val="BodyText111"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 xml:space="preserve">Viborg, </w:t>
            </w:r>
            <w:r w:rsidRPr="00192938">
              <w:rPr>
                <w:rFonts w:ascii="Arial" w:hAnsi="Arial" w:cs="Arial"/>
                <w:sz w:val="18"/>
                <w:szCs w:val="18"/>
              </w:rPr>
              <w:t>2005</w:t>
            </w:r>
            <w:r w:rsidRPr="0076464B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250" w:type="dxa"/>
          </w:tcPr>
          <w:p w:rsidR="00020FD4" w:rsidRPr="00B01545" w:rsidRDefault="00020FD4" w:rsidP="00020FD4">
            <w:pPr>
              <w:pStyle w:val="BodyText111"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Men age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01545">
              <w:rPr>
                <w:rFonts w:ascii="Arial" w:hAnsi="Arial" w:cs="Arial"/>
                <w:sz w:val="18"/>
                <w:szCs w:val="18"/>
              </w:rPr>
              <w:t xml:space="preserve"> 64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01545">
              <w:rPr>
                <w:rFonts w:ascii="Arial" w:hAnsi="Arial" w:cs="Arial"/>
                <w:sz w:val="18"/>
                <w:szCs w:val="18"/>
              </w:rPr>
              <w:t xml:space="preserve">73 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B01545">
              <w:rPr>
                <w:rFonts w:ascii="Arial" w:hAnsi="Arial" w:cs="Arial"/>
                <w:sz w:val="18"/>
                <w:szCs w:val="18"/>
              </w:rPr>
              <w:t>who lived in Viborg county</w:t>
            </w:r>
          </w:p>
        </w:tc>
        <w:tc>
          <w:tcPr>
            <w:tcW w:w="126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67.7</w:t>
            </w:r>
          </w:p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25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020FD4" w:rsidRPr="00B01545" w:rsidTr="000E2BA8">
        <w:tc>
          <w:tcPr>
            <w:tcW w:w="1530" w:type="dxa"/>
            <w:vMerge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020FD4" w:rsidRPr="00192938" w:rsidRDefault="00020FD4" w:rsidP="00020FD4">
            <w:pPr>
              <w:pStyle w:val="BodyText111"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estern</w:t>
            </w:r>
            <w:r w:rsidRPr="00B01545">
              <w:rPr>
                <w:rFonts w:ascii="Arial" w:hAnsi="Arial" w:cs="Arial"/>
                <w:sz w:val="18"/>
                <w:szCs w:val="18"/>
              </w:rPr>
              <w:t xml:space="preserve"> Australia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B01545">
              <w:rPr>
                <w:rFonts w:ascii="Arial" w:hAnsi="Arial" w:cs="Arial"/>
                <w:sz w:val="18"/>
                <w:szCs w:val="18"/>
              </w:rPr>
              <w:t>, 2004</w:t>
            </w:r>
            <w:r w:rsidRPr="0076464B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2250" w:type="dxa"/>
          </w:tcPr>
          <w:p w:rsidR="00020FD4" w:rsidRDefault="00020FD4" w:rsidP="00020FD4">
            <w:pPr>
              <w:pStyle w:val="BodyText111"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Men age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01545">
              <w:rPr>
                <w:rFonts w:ascii="Arial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01545">
              <w:rPr>
                <w:rFonts w:ascii="Arial" w:hAnsi="Arial" w:cs="Arial"/>
                <w:sz w:val="18"/>
                <w:szCs w:val="18"/>
              </w:rPr>
              <w:t>79</w:t>
            </w:r>
            <w:r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Pr="00B01545">
              <w:rPr>
                <w:rFonts w:ascii="Arial" w:hAnsi="Arial" w:cs="Arial"/>
                <w:sz w:val="18"/>
                <w:szCs w:val="18"/>
              </w:rPr>
              <w:t xml:space="preserve"> living </w:t>
            </w:r>
          </w:p>
          <w:p w:rsidR="00020FD4" w:rsidRPr="00B01545" w:rsidRDefault="00020FD4" w:rsidP="00020FD4">
            <w:pPr>
              <w:pStyle w:val="BodyText111"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in Perth and surrounding towns</w:t>
            </w:r>
          </w:p>
        </w:tc>
        <w:tc>
          <w:tcPr>
            <w:tcW w:w="126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72.6</w:t>
            </w:r>
          </w:p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25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020FD4" w:rsidRPr="00B01545" w:rsidTr="000E2BA8">
        <w:tc>
          <w:tcPr>
            <w:tcW w:w="1530" w:type="dxa"/>
            <w:vMerge w:val="restart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Screening harms</w:t>
            </w:r>
          </w:p>
        </w:tc>
        <w:tc>
          <w:tcPr>
            <w:tcW w:w="1350" w:type="dxa"/>
          </w:tcPr>
          <w:p w:rsidR="00020FD4" w:rsidRPr="00B01545" w:rsidRDefault="00020FD4" w:rsidP="00020FD4">
            <w:pPr>
              <w:pStyle w:val="BodyText111"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Wanhainen, 2004</w:t>
            </w:r>
            <w:r w:rsidRPr="0076464B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2250" w:type="dxa"/>
          </w:tcPr>
          <w:p w:rsidR="00020FD4" w:rsidRPr="00B01545" w:rsidRDefault="00020FD4" w:rsidP="00020FD4">
            <w:pPr>
              <w:pStyle w:val="BodyText111"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 xml:space="preserve">Men </w:t>
            </w:r>
            <w:r>
              <w:rPr>
                <w:rFonts w:ascii="Arial" w:hAnsi="Arial" w:cs="Arial"/>
                <w:sz w:val="18"/>
                <w:szCs w:val="18"/>
              </w:rPr>
              <w:t>and women ages</w:t>
            </w:r>
            <w:r w:rsidRPr="00B01545">
              <w:rPr>
                <w:rFonts w:ascii="Arial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01545">
              <w:rPr>
                <w:rFonts w:ascii="Arial" w:hAnsi="Arial" w:cs="Arial"/>
                <w:sz w:val="18"/>
                <w:szCs w:val="18"/>
              </w:rPr>
              <w:t xml:space="preserve">75 </w:t>
            </w:r>
            <w:r>
              <w:rPr>
                <w:rFonts w:ascii="Arial" w:hAnsi="Arial" w:cs="Arial"/>
                <w:sz w:val="18"/>
                <w:szCs w:val="18"/>
              </w:rPr>
              <w:t>y with screen-</w:t>
            </w:r>
            <w:r w:rsidRPr="00B01545">
              <w:rPr>
                <w:rFonts w:ascii="Arial" w:hAnsi="Arial" w:cs="Arial"/>
                <w:sz w:val="18"/>
                <w:szCs w:val="18"/>
              </w:rPr>
              <w:t>detected AAA (≥3.0 cm) along with a group of those with a normal scan to act as controls</w:t>
            </w:r>
          </w:p>
        </w:tc>
        <w:tc>
          <w:tcPr>
            <w:tcW w:w="126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71</w:t>
            </w:r>
          </w:p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108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25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020FD4" w:rsidRPr="00B01545" w:rsidTr="000E2BA8">
        <w:tc>
          <w:tcPr>
            <w:tcW w:w="1530" w:type="dxa"/>
            <w:vMerge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020FD4" w:rsidRPr="00192938" w:rsidRDefault="00020FD4" w:rsidP="00020FD4">
            <w:pPr>
              <w:pStyle w:val="BodyText111"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Lucaro</w:t>
            </w:r>
            <w:r w:rsidRPr="00B01545">
              <w:rPr>
                <w:rFonts w:ascii="Arial" w:hAnsi="Arial" w:cs="Arial"/>
                <w:sz w:val="18"/>
                <w:szCs w:val="18"/>
              </w:rPr>
              <w:t xml:space="preserve">tti, </w:t>
            </w:r>
            <w:r w:rsidRPr="00192938">
              <w:rPr>
                <w:rFonts w:ascii="Arial" w:hAnsi="Arial" w:cs="Arial"/>
                <w:sz w:val="18"/>
                <w:szCs w:val="18"/>
              </w:rPr>
              <w:t>1997</w:t>
            </w:r>
            <w:r w:rsidRPr="0076464B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2250" w:type="dxa"/>
          </w:tcPr>
          <w:p w:rsidR="00020FD4" w:rsidRPr="00B01545" w:rsidRDefault="00020FD4" w:rsidP="00020FD4">
            <w:pPr>
              <w:pStyle w:val="BodyText111"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 xml:space="preserve">Men born between 1925 and 1928 living in Gloucestershire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B01545">
              <w:rPr>
                <w:rFonts w:ascii="Arial" w:hAnsi="Arial" w:cs="Arial"/>
                <w:sz w:val="18"/>
                <w:szCs w:val="18"/>
              </w:rPr>
              <w:t xml:space="preserve"> participating in the AAA screening program</w:t>
            </w:r>
          </w:p>
        </w:tc>
        <w:tc>
          <w:tcPr>
            <w:tcW w:w="126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5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250" w:type="dxa"/>
          </w:tcPr>
          <w:p w:rsidR="00020FD4" w:rsidRPr="00B01545" w:rsidRDefault="00020FD4" w:rsidP="00020FD4">
            <w:pPr>
              <w:pStyle w:val="BodyText11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015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020FD4" w:rsidRDefault="00020FD4" w:rsidP="00020FD4">
      <w:pPr>
        <w:rPr>
          <w:rFonts w:ascii="Arial" w:hAnsi="Arial" w:cs="Arial"/>
          <w:sz w:val="18"/>
          <w:szCs w:val="18"/>
        </w:rPr>
      </w:pPr>
      <w:r w:rsidRPr="004A4882">
        <w:rPr>
          <w:rFonts w:ascii="Arial" w:hAnsi="Arial" w:cs="Arial"/>
          <w:sz w:val="18"/>
          <w:szCs w:val="18"/>
        </w:rPr>
        <w:t>*Median</w:t>
      </w:r>
      <w:r>
        <w:rPr>
          <w:rFonts w:ascii="Arial" w:hAnsi="Arial" w:cs="Arial"/>
          <w:sz w:val="18"/>
          <w:szCs w:val="18"/>
        </w:rPr>
        <w:t>.</w:t>
      </w:r>
    </w:p>
    <w:p w:rsidR="00020FD4" w:rsidRPr="004A4882" w:rsidRDefault="00020FD4" w:rsidP="00020FD4">
      <w:pPr>
        <w:rPr>
          <w:rFonts w:ascii="Arial" w:hAnsi="Arial" w:cs="Arial"/>
          <w:sz w:val="18"/>
          <w:szCs w:val="18"/>
        </w:rPr>
      </w:pPr>
    </w:p>
    <w:p w:rsidR="002B1C8A" w:rsidRDefault="00020FD4" w:rsidP="00020FD4">
      <w:r w:rsidRPr="00020FD4">
        <w:rPr>
          <w:rFonts w:ascii="Arial" w:hAnsi="Arial" w:cs="Arial"/>
          <w:b/>
          <w:sz w:val="18"/>
          <w:szCs w:val="18"/>
        </w:rPr>
        <w:t xml:space="preserve">Abbreviations: </w:t>
      </w:r>
      <w:r>
        <w:rPr>
          <w:rFonts w:ascii="Arial" w:hAnsi="Arial" w:cs="Arial"/>
          <w:sz w:val="18"/>
          <w:szCs w:val="18"/>
        </w:rPr>
        <w:t xml:space="preserve">AAA = abdominal aortic aneurysm; MASS = Multicenter Aneurysm Screening Study; </w:t>
      </w:r>
      <w:r w:rsidRPr="009D4E11">
        <w:rPr>
          <w:rFonts w:ascii="Arial" w:hAnsi="Arial" w:cs="Arial"/>
          <w:sz w:val="18"/>
          <w:szCs w:val="18"/>
        </w:rPr>
        <w:t>NR</w:t>
      </w:r>
      <w:r>
        <w:rPr>
          <w:rFonts w:ascii="Arial" w:hAnsi="Arial" w:cs="Arial"/>
          <w:sz w:val="18"/>
          <w:szCs w:val="18"/>
        </w:rPr>
        <w:t xml:space="preserve"> = not reported.</w:t>
      </w:r>
    </w:p>
    <w:sectPr w:rsidR="002B1C8A" w:rsidSect="00020FD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D4" w:rsidRDefault="00020FD4" w:rsidP="00020FD4">
      <w:r>
        <w:separator/>
      </w:r>
    </w:p>
  </w:endnote>
  <w:endnote w:type="continuationSeparator" w:id="0">
    <w:p w:rsidR="00020FD4" w:rsidRDefault="00020FD4" w:rsidP="0002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D4" w:rsidRDefault="00020FD4" w:rsidP="00020FD4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  <w:szCs w:val="16"/>
      </w:rPr>
      <w:t>Screening for Abdominal Aortic Aneurysm</w:t>
    </w:r>
    <w:r w:rsidRPr="000C5B1A">
      <w:rPr>
        <w:rFonts w:ascii="Arial" w:hAnsi="Arial"/>
        <w:sz w:val="16"/>
        <w:szCs w:val="16"/>
      </w:rPr>
      <w:tab/>
    </w:r>
    <w:r w:rsidRPr="000C5B1A">
      <w:rPr>
        <w:rFonts w:ascii="Arial" w:hAnsi="Arial"/>
        <w:sz w:val="16"/>
        <w:szCs w:val="16"/>
      </w:rPr>
      <w:fldChar w:fldCharType="begin"/>
    </w:r>
    <w:r w:rsidRPr="000C5B1A">
      <w:rPr>
        <w:rFonts w:ascii="Arial" w:hAnsi="Arial"/>
        <w:sz w:val="16"/>
        <w:szCs w:val="16"/>
      </w:rPr>
      <w:instrText xml:space="preserve"> PAGE   \* MERGEFORMAT </w:instrText>
    </w:r>
    <w:r w:rsidRPr="000C5B1A">
      <w:rPr>
        <w:rFonts w:ascii="Arial" w:hAnsi="Arial"/>
        <w:sz w:val="16"/>
        <w:szCs w:val="16"/>
      </w:rPr>
      <w:fldChar w:fldCharType="separate"/>
    </w:r>
    <w:r w:rsidR="00BB74D8">
      <w:rPr>
        <w:rFonts w:ascii="Arial" w:hAnsi="Arial"/>
        <w:noProof/>
        <w:sz w:val="16"/>
        <w:szCs w:val="16"/>
      </w:rPr>
      <w:t>119</w:t>
    </w:r>
    <w:r w:rsidRPr="000C5B1A">
      <w:rPr>
        <w:rFonts w:ascii="Arial" w:hAnsi="Arial"/>
        <w:noProof/>
        <w:sz w:val="16"/>
        <w:szCs w:val="16"/>
      </w:rPr>
      <w:fldChar w:fldCharType="end"/>
    </w:r>
    <w:r w:rsidRPr="000C5B1A">
      <w:rPr>
        <w:rFonts w:ascii="Arial" w:hAnsi="Arial"/>
        <w:noProof/>
        <w:sz w:val="16"/>
        <w:szCs w:val="16"/>
      </w:rPr>
      <w:tab/>
      <w:t>Kaiser Permanente Research Affiliates</w:t>
    </w:r>
    <w:r>
      <w:rPr>
        <w:rFonts w:ascii="Arial" w:hAnsi="Arial"/>
        <w:noProof/>
        <w:sz w:val="16"/>
        <w:szCs w:val="16"/>
      </w:rPr>
      <w:t xml:space="preserve">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D4" w:rsidRDefault="00020FD4" w:rsidP="00020FD4">
      <w:r>
        <w:separator/>
      </w:r>
    </w:p>
  </w:footnote>
  <w:footnote w:type="continuationSeparator" w:id="0">
    <w:p w:rsidR="00020FD4" w:rsidRDefault="00020FD4" w:rsidP="00020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D4" w:rsidRDefault="00020FD4">
    <w:pPr>
      <w:pStyle w:val="Header"/>
    </w:pPr>
    <w:r w:rsidRPr="00020FD4">
      <w:rPr>
        <w:rFonts w:ascii="Arial" w:hAnsi="Arial"/>
        <w:b/>
        <w:sz w:val="20"/>
        <w:szCs w:val="20"/>
      </w:rPr>
      <w:t xml:space="preserve">Appendix E </w:t>
    </w:r>
    <w:r w:rsidRPr="004A4882">
      <w:rPr>
        <w:rFonts w:ascii="Arial" w:hAnsi="Arial"/>
        <w:b/>
        <w:sz w:val="20"/>
        <w:szCs w:val="20"/>
      </w:rPr>
      <w:t xml:space="preserve">Table 2. Patient </w:t>
    </w:r>
    <w:r>
      <w:rPr>
        <w:rFonts w:ascii="Arial" w:hAnsi="Arial"/>
        <w:b/>
        <w:sz w:val="20"/>
        <w:szCs w:val="20"/>
      </w:rPr>
      <w:t>C</w:t>
    </w:r>
    <w:r w:rsidRPr="004A4882">
      <w:rPr>
        <w:rFonts w:ascii="Arial" w:hAnsi="Arial"/>
        <w:b/>
        <w:sz w:val="20"/>
        <w:szCs w:val="20"/>
      </w:rPr>
      <w:t xml:space="preserve">haracteristics of </w:t>
    </w:r>
    <w:r>
      <w:rPr>
        <w:rFonts w:ascii="Arial" w:hAnsi="Arial"/>
        <w:b/>
        <w:sz w:val="20"/>
        <w:szCs w:val="20"/>
      </w:rPr>
      <w:t>I</w:t>
    </w:r>
    <w:r w:rsidRPr="004A4882">
      <w:rPr>
        <w:rFonts w:ascii="Arial" w:hAnsi="Arial"/>
        <w:b/>
        <w:sz w:val="20"/>
        <w:szCs w:val="20"/>
      </w:rPr>
      <w:t xml:space="preserve">ncluded </w:t>
    </w:r>
    <w:r w:rsidR="00BB74D8">
      <w:rPr>
        <w:rFonts w:ascii="Arial" w:hAnsi="Arial"/>
        <w:b/>
        <w:sz w:val="20"/>
        <w:szCs w:val="20"/>
      </w:rPr>
      <w:t>O</w:t>
    </w:r>
    <w:r w:rsidR="00BB74D8" w:rsidRPr="00E37B30">
      <w:rPr>
        <w:rFonts w:ascii="Arial" w:hAnsi="Arial"/>
        <w:b/>
        <w:sz w:val="20"/>
        <w:szCs w:val="20"/>
      </w:rPr>
      <w:t>ne-time Screening Studies (KQ</w:t>
    </w:r>
    <w:r w:rsidR="00BB74D8">
      <w:rPr>
        <w:rFonts w:ascii="Arial" w:hAnsi="Arial"/>
        <w:b/>
        <w:sz w:val="20"/>
        <w:szCs w:val="20"/>
      </w:rPr>
      <w:t xml:space="preserve">s </w:t>
    </w:r>
    <w:r w:rsidR="00BB74D8" w:rsidRPr="00E37B30">
      <w:rPr>
        <w:rFonts w:ascii="Arial" w:hAnsi="Arial"/>
        <w:b/>
        <w:sz w:val="20"/>
        <w:szCs w:val="20"/>
      </w:rPr>
      <w:t xml:space="preserve">1 </w:t>
    </w:r>
    <w:r w:rsidR="00BB74D8">
      <w:rPr>
        <w:rFonts w:ascii="Arial" w:hAnsi="Arial"/>
        <w:b/>
        <w:sz w:val="20"/>
        <w:szCs w:val="20"/>
      </w:rPr>
      <w:t xml:space="preserve">and </w:t>
    </w:r>
    <w:r w:rsidR="00BB74D8" w:rsidRPr="00E37B30">
      <w:rPr>
        <w:rFonts w:ascii="Arial" w:hAnsi="Arial"/>
        <w:b/>
        <w:sz w:val="20"/>
        <w:szCs w:val="20"/>
      </w:rPr>
      <w:t>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FD4"/>
    <w:rsid w:val="00020FD4"/>
    <w:rsid w:val="002A1795"/>
    <w:rsid w:val="002B1C8A"/>
    <w:rsid w:val="00412E71"/>
    <w:rsid w:val="006B6342"/>
    <w:rsid w:val="0082725C"/>
    <w:rsid w:val="0085747D"/>
    <w:rsid w:val="009317A8"/>
    <w:rsid w:val="00B913AC"/>
    <w:rsid w:val="00BB74D8"/>
    <w:rsid w:val="00CB5C0F"/>
    <w:rsid w:val="00DA0139"/>
    <w:rsid w:val="00E52A71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D4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ascii="Times New Roman" w:eastAsia="Calibri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020FD4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0FD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FD4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0FD4"/>
    <w:rPr>
      <w:rFonts w:ascii="Times New Roman" w:hAnsi="Times New Roman"/>
      <w:sz w:val="24"/>
      <w:szCs w:val="24"/>
    </w:rPr>
  </w:style>
  <w:style w:type="paragraph" w:customStyle="1" w:styleId="BodyText111">
    <w:name w:val="BodyText111"/>
    <w:basedOn w:val="Normal"/>
    <w:rsid w:val="00020FD4"/>
    <w:pPr>
      <w:spacing w:after="12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Lisa Nicolella</cp:lastModifiedBy>
  <cp:revision>2</cp:revision>
  <dcterms:created xsi:type="dcterms:W3CDTF">2014-01-15T18:34:00Z</dcterms:created>
  <dcterms:modified xsi:type="dcterms:W3CDTF">2014-01-15T19:11:00Z</dcterms:modified>
</cp:coreProperties>
</file>