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7E" w:rsidRDefault="009C387E" w:rsidP="009C387E">
      <w:pPr>
        <w:pStyle w:val="TableTitle"/>
        <w:spacing w:before="0"/>
      </w:pPr>
      <w:proofErr w:type="gramStart"/>
      <w:r>
        <w:t>Table 6.</w:t>
      </w:r>
      <w:proofErr w:type="gramEnd"/>
      <w:r>
        <w:t xml:space="preserve"> Selected </w:t>
      </w:r>
      <w:r w:rsidR="003F00F7">
        <w:t>Instruments Measuring Caregiver Burden or Stress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492"/>
        <w:gridCol w:w="1231"/>
        <w:gridCol w:w="1182"/>
        <w:gridCol w:w="4428"/>
      </w:tblGrid>
      <w:tr w:rsidR="009C387E" w:rsidRPr="001024F4" w:rsidTr="003F00F7">
        <w:trPr>
          <w:cantSplit/>
          <w:tblHeader/>
        </w:trPr>
        <w:tc>
          <w:tcPr>
            <w:tcW w:w="649" w:type="pct"/>
            <w:shd w:val="clear" w:color="auto" w:fill="BFBFBF"/>
          </w:tcPr>
          <w:p w:rsidR="009C387E" w:rsidRPr="001024F4" w:rsidRDefault="009C387E" w:rsidP="009C387E">
            <w:pPr>
              <w:pStyle w:val="BodyText0"/>
              <w:rPr>
                <w:rFonts w:ascii="Arial" w:hAnsi="Arial" w:cs="Arial"/>
                <w:b/>
                <w:bCs/>
                <w:sz w:val="18"/>
                <w:szCs w:val="18"/>
              </w:rPr>
            </w:pPr>
            <w:r w:rsidRPr="001024F4">
              <w:rPr>
                <w:rFonts w:ascii="Arial" w:hAnsi="Arial" w:cs="Arial"/>
                <w:b/>
                <w:bCs/>
                <w:sz w:val="18"/>
                <w:szCs w:val="18"/>
              </w:rPr>
              <w:t>Acronym</w:t>
            </w:r>
          </w:p>
        </w:tc>
        <w:tc>
          <w:tcPr>
            <w:tcW w:w="1422" w:type="pct"/>
            <w:gridSpan w:val="2"/>
            <w:shd w:val="clear" w:color="auto" w:fill="BFBFBF"/>
          </w:tcPr>
          <w:p w:rsidR="009C387E" w:rsidRPr="001024F4" w:rsidRDefault="009C387E" w:rsidP="009C387E">
            <w:pPr>
              <w:pStyle w:val="BodyText0"/>
              <w:rPr>
                <w:rFonts w:ascii="Arial" w:hAnsi="Arial" w:cs="Arial"/>
                <w:b/>
                <w:bCs/>
                <w:sz w:val="18"/>
                <w:szCs w:val="18"/>
              </w:rPr>
            </w:pPr>
            <w:r w:rsidRPr="001024F4">
              <w:rPr>
                <w:rFonts w:ascii="Arial" w:hAnsi="Arial" w:cs="Arial"/>
                <w:b/>
                <w:bCs/>
                <w:sz w:val="18"/>
                <w:szCs w:val="18"/>
              </w:rPr>
              <w:t>Instrument</w:t>
            </w:r>
          </w:p>
        </w:tc>
        <w:tc>
          <w:tcPr>
            <w:tcW w:w="617" w:type="pct"/>
            <w:shd w:val="clear" w:color="auto" w:fill="BFBFBF"/>
          </w:tcPr>
          <w:p w:rsidR="009C387E" w:rsidRPr="001024F4" w:rsidRDefault="009C387E" w:rsidP="009C387E">
            <w:pPr>
              <w:pStyle w:val="BodyText0"/>
              <w:rPr>
                <w:rFonts w:ascii="Arial" w:hAnsi="Arial" w:cs="Arial"/>
                <w:b/>
                <w:bCs/>
                <w:sz w:val="18"/>
                <w:szCs w:val="18"/>
              </w:rPr>
            </w:pPr>
            <w:r w:rsidRPr="001024F4">
              <w:rPr>
                <w:rFonts w:ascii="Arial" w:hAnsi="Arial" w:cs="Arial"/>
                <w:b/>
                <w:bCs/>
                <w:sz w:val="18"/>
                <w:szCs w:val="18"/>
              </w:rPr>
              <w:t>Number of items</w:t>
            </w:r>
          </w:p>
        </w:tc>
        <w:tc>
          <w:tcPr>
            <w:tcW w:w="2312" w:type="pct"/>
            <w:shd w:val="clear" w:color="auto" w:fill="BFBFBF"/>
          </w:tcPr>
          <w:p w:rsidR="009C387E" w:rsidRPr="001024F4" w:rsidRDefault="009C387E" w:rsidP="009C387E">
            <w:pPr>
              <w:pStyle w:val="BodyText0"/>
              <w:rPr>
                <w:rFonts w:ascii="Arial" w:hAnsi="Arial" w:cs="Arial"/>
                <w:b/>
                <w:bCs/>
                <w:sz w:val="18"/>
                <w:szCs w:val="18"/>
              </w:rPr>
            </w:pPr>
            <w:r w:rsidRPr="001024F4">
              <w:rPr>
                <w:rFonts w:ascii="Arial" w:hAnsi="Arial" w:cs="Arial"/>
                <w:b/>
                <w:bCs/>
                <w:sz w:val="18"/>
                <w:szCs w:val="18"/>
              </w:rPr>
              <w:t>Instrument target, range, interpretation</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
                <w:bCs/>
                <w:sz w:val="18"/>
                <w:szCs w:val="18"/>
              </w:rPr>
            </w:pPr>
            <w:r w:rsidRPr="003F00F7">
              <w:rPr>
                <w:rFonts w:ascii="Arial" w:hAnsi="Arial" w:cs="Arial"/>
                <w:bCs/>
                <w:sz w:val="18"/>
                <w:szCs w:val="18"/>
              </w:rPr>
              <w:t>(</w:t>
            </w:r>
            <w:r w:rsidRPr="001024F4">
              <w:rPr>
                <w:rFonts w:ascii="Arial" w:hAnsi="Arial" w:cs="Arial"/>
                <w:bCs/>
                <w:sz w:val="18"/>
                <w:szCs w:val="18"/>
              </w:rPr>
              <w:t>none</w:t>
            </w:r>
            <w:r w:rsidRPr="003F00F7">
              <w:rPr>
                <w:rFonts w:ascii="Arial" w:hAnsi="Arial" w:cs="Arial"/>
                <w:bCs/>
                <w:sz w:val="18"/>
                <w:szCs w:val="18"/>
              </w:rPr>
              <w:t>)</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Behavior upset</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17</w:t>
            </w: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Caregiver upset related to patient’s performance of 8 ADLs and 9 IADLs.</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Range 0 (no upset) to 4 (extreme upset), summary score is average Higher=worse (more upset)</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CBI</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Caregiver Burden Inventory</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24</w:t>
            </w: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Caregiver burden related to time/dependency, development, physical health, emotional health, social relationships of caregivers</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Range 0-96</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≥36=worse (greater need for respite and other services)</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CHS</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Caregiving Hassle Scale</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41</w:t>
            </w: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Degree of stress/upset/hassle associated with patient’s symptoms; range 0-123, higher scores indicate greater stress</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CNI (aka NPI, Caregiver portion)</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Caregiver Neuropsychiatric Inventory</w:t>
            </w:r>
          </w:p>
        </w:tc>
        <w:tc>
          <w:tcPr>
            <w:tcW w:w="617" w:type="pct"/>
            <w:shd w:val="clear" w:color="auto" w:fill="auto"/>
          </w:tcPr>
          <w:p w:rsidR="009C387E" w:rsidRPr="001024F4" w:rsidRDefault="009C387E" w:rsidP="009C387E">
            <w:pPr>
              <w:pStyle w:val="BodyText0"/>
              <w:rPr>
                <w:rFonts w:ascii="Arial" w:hAnsi="Arial" w:cs="Arial"/>
                <w:bCs/>
                <w:sz w:val="18"/>
                <w:szCs w:val="18"/>
                <w:highlight w:val="yellow"/>
              </w:rPr>
            </w:pPr>
            <w:r w:rsidRPr="001024F4">
              <w:rPr>
                <w:rFonts w:ascii="Arial" w:hAnsi="Arial" w:cs="Arial"/>
                <w:bCs/>
                <w:sz w:val="18"/>
                <w:szCs w:val="18"/>
              </w:rPr>
              <w:t>Covers 10 symptom domains (unclear on the number of items)</w:t>
            </w: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Caregiver distress related to patient’s neuropsychiatric symptoms; range 0-60, higher score associated with worse symptoms</w:t>
            </w:r>
          </w:p>
          <w:p w:rsidR="009C387E" w:rsidRPr="001024F4" w:rsidRDefault="009C387E" w:rsidP="009C387E">
            <w:pPr>
              <w:pStyle w:val="BodyText0"/>
              <w:jc w:val="left"/>
              <w:rPr>
                <w:rFonts w:ascii="Arial" w:hAnsi="Arial" w:cs="Arial"/>
                <w:bCs/>
                <w:sz w:val="18"/>
                <w:szCs w:val="18"/>
              </w:rPr>
            </w:pPr>
          </w:p>
          <w:p w:rsidR="009C387E" w:rsidRPr="001024F4" w:rsidRDefault="009C387E" w:rsidP="009C387E">
            <w:pPr>
              <w:pStyle w:val="BodyText0"/>
              <w:jc w:val="left"/>
              <w:rPr>
                <w:rFonts w:ascii="Arial" w:hAnsi="Arial" w:cs="Arial"/>
                <w:bCs/>
                <w:sz w:val="18"/>
                <w:szCs w:val="18"/>
              </w:rPr>
            </w:pPr>
            <w:r w:rsidRPr="001024F4">
              <w:rPr>
                <w:rFonts w:ascii="Arial" w:hAnsi="Arial" w:cs="Arial"/>
                <w:sz w:val="18"/>
                <w:szCs w:val="18"/>
              </w:rPr>
              <w:t>After rating the frequency and severity of each symptom domain of the NPI, caregivers were asked to rate the emotional or psychological distress they experienced in relation to that symptom on a 6-point scale: 0 (Not at all distressing), 1 (Minimally distressing), 2 (Mildly distressing), 3 (Moderately distressing), 4 (Severely distressing), and 5 (Very Severely or Extremely distressing). Specific anchoring definitions for each scale item are included to enhance internal consistency and reliability.</w:t>
            </w:r>
          </w:p>
        </w:tc>
      </w:tr>
      <w:tr w:rsidR="009C387E" w:rsidRPr="001024F4" w:rsidTr="003F00F7">
        <w:trPr>
          <w:cantSplit/>
        </w:trPr>
        <w:tc>
          <w:tcPr>
            <w:tcW w:w="649" w:type="pct"/>
            <w:vMerge w:val="restar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CRA</w:t>
            </w:r>
          </w:p>
        </w:tc>
        <w:tc>
          <w:tcPr>
            <w:tcW w:w="779" w:type="pct"/>
            <w:vMerge w:val="restar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Caregiver Reaction Assessment</w:t>
            </w:r>
          </w:p>
        </w:tc>
        <w:tc>
          <w:tcPr>
            <w:tcW w:w="643"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Disrupted Time</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5</w:t>
            </w:r>
          </w:p>
        </w:tc>
        <w:tc>
          <w:tcPr>
            <w:tcW w:w="2312" w:type="pct"/>
            <w:vMerge w:val="restar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Burden related to disrupted time (range 5-25), financial problems (range 3-15), lack of family support (range 5-25), health problems (range 4-20), and self-esteem (range 7-35)</w:t>
            </w:r>
          </w:p>
          <w:p w:rsidR="009C387E" w:rsidRPr="001024F4" w:rsidRDefault="009C387E" w:rsidP="009C387E">
            <w:pPr>
              <w:pStyle w:val="BodyText0"/>
              <w:jc w:val="left"/>
              <w:rPr>
                <w:rFonts w:ascii="Arial" w:hAnsi="Arial" w:cs="Arial"/>
                <w:bCs/>
                <w:sz w:val="18"/>
                <w:szCs w:val="18"/>
              </w:rPr>
            </w:pP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 xml:space="preserve">5-point </w:t>
            </w:r>
            <w:proofErr w:type="spellStart"/>
            <w:r w:rsidRPr="001024F4">
              <w:rPr>
                <w:rFonts w:ascii="Arial" w:hAnsi="Arial" w:cs="Arial"/>
                <w:bCs/>
                <w:sz w:val="18"/>
                <w:szCs w:val="18"/>
              </w:rPr>
              <w:t>Likert</w:t>
            </w:r>
            <w:proofErr w:type="spellEnd"/>
            <w:r w:rsidRPr="001024F4">
              <w:rPr>
                <w:rFonts w:ascii="Arial" w:hAnsi="Arial" w:cs="Arial"/>
                <w:bCs/>
                <w:sz w:val="18"/>
                <w:szCs w:val="18"/>
              </w:rPr>
              <w:t>-type response options, ranging from strongly agree to strongly disagree (1=strongly agree, 5=strongly disagree)</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Higher=worse (greater burden)</w:t>
            </w:r>
          </w:p>
        </w:tc>
      </w:tr>
      <w:tr w:rsidR="009C387E" w:rsidRPr="001024F4" w:rsidTr="003F00F7">
        <w:trPr>
          <w:cantSplit/>
        </w:trPr>
        <w:tc>
          <w:tcPr>
            <w:tcW w:w="649" w:type="pct"/>
            <w:vMerge/>
            <w:shd w:val="clear" w:color="auto" w:fill="auto"/>
          </w:tcPr>
          <w:p w:rsidR="009C387E" w:rsidRPr="001024F4" w:rsidRDefault="009C387E" w:rsidP="009C387E">
            <w:pPr>
              <w:pStyle w:val="BodyText0"/>
              <w:jc w:val="left"/>
              <w:rPr>
                <w:rFonts w:ascii="Arial" w:hAnsi="Arial" w:cs="Arial"/>
                <w:bCs/>
                <w:sz w:val="18"/>
                <w:szCs w:val="18"/>
              </w:rPr>
            </w:pPr>
          </w:p>
        </w:tc>
        <w:tc>
          <w:tcPr>
            <w:tcW w:w="779" w:type="pct"/>
            <w:vMerge/>
            <w:shd w:val="clear" w:color="auto" w:fill="auto"/>
          </w:tcPr>
          <w:p w:rsidR="009C387E" w:rsidRPr="001024F4" w:rsidRDefault="009C387E" w:rsidP="009C387E">
            <w:pPr>
              <w:pStyle w:val="BodyText0"/>
              <w:jc w:val="left"/>
              <w:rPr>
                <w:rFonts w:ascii="Arial" w:hAnsi="Arial" w:cs="Arial"/>
                <w:bCs/>
                <w:sz w:val="18"/>
                <w:szCs w:val="18"/>
              </w:rPr>
            </w:pPr>
          </w:p>
        </w:tc>
        <w:tc>
          <w:tcPr>
            <w:tcW w:w="643"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Financial Problems</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3</w:t>
            </w:r>
          </w:p>
        </w:tc>
        <w:tc>
          <w:tcPr>
            <w:tcW w:w="2312" w:type="pct"/>
            <w:vMerge/>
            <w:shd w:val="clear" w:color="auto" w:fill="auto"/>
            <w:vAlign w:val="center"/>
          </w:tcPr>
          <w:p w:rsidR="009C387E" w:rsidRPr="001024F4" w:rsidRDefault="009C387E" w:rsidP="009C387E">
            <w:pPr>
              <w:pStyle w:val="BodyText0"/>
              <w:jc w:val="left"/>
              <w:rPr>
                <w:rFonts w:ascii="Arial" w:hAnsi="Arial" w:cs="Arial"/>
                <w:bCs/>
                <w:sz w:val="18"/>
                <w:szCs w:val="18"/>
              </w:rPr>
            </w:pPr>
          </w:p>
        </w:tc>
      </w:tr>
      <w:tr w:rsidR="009C387E" w:rsidRPr="001024F4" w:rsidTr="003F00F7">
        <w:trPr>
          <w:cantSplit/>
        </w:trPr>
        <w:tc>
          <w:tcPr>
            <w:tcW w:w="649" w:type="pct"/>
            <w:vMerge/>
            <w:shd w:val="clear" w:color="auto" w:fill="auto"/>
          </w:tcPr>
          <w:p w:rsidR="009C387E" w:rsidRPr="001024F4" w:rsidRDefault="009C387E" w:rsidP="009C387E">
            <w:pPr>
              <w:pStyle w:val="BodyText0"/>
              <w:jc w:val="left"/>
              <w:rPr>
                <w:rFonts w:ascii="Arial" w:hAnsi="Arial" w:cs="Arial"/>
                <w:bCs/>
                <w:sz w:val="18"/>
                <w:szCs w:val="18"/>
              </w:rPr>
            </w:pPr>
          </w:p>
        </w:tc>
        <w:tc>
          <w:tcPr>
            <w:tcW w:w="779" w:type="pct"/>
            <w:vMerge/>
            <w:shd w:val="clear" w:color="auto" w:fill="auto"/>
          </w:tcPr>
          <w:p w:rsidR="009C387E" w:rsidRPr="001024F4" w:rsidRDefault="009C387E" w:rsidP="009C387E">
            <w:pPr>
              <w:pStyle w:val="BodyText0"/>
              <w:jc w:val="left"/>
              <w:rPr>
                <w:rFonts w:ascii="Arial" w:hAnsi="Arial" w:cs="Arial"/>
                <w:bCs/>
                <w:sz w:val="18"/>
                <w:szCs w:val="18"/>
              </w:rPr>
            </w:pPr>
          </w:p>
        </w:tc>
        <w:tc>
          <w:tcPr>
            <w:tcW w:w="643"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Lack of family support</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5</w:t>
            </w:r>
          </w:p>
        </w:tc>
        <w:tc>
          <w:tcPr>
            <w:tcW w:w="2312" w:type="pct"/>
            <w:vMerge/>
            <w:shd w:val="clear" w:color="auto" w:fill="auto"/>
            <w:vAlign w:val="center"/>
          </w:tcPr>
          <w:p w:rsidR="009C387E" w:rsidRPr="001024F4" w:rsidRDefault="009C387E" w:rsidP="009C387E">
            <w:pPr>
              <w:pStyle w:val="BodyText0"/>
              <w:jc w:val="left"/>
              <w:rPr>
                <w:rFonts w:ascii="Arial" w:hAnsi="Arial" w:cs="Arial"/>
                <w:bCs/>
                <w:sz w:val="18"/>
                <w:szCs w:val="18"/>
              </w:rPr>
            </w:pPr>
          </w:p>
        </w:tc>
      </w:tr>
      <w:tr w:rsidR="009C387E" w:rsidRPr="001024F4" w:rsidTr="003F00F7">
        <w:trPr>
          <w:cantSplit/>
        </w:trPr>
        <w:tc>
          <w:tcPr>
            <w:tcW w:w="649" w:type="pct"/>
            <w:vMerge/>
            <w:shd w:val="clear" w:color="auto" w:fill="auto"/>
          </w:tcPr>
          <w:p w:rsidR="009C387E" w:rsidRPr="001024F4" w:rsidRDefault="009C387E" w:rsidP="009C387E">
            <w:pPr>
              <w:pStyle w:val="BodyText0"/>
              <w:jc w:val="left"/>
              <w:rPr>
                <w:rFonts w:ascii="Arial" w:hAnsi="Arial" w:cs="Arial"/>
                <w:bCs/>
                <w:sz w:val="18"/>
                <w:szCs w:val="18"/>
              </w:rPr>
            </w:pPr>
          </w:p>
        </w:tc>
        <w:tc>
          <w:tcPr>
            <w:tcW w:w="779" w:type="pct"/>
            <w:vMerge/>
            <w:shd w:val="clear" w:color="auto" w:fill="auto"/>
          </w:tcPr>
          <w:p w:rsidR="009C387E" w:rsidRPr="001024F4" w:rsidRDefault="009C387E" w:rsidP="009C387E">
            <w:pPr>
              <w:pStyle w:val="BodyText0"/>
              <w:jc w:val="left"/>
              <w:rPr>
                <w:rFonts w:ascii="Arial" w:hAnsi="Arial" w:cs="Arial"/>
                <w:bCs/>
                <w:sz w:val="18"/>
                <w:szCs w:val="18"/>
              </w:rPr>
            </w:pPr>
          </w:p>
        </w:tc>
        <w:tc>
          <w:tcPr>
            <w:tcW w:w="643"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Health problems</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4</w:t>
            </w:r>
          </w:p>
        </w:tc>
        <w:tc>
          <w:tcPr>
            <w:tcW w:w="2312" w:type="pct"/>
            <w:vMerge/>
            <w:shd w:val="clear" w:color="auto" w:fill="auto"/>
            <w:vAlign w:val="center"/>
          </w:tcPr>
          <w:p w:rsidR="009C387E" w:rsidRPr="001024F4" w:rsidRDefault="009C387E" w:rsidP="009C387E">
            <w:pPr>
              <w:pStyle w:val="BodyText0"/>
              <w:jc w:val="left"/>
              <w:rPr>
                <w:rFonts w:ascii="Arial" w:hAnsi="Arial" w:cs="Arial"/>
                <w:bCs/>
                <w:sz w:val="18"/>
                <w:szCs w:val="18"/>
              </w:rPr>
            </w:pPr>
          </w:p>
        </w:tc>
      </w:tr>
      <w:tr w:rsidR="009C387E" w:rsidRPr="001024F4" w:rsidTr="003F00F7">
        <w:trPr>
          <w:cantSplit/>
        </w:trPr>
        <w:tc>
          <w:tcPr>
            <w:tcW w:w="649" w:type="pct"/>
            <w:vMerge/>
            <w:shd w:val="clear" w:color="auto" w:fill="auto"/>
          </w:tcPr>
          <w:p w:rsidR="009C387E" w:rsidRPr="001024F4" w:rsidRDefault="009C387E" w:rsidP="009C387E">
            <w:pPr>
              <w:pStyle w:val="BodyText0"/>
              <w:jc w:val="left"/>
              <w:rPr>
                <w:rFonts w:ascii="Arial" w:hAnsi="Arial" w:cs="Arial"/>
                <w:bCs/>
                <w:sz w:val="18"/>
                <w:szCs w:val="18"/>
              </w:rPr>
            </w:pPr>
          </w:p>
        </w:tc>
        <w:tc>
          <w:tcPr>
            <w:tcW w:w="779" w:type="pct"/>
            <w:vMerge/>
            <w:shd w:val="clear" w:color="auto" w:fill="auto"/>
          </w:tcPr>
          <w:p w:rsidR="009C387E" w:rsidRPr="001024F4" w:rsidRDefault="009C387E" w:rsidP="009C387E">
            <w:pPr>
              <w:pStyle w:val="BodyText0"/>
              <w:jc w:val="left"/>
              <w:rPr>
                <w:rFonts w:ascii="Arial" w:hAnsi="Arial" w:cs="Arial"/>
                <w:bCs/>
                <w:sz w:val="18"/>
                <w:szCs w:val="18"/>
              </w:rPr>
            </w:pPr>
          </w:p>
        </w:tc>
        <w:tc>
          <w:tcPr>
            <w:tcW w:w="643"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Self-esteem</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7</w:t>
            </w:r>
          </w:p>
        </w:tc>
        <w:tc>
          <w:tcPr>
            <w:tcW w:w="2312" w:type="pct"/>
            <w:vMerge/>
            <w:shd w:val="clear" w:color="auto" w:fill="auto"/>
            <w:vAlign w:val="center"/>
          </w:tcPr>
          <w:p w:rsidR="009C387E" w:rsidRPr="001024F4" w:rsidRDefault="009C387E" w:rsidP="009C387E">
            <w:pPr>
              <w:pStyle w:val="BodyText0"/>
              <w:jc w:val="left"/>
              <w:rPr>
                <w:rFonts w:ascii="Arial" w:hAnsi="Arial" w:cs="Arial"/>
                <w:bCs/>
                <w:sz w:val="18"/>
                <w:szCs w:val="18"/>
              </w:rPr>
            </w:pP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ICS</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Impact of Caregiving Scale</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unknown</w:t>
            </w: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 xml:space="preserve">Respondents evaluate burden on a </w:t>
            </w:r>
            <w:proofErr w:type="spellStart"/>
            <w:r w:rsidRPr="001024F4">
              <w:rPr>
                <w:rFonts w:ascii="Arial" w:hAnsi="Arial" w:cs="Arial"/>
                <w:bCs/>
                <w:sz w:val="18"/>
                <w:szCs w:val="18"/>
              </w:rPr>
              <w:t>Likert</w:t>
            </w:r>
            <w:proofErr w:type="spellEnd"/>
            <w:r w:rsidRPr="001024F4">
              <w:rPr>
                <w:rFonts w:ascii="Arial" w:hAnsi="Arial" w:cs="Arial"/>
                <w:bCs/>
                <w:sz w:val="18"/>
                <w:szCs w:val="18"/>
              </w:rPr>
              <w:t xml:space="preserve"> scale arising from 4 domains: emotions, social relationships, family relationships, and physical health. Item responses are summed to obtain scores on each subscale, with higher scores indicating greater burden.</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RMBPC</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Revised Memory and Behavioral Problems Checklist</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24</w:t>
            </w:r>
          </w:p>
          <w:p w:rsidR="009C387E" w:rsidRPr="001024F4" w:rsidRDefault="009C387E" w:rsidP="009C387E">
            <w:pPr>
              <w:pStyle w:val="BodyText0"/>
              <w:rPr>
                <w:rFonts w:ascii="Arial" w:hAnsi="Arial" w:cs="Arial"/>
                <w:bCs/>
                <w:sz w:val="18"/>
                <w:szCs w:val="18"/>
              </w:rPr>
            </w:pP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Degree caregiver is bothered by 24 specific patient behaviors</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Range for total caregiver bother: 0-96</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Range for disruption subscale: 0-32</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Interpretation not described; higher=worse (greater bother related to patient behavior)</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Sometimes average “bother” score is calculated for endorsed behaviors, range 0 (not at all) to 4 (extremely)</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highlight w:val="yellow"/>
              </w:rPr>
            </w:pPr>
            <w:r w:rsidRPr="001024F4">
              <w:rPr>
                <w:rFonts w:ascii="Arial" w:hAnsi="Arial" w:cs="Arial"/>
                <w:bCs/>
                <w:sz w:val="18"/>
                <w:szCs w:val="18"/>
              </w:rPr>
              <w:t>RSS</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Relative’s Stress Scale</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15</w:t>
            </w: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Caregiver stress; range 0-60, &gt;23=moderate to high burden</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lastRenderedPageBreak/>
              <w:t>SCB</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Screen for Caregiver Burden</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25</w:t>
            </w: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Measure subjective and objective burden in caregivers of dementia patients.</w:t>
            </w:r>
          </w:p>
          <w:p w:rsidR="009C387E" w:rsidRPr="001024F4" w:rsidRDefault="009C387E" w:rsidP="009C387E">
            <w:pPr>
              <w:pStyle w:val="BodyText0"/>
              <w:jc w:val="left"/>
              <w:rPr>
                <w:rFonts w:ascii="Arial" w:hAnsi="Arial" w:cs="Arial"/>
                <w:bCs/>
                <w:sz w:val="18"/>
                <w:szCs w:val="18"/>
              </w:rPr>
            </w:pP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25 items for which the caregiver responded with 0=no occurrence of the experience, 1=occurrence of the experience with no distress, 2= occurrence with mild distress, 3= occurrence with moderate distress</w:t>
            </w:r>
            <w:proofErr w:type="gramStart"/>
            <w:r w:rsidRPr="001024F4">
              <w:rPr>
                <w:rFonts w:ascii="Arial" w:hAnsi="Arial" w:cs="Arial"/>
                <w:bCs/>
                <w:sz w:val="18"/>
                <w:szCs w:val="18"/>
              </w:rPr>
              <w:t>,4</w:t>
            </w:r>
            <w:proofErr w:type="gramEnd"/>
            <w:r w:rsidRPr="001024F4">
              <w:rPr>
                <w:rFonts w:ascii="Arial" w:hAnsi="Arial" w:cs="Arial"/>
                <w:bCs/>
                <w:sz w:val="18"/>
                <w:szCs w:val="18"/>
              </w:rPr>
              <w:t xml:space="preserve">=occurrence with severe distress. For objective burden, each item is scored as 0 (did not occur) or 1 (did occur). For subjective burden, the anchor points are 1 (no occurrence or occurrence with no distress), 2 (mild distress), 3 (moderate distress), 4 (severe distress). For objective burden, scores would range between 0 and 100. For subjective distress, scores would range </w:t>
            </w:r>
            <w:proofErr w:type="gramStart"/>
            <w:r w:rsidRPr="001024F4">
              <w:rPr>
                <w:rFonts w:ascii="Arial" w:hAnsi="Arial" w:cs="Arial"/>
                <w:bCs/>
                <w:sz w:val="18"/>
                <w:szCs w:val="18"/>
              </w:rPr>
              <w:t>between 25-100</w:t>
            </w:r>
            <w:proofErr w:type="gramEnd"/>
            <w:r w:rsidRPr="001024F4">
              <w:rPr>
                <w:rFonts w:ascii="Arial" w:hAnsi="Arial" w:cs="Arial"/>
                <w:bCs/>
                <w:sz w:val="18"/>
                <w:szCs w:val="18"/>
              </w:rPr>
              <w:t>.</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SPPIC</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Self-Perceived Pressure by Informal Care</w:t>
            </w:r>
          </w:p>
        </w:tc>
        <w:tc>
          <w:tcPr>
            <w:tcW w:w="617" w:type="pct"/>
            <w:shd w:val="clear" w:color="auto" w:fill="auto"/>
          </w:tcPr>
          <w:p w:rsidR="009C387E" w:rsidRPr="001024F4" w:rsidRDefault="009C387E" w:rsidP="009C387E">
            <w:pPr>
              <w:pStyle w:val="BodyText0"/>
              <w:rPr>
                <w:rFonts w:ascii="Arial" w:hAnsi="Arial" w:cs="Arial"/>
                <w:bCs/>
                <w:sz w:val="18"/>
                <w:szCs w:val="18"/>
              </w:rPr>
            </w:pP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Burden; range 0-9, high=worse (greater burden)</w:t>
            </w:r>
          </w:p>
        </w:tc>
      </w:tr>
      <w:tr w:rsidR="009C387E" w:rsidRPr="001024F4" w:rsidTr="003F00F7">
        <w:trPr>
          <w:cantSplit/>
        </w:trPr>
        <w:tc>
          <w:tcPr>
            <w:tcW w:w="649" w:type="pct"/>
            <w:shd w:val="clear" w:color="auto" w:fill="auto"/>
          </w:tcPr>
          <w:p w:rsidR="009C387E" w:rsidRPr="001024F4" w:rsidRDefault="009C387E" w:rsidP="009C387E">
            <w:pPr>
              <w:pStyle w:val="BodyText0"/>
              <w:jc w:val="left"/>
              <w:rPr>
                <w:rFonts w:ascii="Arial" w:hAnsi="Arial" w:cs="Arial"/>
                <w:bCs/>
                <w:sz w:val="18"/>
                <w:szCs w:val="18"/>
              </w:rPr>
            </w:pPr>
            <w:proofErr w:type="spellStart"/>
            <w:r w:rsidRPr="001024F4">
              <w:rPr>
                <w:rFonts w:ascii="Arial" w:hAnsi="Arial" w:cs="Arial"/>
                <w:bCs/>
                <w:sz w:val="18"/>
                <w:szCs w:val="18"/>
              </w:rPr>
              <w:t>Zarit</w:t>
            </w:r>
            <w:proofErr w:type="spellEnd"/>
            <w:r w:rsidRPr="001024F4">
              <w:rPr>
                <w:rFonts w:ascii="Arial" w:hAnsi="Arial" w:cs="Arial"/>
                <w:bCs/>
                <w:sz w:val="18"/>
                <w:szCs w:val="18"/>
              </w:rPr>
              <w:t xml:space="preserve"> CBI, </w:t>
            </w:r>
            <w:proofErr w:type="spellStart"/>
            <w:r w:rsidRPr="001024F4">
              <w:rPr>
                <w:rFonts w:ascii="Arial" w:hAnsi="Arial" w:cs="Arial"/>
                <w:bCs/>
                <w:sz w:val="18"/>
                <w:szCs w:val="18"/>
              </w:rPr>
              <w:t>Zarit</w:t>
            </w:r>
            <w:proofErr w:type="spellEnd"/>
            <w:r w:rsidRPr="001024F4">
              <w:rPr>
                <w:rFonts w:ascii="Arial" w:hAnsi="Arial" w:cs="Arial"/>
                <w:bCs/>
                <w:sz w:val="18"/>
                <w:szCs w:val="18"/>
              </w:rPr>
              <w:t xml:space="preserve"> CBI-12</w:t>
            </w:r>
          </w:p>
        </w:tc>
        <w:tc>
          <w:tcPr>
            <w:tcW w:w="1422" w:type="pct"/>
            <w:gridSpan w:val="2"/>
            <w:shd w:val="clear" w:color="auto" w:fill="auto"/>
          </w:tcPr>
          <w:p w:rsidR="009C387E" w:rsidRPr="001024F4" w:rsidRDefault="009C387E" w:rsidP="009C387E">
            <w:pPr>
              <w:pStyle w:val="BodyText0"/>
              <w:jc w:val="left"/>
              <w:rPr>
                <w:rFonts w:ascii="Arial" w:hAnsi="Arial" w:cs="Arial"/>
                <w:bCs/>
                <w:sz w:val="18"/>
                <w:szCs w:val="18"/>
              </w:rPr>
            </w:pPr>
            <w:proofErr w:type="spellStart"/>
            <w:r w:rsidRPr="001024F4">
              <w:rPr>
                <w:rFonts w:ascii="Arial" w:hAnsi="Arial" w:cs="Arial"/>
                <w:bCs/>
                <w:sz w:val="18"/>
                <w:szCs w:val="18"/>
              </w:rPr>
              <w:t>Zarit</w:t>
            </w:r>
            <w:proofErr w:type="spellEnd"/>
            <w:r w:rsidRPr="001024F4">
              <w:rPr>
                <w:rFonts w:ascii="Arial" w:hAnsi="Arial" w:cs="Arial"/>
                <w:bCs/>
                <w:sz w:val="18"/>
                <w:szCs w:val="18"/>
              </w:rPr>
              <w:t xml:space="preserve"> Caregiver Burden Interview</w:t>
            </w:r>
          </w:p>
        </w:tc>
        <w:tc>
          <w:tcPr>
            <w:tcW w:w="617" w:type="pct"/>
            <w:shd w:val="clear" w:color="auto" w:fill="auto"/>
          </w:tcPr>
          <w:p w:rsidR="009C387E" w:rsidRPr="001024F4" w:rsidRDefault="009C387E" w:rsidP="009C387E">
            <w:pPr>
              <w:pStyle w:val="BodyText0"/>
              <w:rPr>
                <w:rFonts w:ascii="Arial" w:hAnsi="Arial" w:cs="Arial"/>
                <w:bCs/>
                <w:sz w:val="18"/>
                <w:szCs w:val="18"/>
              </w:rPr>
            </w:pPr>
            <w:r w:rsidRPr="001024F4">
              <w:rPr>
                <w:rFonts w:ascii="Arial" w:hAnsi="Arial" w:cs="Arial"/>
                <w:bCs/>
                <w:sz w:val="18"/>
                <w:szCs w:val="18"/>
              </w:rPr>
              <w:t>2 versions: 22 items, 12 items</w:t>
            </w:r>
          </w:p>
          <w:p w:rsidR="009C387E" w:rsidRPr="001024F4" w:rsidRDefault="009C387E" w:rsidP="009C387E">
            <w:pPr>
              <w:pStyle w:val="BodyText0"/>
              <w:rPr>
                <w:rFonts w:ascii="Arial" w:hAnsi="Arial" w:cs="Arial"/>
                <w:bCs/>
                <w:sz w:val="18"/>
                <w:szCs w:val="18"/>
              </w:rPr>
            </w:pPr>
          </w:p>
        </w:tc>
        <w:tc>
          <w:tcPr>
            <w:tcW w:w="2312" w:type="pct"/>
            <w:shd w:val="clear" w:color="auto" w:fill="auto"/>
            <w:vAlign w:val="center"/>
          </w:tcPr>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General or overall level of burden related to caregiving</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Range 0-88 (22-item) 0-48 (12-item)</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Guideline for 22-item version:</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0-21: Little or no burden</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21-40: Mild to moderate burden</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41-60: Moderate to severe burden</w:t>
            </w:r>
          </w:p>
          <w:p w:rsidR="009C387E" w:rsidRPr="001024F4" w:rsidRDefault="009C387E" w:rsidP="009C387E">
            <w:pPr>
              <w:pStyle w:val="BodyText0"/>
              <w:jc w:val="left"/>
              <w:rPr>
                <w:rFonts w:ascii="Arial" w:hAnsi="Arial" w:cs="Arial"/>
                <w:bCs/>
                <w:sz w:val="18"/>
                <w:szCs w:val="18"/>
              </w:rPr>
            </w:pPr>
            <w:r w:rsidRPr="001024F4">
              <w:rPr>
                <w:rFonts w:ascii="Arial" w:hAnsi="Arial" w:cs="Arial"/>
                <w:bCs/>
                <w:sz w:val="18"/>
                <w:szCs w:val="18"/>
              </w:rPr>
              <w:t>61-88: Severe burden</w:t>
            </w:r>
          </w:p>
        </w:tc>
      </w:tr>
    </w:tbl>
    <w:p w:rsidR="009C387E" w:rsidRPr="004179E5" w:rsidRDefault="009C387E" w:rsidP="002D09FD">
      <w:pPr>
        <w:pStyle w:val="TableNote"/>
        <w:spacing w:after="0"/>
        <w:rPr>
          <w:rFonts w:ascii="Arial" w:hAnsi="Arial" w:cs="Arial"/>
        </w:rPr>
      </w:pPr>
      <w:r w:rsidRPr="003F00F7">
        <w:rPr>
          <w:rFonts w:ascii="Arial" w:hAnsi="Arial" w:cs="Arial"/>
          <w:b/>
          <w:szCs w:val="18"/>
        </w:rPr>
        <w:t>Abbreviations:</w:t>
      </w:r>
      <w:r w:rsidRPr="003F00F7">
        <w:rPr>
          <w:rFonts w:ascii="Arial" w:hAnsi="Arial" w:cs="Arial"/>
          <w:szCs w:val="18"/>
        </w:rPr>
        <w:t xml:space="preserve"> ADLs = activities of daily living; IADLs = instrumental activities of daily living; NPI = neuropsychiatric inventory.</w:t>
      </w:r>
      <w:bookmarkStart w:id="0" w:name="_GoBack"/>
      <w:bookmarkEnd w:id="0"/>
    </w:p>
    <w:sectPr w:rsidR="009C387E" w:rsidRPr="004179E5" w:rsidSect="002D09FD">
      <w:headerReference w:type="default" r:id="rId8"/>
      <w:footerReference w:type="default" r:id="rId9"/>
      <w:pgSz w:w="12240" w:h="15840" w:code="1"/>
      <w:pgMar w:top="1440" w:right="1440" w:bottom="1440" w:left="1440" w:header="720" w:footer="720" w:gutter="0"/>
      <w:pgNumType w:start="3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6E" w:rsidRDefault="008A056E" w:rsidP="009C387E">
      <w:r>
        <w:separator/>
      </w:r>
    </w:p>
  </w:endnote>
  <w:endnote w:type="continuationSeparator" w:id="0">
    <w:p w:rsidR="008A056E" w:rsidRDefault="008A056E" w:rsidP="009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7E" w:rsidRDefault="002D09FD" w:rsidP="002D09FD">
    <w:pPr>
      <w:pStyle w:val="Footer"/>
    </w:pPr>
    <w:r>
      <w:rPr>
        <w:rFonts w:ascii="Arial" w:hAnsi="Arial"/>
        <w:sz w:val="16"/>
        <w:szCs w:val="16"/>
      </w:rPr>
      <w:t>Screening for Cognitive Impairment</w:t>
    </w:r>
    <w:r>
      <w:rPr>
        <w:rFonts w:ascii="Arial" w:hAnsi="Arial"/>
        <w:sz w:val="16"/>
        <w:szCs w:val="16"/>
      </w:rPr>
      <w:tab/>
    </w:r>
    <w:r w:rsidRPr="00785E57">
      <w:rPr>
        <w:rFonts w:ascii="Arial" w:hAnsi="Arial"/>
        <w:sz w:val="16"/>
        <w:szCs w:val="16"/>
      </w:rPr>
      <w:fldChar w:fldCharType="begin"/>
    </w:r>
    <w:r w:rsidRPr="00785E57">
      <w:rPr>
        <w:rFonts w:ascii="Arial" w:hAnsi="Arial"/>
        <w:sz w:val="16"/>
        <w:szCs w:val="16"/>
      </w:rPr>
      <w:instrText xml:space="preserve"> PAGE   \* MERGEFORMAT </w:instrText>
    </w:r>
    <w:r w:rsidRPr="00785E57">
      <w:rPr>
        <w:rFonts w:ascii="Arial" w:hAnsi="Arial"/>
        <w:sz w:val="16"/>
        <w:szCs w:val="16"/>
      </w:rPr>
      <w:fldChar w:fldCharType="separate"/>
    </w:r>
    <w:r>
      <w:rPr>
        <w:rFonts w:ascii="Arial" w:hAnsi="Arial"/>
        <w:noProof/>
        <w:sz w:val="16"/>
        <w:szCs w:val="16"/>
      </w:rPr>
      <w:t>337</w:t>
    </w:r>
    <w:r w:rsidRPr="00785E57">
      <w:rPr>
        <w:rFonts w:ascii="Arial" w:hAnsi="Arial"/>
        <w:noProof/>
        <w:sz w:val="16"/>
        <w:szCs w:val="16"/>
      </w:rPr>
      <w:fldChar w:fldCharType="end"/>
    </w:r>
    <w:r>
      <w:rPr>
        <w:rFonts w:ascii="Arial" w:hAnsi="Arial"/>
        <w:noProof/>
        <w:sz w:val="16"/>
        <w:szCs w:val="16"/>
      </w:rPr>
      <w:tab/>
      <w:t>Kaiser Permanente Research Affiliates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6E" w:rsidRDefault="008A056E" w:rsidP="009C387E">
      <w:r>
        <w:separator/>
      </w:r>
    </w:p>
  </w:footnote>
  <w:footnote w:type="continuationSeparator" w:id="0">
    <w:p w:rsidR="008A056E" w:rsidRDefault="008A056E" w:rsidP="009C3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7E" w:rsidRPr="009C387E" w:rsidRDefault="009C387E">
    <w:pPr>
      <w:pStyle w:val="Header"/>
      <w:rPr>
        <w:rFonts w:ascii="Arial" w:hAnsi="Arial" w:cs="Arial"/>
        <w:b/>
        <w:sz w:val="20"/>
        <w:szCs w:val="20"/>
      </w:rPr>
    </w:pPr>
    <w:r w:rsidRPr="009C387E">
      <w:rPr>
        <w:rFonts w:ascii="Arial" w:hAnsi="Arial" w:cs="Arial"/>
        <w:b/>
        <w:sz w:val="20"/>
        <w:szCs w:val="20"/>
      </w:rPr>
      <w:t>Appendix E. Study, Population</w:t>
    </w:r>
    <w:r>
      <w:rPr>
        <w:rFonts w:ascii="Arial" w:hAnsi="Arial"/>
        <w:b/>
        <w:sz w:val="20"/>
        <w:szCs w:val="20"/>
      </w:rPr>
      <w:t>,</w:t>
    </w:r>
    <w:r w:rsidRPr="009C387E">
      <w:rPr>
        <w:rFonts w:ascii="Arial" w:hAnsi="Arial" w:cs="Arial"/>
        <w:b/>
        <w:sz w:val="20"/>
        <w:szCs w:val="20"/>
      </w:rPr>
      <w:t xml:space="preserve"> and Intervention Characteristics for Key Questions 4 and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CA6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6B4241"/>
    <w:multiLevelType w:val="hybridMultilevel"/>
    <w:tmpl w:val="3C2CC5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E236E"/>
    <w:multiLevelType w:val="hybridMultilevel"/>
    <w:tmpl w:val="F0908CE4"/>
    <w:lvl w:ilvl="0" w:tplc="04090001">
      <w:start w:val="1"/>
      <w:numFmt w:val="bullet"/>
      <w:lvlText w:val=""/>
      <w:lvlJc w:val="left"/>
      <w:pPr>
        <w:tabs>
          <w:tab w:val="num" w:pos="720"/>
        </w:tabs>
        <w:ind w:left="720" w:hanging="360"/>
      </w:pPr>
      <w:rPr>
        <w:rFonts w:ascii="Symbol" w:hAnsi="Symbol" w:hint="default"/>
      </w:rPr>
    </w:lvl>
    <w:lvl w:ilvl="1" w:tplc="476A246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42748FE"/>
    <w:multiLevelType w:val="hybridMultilevel"/>
    <w:tmpl w:val="607005F4"/>
    <w:lvl w:ilvl="0" w:tplc="25429D2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04360"/>
    <w:multiLevelType w:val="hybridMultilevel"/>
    <w:tmpl w:val="EE4EB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F6083"/>
    <w:multiLevelType w:val="hybridMultilevel"/>
    <w:tmpl w:val="E18AF4C4"/>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C7726"/>
    <w:multiLevelType w:val="hybridMultilevel"/>
    <w:tmpl w:val="FFB683D2"/>
    <w:lvl w:ilvl="0" w:tplc="563487CC">
      <w:start w:val="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95133C"/>
    <w:multiLevelType w:val="hybridMultilevel"/>
    <w:tmpl w:val="B26A2348"/>
    <w:lvl w:ilvl="0" w:tplc="B9D6F8C2">
      <w:start w:val="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387E"/>
    <w:rsid w:val="00270DFE"/>
    <w:rsid w:val="002A1795"/>
    <w:rsid w:val="002B1C8A"/>
    <w:rsid w:val="002D09FD"/>
    <w:rsid w:val="003D4254"/>
    <w:rsid w:val="003F00F7"/>
    <w:rsid w:val="00412E71"/>
    <w:rsid w:val="004179E5"/>
    <w:rsid w:val="004469A9"/>
    <w:rsid w:val="006B6342"/>
    <w:rsid w:val="0082725C"/>
    <w:rsid w:val="0085747D"/>
    <w:rsid w:val="00862D88"/>
    <w:rsid w:val="008A056E"/>
    <w:rsid w:val="009317A8"/>
    <w:rsid w:val="009C387E"/>
    <w:rsid w:val="00B913AC"/>
    <w:rsid w:val="00CB5C0F"/>
    <w:rsid w:val="00DA0139"/>
    <w:rsid w:val="00E52A71"/>
    <w:rsid w:val="00EA3E10"/>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7E"/>
    <w:rPr>
      <w:rFonts w:ascii="Times New Roman" w:eastAsia="Cambria" w:hAnsi="Times New Roman" w:cs="Times New Roman"/>
      <w:sz w:val="24"/>
      <w:szCs w:val="24"/>
    </w:rPr>
  </w:style>
  <w:style w:type="paragraph" w:styleId="Heading1">
    <w:name w:val="heading 1"/>
    <w:basedOn w:val="Normal"/>
    <w:next w:val="Normal"/>
    <w:link w:val="Heading1Char"/>
    <w:uiPriority w:val="9"/>
    <w:qFormat/>
    <w:rsid w:val="00DA0139"/>
    <w:pPr>
      <w:keepNext/>
      <w:outlineLvl w:val="0"/>
    </w:pPr>
    <w:rPr>
      <w:i/>
      <w:iCs/>
    </w:rPr>
  </w:style>
  <w:style w:type="paragraph" w:styleId="Heading2">
    <w:name w:val="heading 2"/>
    <w:basedOn w:val="Normal"/>
    <w:next w:val="Normal"/>
    <w:link w:val="Heading2Char"/>
    <w:unhideWhenUsed/>
    <w:qFormat/>
    <w:locked/>
    <w:rsid w:val="009C387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locked/>
    <w:rsid w:val="009C387E"/>
    <w:pPr>
      <w:keepNext/>
      <w:jc w:val="center"/>
      <w:outlineLvl w:val="2"/>
    </w:pPr>
    <w:rPr>
      <w:rFonts w:eastAsia="Times New Roman"/>
      <w:i/>
      <w:iCs/>
      <w:sz w:val="20"/>
    </w:rPr>
  </w:style>
  <w:style w:type="paragraph" w:styleId="Heading4">
    <w:name w:val="heading 4"/>
    <w:basedOn w:val="Normal"/>
    <w:next w:val="Normal"/>
    <w:link w:val="Heading4Char"/>
    <w:qFormat/>
    <w:locked/>
    <w:rsid w:val="009C387E"/>
    <w:pPr>
      <w:keepNext/>
      <w:jc w:val="center"/>
      <w:outlineLvl w:val="3"/>
    </w:pPr>
    <w:rPr>
      <w:rFonts w:eastAsia="Times New Roman"/>
      <w:b/>
      <w:bCs/>
    </w:rPr>
  </w:style>
  <w:style w:type="paragraph" w:styleId="Heading5">
    <w:name w:val="heading 5"/>
    <w:basedOn w:val="Normal"/>
    <w:next w:val="Normal"/>
    <w:link w:val="Heading5Char"/>
    <w:qFormat/>
    <w:locked/>
    <w:rsid w:val="009C387E"/>
    <w:pPr>
      <w:keepNext/>
      <w:outlineLvl w:val="4"/>
    </w:pPr>
    <w:rPr>
      <w:rFonts w:eastAsia="Times New Roman"/>
      <w:b/>
      <w:bCs/>
      <w:sz w:val="20"/>
      <w:u w:val="single"/>
    </w:rPr>
  </w:style>
  <w:style w:type="paragraph" w:styleId="Heading6">
    <w:name w:val="heading 6"/>
    <w:basedOn w:val="Normal"/>
    <w:next w:val="Normal"/>
    <w:link w:val="Heading6Char"/>
    <w:qFormat/>
    <w:locked/>
    <w:rsid w:val="009C387E"/>
    <w:pPr>
      <w:keepNext/>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rsid w:val="009C387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C387E"/>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9C387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C387E"/>
    <w:rPr>
      <w:rFonts w:ascii="Times New Roman" w:eastAsia="Times New Roman" w:hAnsi="Times New Roman" w:cs="Times New Roman"/>
      <w:b/>
      <w:bCs/>
      <w:szCs w:val="24"/>
      <w:u w:val="single"/>
    </w:rPr>
  </w:style>
  <w:style w:type="character" w:customStyle="1" w:styleId="Heading6Char">
    <w:name w:val="Heading 6 Char"/>
    <w:basedOn w:val="DefaultParagraphFont"/>
    <w:link w:val="Heading6"/>
    <w:rsid w:val="009C387E"/>
    <w:rPr>
      <w:rFonts w:ascii="Times New Roman" w:eastAsia="Times New Roman" w:hAnsi="Times New Roman" w:cs="Times New Roman"/>
      <w:b/>
      <w:bCs/>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nhideWhenUsed/>
    <w:rsid w:val="009C387E"/>
    <w:pPr>
      <w:tabs>
        <w:tab w:val="center" w:pos="4680"/>
        <w:tab w:val="right" w:pos="9360"/>
      </w:tabs>
    </w:pPr>
  </w:style>
  <w:style w:type="character" w:customStyle="1" w:styleId="HeaderChar">
    <w:name w:val="Header Char"/>
    <w:basedOn w:val="DefaultParagraphFont"/>
    <w:link w:val="Header"/>
    <w:rsid w:val="009C387E"/>
    <w:rPr>
      <w:rFonts w:ascii="Times New Roman" w:hAnsi="Times New Roman"/>
      <w:sz w:val="24"/>
      <w:szCs w:val="24"/>
    </w:rPr>
  </w:style>
  <w:style w:type="paragraph" w:styleId="Footer">
    <w:name w:val="footer"/>
    <w:basedOn w:val="Normal"/>
    <w:link w:val="FooterChar"/>
    <w:uiPriority w:val="99"/>
    <w:unhideWhenUsed/>
    <w:rsid w:val="009C387E"/>
    <w:pPr>
      <w:tabs>
        <w:tab w:val="center" w:pos="4680"/>
        <w:tab w:val="right" w:pos="9360"/>
      </w:tabs>
    </w:pPr>
  </w:style>
  <w:style w:type="character" w:customStyle="1" w:styleId="FooterChar">
    <w:name w:val="Footer Char"/>
    <w:basedOn w:val="DefaultParagraphFont"/>
    <w:link w:val="Footer"/>
    <w:uiPriority w:val="99"/>
    <w:rsid w:val="009C387E"/>
    <w:rPr>
      <w:rFonts w:ascii="Times New Roman" w:hAnsi="Times New Roman"/>
      <w:sz w:val="24"/>
      <w:szCs w:val="24"/>
    </w:rPr>
  </w:style>
  <w:style w:type="paragraph" w:customStyle="1" w:styleId="FigureTitle">
    <w:name w:val="FigureTitle"/>
    <w:basedOn w:val="Normal"/>
    <w:qFormat/>
    <w:rsid w:val="009C387E"/>
    <w:pPr>
      <w:keepNext/>
      <w:spacing w:before="240"/>
    </w:pPr>
    <w:rPr>
      <w:rFonts w:ascii="Arial" w:hAnsi="Arial"/>
      <w:b/>
      <w:iCs/>
      <w:noProof/>
      <w:color w:val="000000"/>
    </w:rPr>
  </w:style>
  <w:style w:type="paragraph" w:customStyle="1" w:styleId="ParagraphIndent">
    <w:name w:val="ParagraphIndent"/>
    <w:uiPriority w:val="99"/>
    <w:qFormat/>
    <w:rsid w:val="009C387E"/>
    <w:pPr>
      <w:ind w:firstLine="360"/>
    </w:pPr>
    <w:rPr>
      <w:rFonts w:ascii="Times New Roman" w:hAnsi="Times New Roman" w:cs="Times New Roman"/>
      <w:color w:val="000000"/>
      <w:sz w:val="24"/>
      <w:szCs w:val="24"/>
    </w:rPr>
  </w:style>
  <w:style w:type="paragraph" w:customStyle="1" w:styleId="ParagraphNoIndent">
    <w:name w:val="ParagraphNoIndent"/>
    <w:qFormat/>
    <w:rsid w:val="009C387E"/>
    <w:rPr>
      <w:rFonts w:ascii="Times New Roman" w:eastAsia="Times New Roman" w:hAnsi="Times New Roman" w:cs="Times New Roman"/>
      <w:bCs/>
      <w:sz w:val="24"/>
      <w:szCs w:val="24"/>
    </w:rPr>
  </w:style>
  <w:style w:type="paragraph" w:customStyle="1" w:styleId="ReportType">
    <w:name w:val="ReportType"/>
    <w:uiPriority w:val="99"/>
    <w:qFormat/>
    <w:rsid w:val="009C387E"/>
    <w:rPr>
      <w:rFonts w:ascii="Times New Roman" w:eastAsia="Times New Roman" w:hAnsi="Times New Roman" w:cs="Times New Roman"/>
      <w:b/>
      <w:bCs/>
      <w:i/>
      <w:sz w:val="36"/>
      <w:szCs w:val="36"/>
    </w:rPr>
  </w:style>
  <w:style w:type="paragraph" w:customStyle="1" w:styleId="NumberLine">
    <w:name w:val="NumberLine"/>
    <w:uiPriority w:val="99"/>
    <w:qFormat/>
    <w:rsid w:val="009C387E"/>
    <w:rPr>
      <w:rFonts w:ascii="Arial" w:eastAsia="Times New Roman" w:hAnsi="Arial" w:cs="Times New Roman"/>
      <w:b/>
      <w:bCs/>
      <w:sz w:val="28"/>
      <w:szCs w:val="28"/>
    </w:rPr>
  </w:style>
  <w:style w:type="paragraph" w:customStyle="1" w:styleId="ReportTitle">
    <w:name w:val="ReportTitle"/>
    <w:uiPriority w:val="99"/>
    <w:qFormat/>
    <w:rsid w:val="009C387E"/>
    <w:rPr>
      <w:rFonts w:ascii="Arial" w:eastAsia="Times New Roman" w:hAnsi="Arial" w:cs="Times New Roman"/>
      <w:b/>
      <w:bCs/>
      <w:sz w:val="36"/>
      <w:szCs w:val="36"/>
    </w:rPr>
  </w:style>
  <w:style w:type="paragraph" w:styleId="NormalWeb">
    <w:name w:val="Normal (Web)"/>
    <w:basedOn w:val="Normal"/>
    <w:uiPriority w:val="99"/>
    <w:rsid w:val="009C387E"/>
    <w:pPr>
      <w:spacing w:before="100" w:beforeAutospacing="1" w:after="100" w:afterAutospacing="1"/>
    </w:pPr>
  </w:style>
  <w:style w:type="paragraph" w:customStyle="1" w:styleId="PageNumber">
    <w:name w:val="PageNumber"/>
    <w:uiPriority w:val="99"/>
    <w:qFormat/>
    <w:rsid w:val="009C387E"/>
    <w:pPr>
      <w:jc w:val="center"/>
    </w:pPr>
    <w:rPr>
      <w:rFonts w:ascii="Times New Roman" w:hAnsi="Times New Roman" w:cs="Times New Roman"/>
      <w:sz w:val="24"/>
      <w:szCs w:val="24"/>
    </w:rPr>
  </w:style>
  <w:style w:type="paragraph" w:customStyle="1" w:styleId="FrontMatterHead">
    <w:name w:val="FrontMatterHead"/>
    <w:uiPriority w:val="99"/>
    <w:qFormat/>
    <w:rsid w:val="009C387E"/>
    <w:pPr>
      <w:keepNext/>
      <w:spacing w:before="240" w:after="60"/>
    </w:pPr>
    <w:rPr>
      <w:rFonts w:ascii="Arial" w:hAnsi="Arial"/>
      <w:b/>
      <w:sz w:val="32"/>
      <w:szCs w:val="32"/>
    </w:rPr>
  </w:style>
  <w:style w:type="paragraph" w:styleId="TOC1">
    <w:name w:val="toc 1"/>
    <w:basedOn w:val="Normal"/>
    <w:next w:val="Normal"/>
    <w:autoRedefine/>
    <w:uiPriority w:val="99"/>
    <w:rsid w:val="009C387E"/>
    <w:rPr>
      <w:lang w:val="en-CA"/>
    </w:rPr>
  </w:style>
  <w:style w:type="paragraph" w:styleId="TOC2">
    <w:name w:val="toc 2"/>
    <w:basedOn w:val="Normal"/>
    <w:next w:val="Normal"/>
    <w:autoRedefine/>
    <w:uiPriority w:val="99"/>
    <w:rsid w:val="009C387E"/>
    <w:pPr>
      <w:ind w:left="240"/>
    </w:pPr>
    <w:rPr>
      <w:lang w:val="en-CA"/>
    </w:rPr>
  </w:style>
  <w:style w:type="paragraph" w:customStyle="1" w:styleId="ChapterHeading">
    <w:name w:val="ChapterHeading"/>
    <w:uiPriority w:val="99"/>
    <w:qFormat/>
    <w:rsid w:val="009C387E"/>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uiPriority w:val="99"/>
    <w:qFormat/>
    <w:rsid w:val="009C387E"/>
    <w:pPr>
      <w:keepNext/>
      <w:spacing w:before="240" w:after="60"/>
      <w:outlineLvl w:val="1"/>
    </w:pPr>
    <w:rPr>
      <w:rFonts w:ascii="Arial" w:eastAsia="Times New Roman" w:hAnsi="Arial" w:cs="Times New Roman"/>
      <w:b/>
      <w:bCs/>
      <w:sz w:val="32"/>
      <w:szCs w:val="24"/>
    </w:rPr>
  </w:style>
  <w:style w:type="paragraph" w:customStyle="1" w:styleId="Level2Heading">
    <w:name w:val="Level2Heading"/>
    <w:uiPriority w:val="99"/>
    <w:qFormat/>
    <w:rsid w:val="009C387E"/>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uiPriority w:val="99"/>
    <w:rsid w:val="009C387E"/>
    <w:pPr>
      <w:keepLines/>
      <w:spacing w:before="240" w:after="60"/>
    </w:pPr>
    <w:rPr>
      <w:rFonts w:ascii="Arial" w:eastAsia="Times New Roman" w:hAnsi="Arial"/>
      <w:iCs/>
      <w:sz w:val="28"/>
      <w:szCs w:val="28"/>
    </w:rPr>
  </w:style>
  <w:style w:type="paragraph" w:customStyle="1" w:styleId="TableTitle">
    <w:name w:val="TableTitle"/>
    <w:qFormat/>
    <w:rsid w:val="009C387E"/>
    <w:pPr>
      <w:keepNext/>
      <w:spacing w:before="240"/>
    </w:pPr>
    <w:rPr>
      <w:rFonts w:ascii="Arial" w:hAnsi="Arial" w:cs="Times New Roman"/>
      <w:b/>
      <w:color w:val="000000"/>
      <w:szCs w:val="24"/>
    </w:rPr>
  </w:style>
  <w:style w:type="paragraph" w:customStyle="1" w:styleId="TableNote">
    <w:name w:val="TableNote"/>
    <w:uiPriority w:val="99"/>
    <w:qFormat/>
    <w:rsid w:val="009C387E"/>
    <w:pPr>
      <w:spacing w:after="240"/>
    </w:pPr>
    <w:rPr>
      <w:rFonts w:ascii="Times New Roman" w:eastAsia="Times New Roman" w:hAnsi="Times New Roman" w:cs="Times New Roman"/>
      <w:bCs/>
      <w:sz w:val="18"/>
      <w:szCs w:val="24"/>
    </w:rPr>
  </w:style>
  <w:style w:type="paragraph" w:customStyle="1" w:styleId="Reference">
    <w:name w:val="Reference"/>
    <w:uiPriority w:val="99"/>
    <w:qFormat/>
    <w:rsid w:val="009C387E"/>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uiPriority w:val="99"/>
    <w:qFormat/>
    <w:rsid w:val="009C387E"/>
    <w:pPr>
      <w:keepNext/>
      <w:spacing w:before="240"/>
      <w:outlineLvl w:val="5"/>
    </w:pPr>
    <w:rPr>
      <w:rFonts w:ascii="Arial" w:eastAsia="Times New Roman" w:hAnsi="Arial" w:cs="Times New Roman"/>
      <w:b/>
      <w:bCs/>
      <w:sz w:val="24"/>
      <w:szCs w:val="24"/>
    </w:rPr>
  </w:style>
  <w:style w:type="paragraph" w:customStyle="1" w:styleId="Level3Heading">
    <w:name w:val="Level3Heading"/>
    <w:uiPriority w:val="99"/>
    <w:qFormat/>
    <w:rsid w:val="009C387E"/>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nhideWhenUsed/>
    <w:rsid w:val="009C387E"/>
    <w:rPr>
      <w:rFonts w:ascii="Tahoma" w:hAnsi="Tahoma" w:cs="Tahoma"/>
      <w:sz w:val="16"/>
      <w:szCs w:val="16"/>
    </w:rPr>
  </w:style>
  <w:style w:type="character" w:customStyle="1" w:styleId="BalloonTextChar">
    <w:name w:val="Balloon Text Char"/>
    <w:basedOn w:val="DefaultParagraphFont"/>
    <w:link w:val="BalloonText"/>
    <w:rsid w:val="009C387E"/>
    <w:rPr>
      <w:rFonts w:ascii="Tahoma" w:eastAsia="Cambria" w:hAnsi="Tahoma" w:cs="Tahoma"/>
      <w:sz w:val="16"/>
      <w:szCs w:val="16"/>
    </w:rPr>
  </w:style>
  <w:style w:type="character" w:styleId="CommentReference">
    <w:name w:val="annotation reference"/>
    <w:rsid w:val="009C387E"/>
    <w:rPr>
      <w:sz w:val="16"/>
      <w:szCs w:val="16"/>
    </w:rPr>
  </w:style>
  <w:style w:type="paragraph" w:styleId="CommentText">
    <w:name w:val="annotation text"/>
    <w:basedOn w:val="Normal"/>
    <w:link w:val="CommentTextChar"/>
    <w:rsid w:val="009C387E"/>
    <w:pPr>
      <w:spacing w:before="240" w:after="60"/>
    </w:pPr>
    <w:rPr>
      <w:rFonts w:ascii="Calibri" w:eastAsia="Calibri" w:hAnsi="Calibri"/>
      <w:sz w:val="20"/>
    </w:rPr>
  </w:style>
  <w:style w:type="character" w:customStyle="1" w:styleId="CommentTextChar">
    <w:name w:val="Comment Text Char"/>
    <w:basedOn w:val="DefaultParagraphFont"/>
    <w:link w:val="CommentText"/>
    <w:rsid w:val="009C387E"/>
    <w:rPr>
      <w:rFonts w:cs="Times New Roman"/>
      <w:szCs w:val="24"/>
    </w:rPr>
  </w:style>
  <w:style w:type="paragraph" w:styleId="CommentSubject">
    <w:name w:val="annotation subject"/>
    <w:basedOn w:val="CommentText"/>
    <w:next w:val="CommentText"/>
    <w:link w:val="CommentSubjectChar"/>
    <w:rsid w:val="009C387E"/>
    <w:rPr>
      <w:b/>
      <w:bCs/>
    </w:rPr>
  </w:style>
  <w:style w:type="character" w:customStyle="1" w:styleId="CommentSubjectChar">
    <w:name w:val="Comment Subject Char"/>
    <w:basedOn w:val="CommentTextChar"/>
    <w:link w:val="CommentSubject"/>
    <w:rsid w:val="009C387E"/>
    <w:rPr>
      <w:rFonts w:cs="Times New Roman"/>
      <w:b/>
      <w:bCs/>
      <w:szCs w:val="24"/>
    </w:rPr>
  </w:style>
  <w:style w:type="paragraph" w:customStyle="1" w:styleId="PreparedForText">
    <w:name w:val="PreparedForText"/>
    <w:uiPriority w:val="99"/>
    <w:qFormat/>
    <w:rsid w:val="009C387E"/>
    <w:rPr>
      <w:rFonts w:ascii="Times New Roman" w:eastAsia="Times New Roman" w:hAnsi="Times New Roman" w:cs="Times New Roman"/>
      <w:bCs/>
      <w:sz w:val="24"/>
      <w:szCs w:val="24"/>
    </w:rPr>
  </w:style>
  <w:style w:type="paragraph" w:customStyle="1" w:styleId="ParagraphNoIndentBold">
    <w:name w:val="ParagraphNoIndentBold"/>
    <w:uiPriority w:val="99"/>
    <w:qFormat/>
    <w:rsid w:val="009C387E"/>
    <w:rPr>
      <w:rFonts w:ascii="Times New Roman" w:eastAsia="Times New Roman" w:hAnsi="Times New Roman" w:cs="Times New Roman"/>
      <w:b/>
      <w:bCs/>
      <w:sz w:val="24"/>
      <w:szCs w:val="24"/>
    </w:rPr>
  </w:style>
  <w:style w:type="paragraph" w:customStyle="1" w:styleId="ContractNumber">
    <w:name w:val="ContractNumber"/>
    <w:next w:val="ParagraphNoIndent"/>
    <w:uiPriority w:val="99"/>
    <w:qFormat/>
    <w:rsid w:val="009C387E"/>
    <w:rPr>
      <w:rFonts w:ascii="Times New Roman" w:eastAsia="Times New Roman" w:hAnsi="Times New Roman" w:cs="Times New Roman"/>
      <w:b/>
      <w:bCs/>
      <w:sz w:val="24"/>
      <w:szCs w:val="24"/>
    </w:rPr>
  </w:style>
  <w:style w:type="paragraph" w:customStyle="1" w:styleId="PreparedByText">
    <w:name w:val="PreparedByText"/>
    <w:uiPriority w:val="99"/>
    <w:qFormat/>
    <w:rsid w:val="009C387E"/>
    <w:rPr>
      <w:rFonts w:ascii="Times New Roman" w:eastAsia="Times New Roman" w:hAnsi="Times New Roman" w:cs="Times New Roman"/>
      <w:bCs/>
      <w:sz w:val="24"/>
      <w:szCs w:val="24"/>
    </w:rPr>
  </w:style>
  <w:style w:type="paragraph" w:customStyle="1" w:styleId="Investigators">
    <w:name w:val="Investigators"/>
    <w:uiPriority w:val="99"/>
    <w:qFormat/>
    <w:rsid w:val="009C387E"/>
    <w:rPr>
      <w:rFonts w:ascii="Times New Roman" w:eastAsia="Times New Roman" w:hAnsi="Times New Roman" w:cs="Times New Roman"/>
      <w:bCs/>
      <w:sz w:val="24"/>
      <w:szCs w:val="24"/>
    </w:rPr>
  </w:style>
  <w:style w:type="paragraph" w:customStyle="1" w:styleId="PublicationNumberDate">
    <w:name w:val="PublicationNumberDate"/>
    <w:uiPriority w:val="99"/>
    <w:qFormat/>
    <w:rsid w:val="009C387E"/>
    <w:rPr>
      <w:rFonts w:ascii="Times New Roman" w:eastAsia="Times New Roman" w:hAnsi="Times New Roman" w:cs="Times New Roman"/>
      <w:b/>
      <w:bCs/>
      <w:sz w:val="24"/>
      <w:szCs w:val="24"/>
    </w:rPr>
  </w:style>
  <w:style w:type="paragraph" w:customStyle="1" w:styleId="SuggestedCitation">
    <w:name w:val="SuggestedCitation"/>
    <w:uiPriority w:val="99"/>
    <w:qFormat/>
    <w:rsid w:val="009C387E"/>
    <w:rPr>
      <w:rFonts w:ascii="Times New Roman" w:eastAsia="Times New Roman" w:hAnsi="Times New Roman" w:cs="Times New Roman"/>
      <w:bCs/>
      <w:sz w:val="24"/>
      <w:szCs w:val="24"/>
    </w:rPr>
  </w:style>
  <w:style w:type="paragraph" w:customStyle="1" w:styleId="Contents">
    <w:name w:val="Contents"/>
    <w:uiPriority w:val="99"/>
    <w:qFormat/>
    <w:rsid w:val="009C387E"/>
    <w:pPr>
      <w:keepNext/>
      <w:jc w:val="center"/>
    </w:pPr>
    <w:rPr>
      <w:rFonts w:ascii="Arial" w:hAnsi="Arial"/>
      <w:b/>
      <w:sz w:val="36"/>
      <w:szCs w:val="32"/>
    </w:rPr>
  </w:style>
  <w:style w:type="paragraph" w:customStyle="1" w:styleId="ContentsSubhead">
    <w:name w:val="ContentsSubhead"/>
    <w:uiPriority w:val="99"/>
    <w:qFormat/>
    <w:rsid w:val="009C387E"/>
    <w:pPr>
      <w:keepNext/>
      <w:spacing w:before="240"/>
    </w:pPr>
    <w:rPr>
      <w:rFonts w:ascii="Times New Roman" w:eastAsia="Times New Roman" w:hAnsi="Times New Roman" w:cs="Times New Roman"/>
      <w:b/>
      <w:bCs/>
      <w:sz w:val="24"/>
      <w:szCs w:val="28"/>
    </w:rPr>
  </w:style>
  <w:style w:type="paragraph" w:customStyle="1" w:styleId="Level4Heading">
    <w:name w:val="Level4Heading"/>
    <w:uiPriority w:val="99"/>
    <w:qFormat/>
    <w:rsid w:val="009C387E"/>
    <w:pPr>
      <w:keepNext/>
      <w:spacing w:before="240"/>
      <w:outlineLvl w:val="4"/>
    </w:pPr>
    <w:rPr>
      <w:rFonts w:ascii="Times New Roman" w:eastAsia="Times New Roman" w:hAnsi="Times New Roman" w:cs="Times New Roman"/>
      <w:b/>
      <w:bCs/>
      <w:sz w:val="28"/>
      <w:szCs w:val="24"/>
    </w:rPr>
  </w:style>
  <w:style w:type="paragraph" w:customStyle="1" w:styleId="TableColumnHead">
    <w:name w:val="TableColumnHead"/>
    <w:uiPriority w:val="99"/>
    <w:qFormat/>
    <w:rsid w:val="009C387E"/>
    <w:pPr>
      <w:jc w:val="center"/>
    </w:pPr>
    <w:rPr>
      <w:rFonts w:ascii="Arial" w:hAnsi="Arial"/>
      <w:b/>
      <w:bCs/>
      <w:sz w:val="18"/>
      <w:szCs w:val="18"/>
    </w:rPr>
  </w:style>
  <w:style w:type="paragraph" w:customStyle="1" w:styleId="TableSubhead">
    <w:name w:val="TableSubhead"/>
    <w:uiPriority w:val="99"/>
    <w:qFormat/>
    <w:rsid w:val="009C387E"/>
    <w:rPr>
      <w:rFonts w:ascii="Arial" w:hAnsi="Arial"/>
      <w:b/>
      <w:i/>
      <w:sz w:val="18"/>
      <w:szCs w:val="18"/>
    </w:rPr>
  </w:style>
  <w:style w:type="paragraph" w:customStyle="1" w:styleId="TableText">
    <w:name w:val="TableText"/>
    <w:uiPriority w:val="99"/>
    <w:qFormat/>
    <w:rsid w:val="009C387E"/>
    <w:rPr>
      <w:rFonts w:ascii="Arial" w:hAnsi="Arial"/>
      <w:sz w:val="18"/>
      <w:szCs w:val="18"/>
    </w:rPr>
  </w:style>
  <w:style w:type="paragraph" w:customStyle="1" w:styleId="Level6Heading">
    <w:name w:val="Level6Heading"/>
    <w:uiPriority w:val="99"/>
    <w:qFormat/>
    <w:rsid w:val="009C387E"/>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uiPriority w:val="99"/>
    <w:qFormat/>
    <w:rsid w:val="009C387E"/>
    <w:pPr>
      <w:keepNext/>
      <w:spacing w:before="240"/>
    </w:pPr>
    <w:rPr>
      <w:rFonts w:ascii="Times New Roman" w:hAnsi="Times New Roman" w:cs="Times New Roman"/>
      <w:b/>
      <w:color w:val="000000"/>
      <w:sz w:val="24"/>
      <w:szCs w:val="24"/>
    </w:rPr>
  </w:style>
  <w:style w:type="paragraph" w:customStyle="1" w:styleId="Level8Heading">
    <w:name w:val="Level8Heading"/>
    <w:uiPriority w:val="99"/>
    <w:qFormat/>
    <w:rsid w:val="009C387E"/>
    <w:pPr>
      <w:keepNext/>
      <w:spacing w:before="240"/>
    </w:pPr>
    <w:rPr>
      <w:rFonts w:ascii="Times New Roman" w:eastAsia="Times New Roman" w:hAnsi="Times New Roman" w:cs="Times New Roman"/>
      <w:bCs/>
      <w:i/>
      <w:sz w:val="24"/>
      <w:szCs w:val="24"/>
    </w:rPr>
  </w:style>
  <w:style w:type="paragraph" w:customStyle="1" w:styleId="Bullet1">
    <w:name w:val="Bullet1"/>
    <w:uiPriority w:val="99"/>
    <w:qFormat/>
    <w:rsid w:val="009C387E"/>
    <w:pPr>
      <w:numPr>
        <w:numId w:val="1"/>
      </w:numPr>
    </w:pPr>
    <w:rPr>
      <w:rFonts w:ascii="Times New Roman" w:eastAsia="Times New Roman" w:hAnsi="Times New Roman" w:cs="Times New Roman"/>
      <w:bCs/>
      <w:sz w:val="24"/>
      <w:szCs w:val="24"/>
    </w:rPr>
  </w:style>
  <w:style w:type="paragraph" w:customStyle="1" w:styleId="Bullet2">
    <w:name w:val="Bullet2"/>
    <w:uiPriority w:val="99"/>
    <w:qFormat/>
    <w:rsid w:val="009C387E"/>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uiPriority w:val="99"/>
    <w:qFormat/>
    <w:rsid w:val="009C387E"/>
    <w:pPr>
      <w:jc w:val="center"/>
    </w:pPr>
    <w:rPr>
      <w:rFonts w:ascii="Arial" w:hAnsi="Arial"/>
      <w:sz w:val="18"/>
      <w:szCs w:val="18"/>
    </w:rPr>
  </w:style>
  <w:style w:type="paragraph" w:customStyle="1" w:styleId="TableLeftText">
    <w:name w:val="TableLeftText"/>
    <w:uiPriority w:val="99"/>
    <w:qFormat/>
    <w:rsid w:val="009C387E"/>
    <w:rPr>
      <w:rFonts w:ascii="Arial" w:hAnsi="Arial"/>
      <w:sz w:val="18"/>
      <w:szCs w:val="18"/>
    </w:rPr>
  </w:style>
  <w:style w:type="paragraph" w:customStyle="1" w:styleId="TableBoldText">
    <w:name w:val="TableBoldText"/>
    <w:uiPriority w:val="99"/>
    <w:qFormat/>
    <w:rsid w:val="009C387E"/>
    <w:rPr>
      <w:rFonts w:ascii="Arial" w:hAnsi="Arial"/>
      <w:b/>
      <w:sz w:val="18"/>
      <w:szCs w:val="18"/>
    </w:rPr>
  </w:style>
  <w:style w:type="paragraph" w:customStyle="1" w:styleId="Studies1">
    <w:name w:val="Studies1"/>
    <w:uiPriority w:val="99"/>
    <w:qFormat/>
    <w:rsid w:val="009C387E"/>
    <w:pPr>
      <w:keepLines/>
      <w:spacing w:before="120" w:after="120"/>
    </w:pPr>
    <w:rPr>
      <w:rFonts w:ascii="Times New Roman" w:hAnsi="Times New Roman"/>
      <w:color w:val="000000"/>
      <w:sz w:val="24"/>
      <w:szCs w:val="32"/>
    </w:rPr>
  </w:style>
  <w:style w:type="paragraph" w:customStyle="1" w:styleId="Studies2">
    <w:name w:val="Studies2"/>
    <w:uiPriority w:val="99"/>
    <w:qFormat/>
    <w:rsid w:val="009C387E"/>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uiPriority w:val="99"/>
    <w:qFormat/>
    <w:rsid w:val="009C387E"/>
    <w:pPr>
      <w:numPr>
        <w:numId w:val="3"/>
      </w:numPr>
      <w:ind w:left="720"/>
    </w:pPr>
  </w:style>
  <w:style w:type="paragraph" w:customStyle="1" w:styleId="ReportSubtitle">
    <w:name w:val="ReportSubtitle"/>
    <w:uiPriority w:val="99"/>
    <w:qFormat/>
    <w:rsid w:val="009C387E"/>
    <w:rPr>
      <w:rFonts w:ascii="Arial" w:eastAsia="Times New Roman" w:hAnsi="Arial" w:cs="Times New Roman"/>
      <w:b/>
      <w:bCs/>
      <w:sz w:val="24"/>
      <w:szCs w:val="24"/>
    </w:rPr>
  </w:style>
  <w:style w:type="paragraph" w:customStyle="1" w:styleId="FrontMatterSubhead">
    <w:name w:val="FrontMatterSubhead"/>
    <w:uiPriority w:val="99"/>
    <w:qFormat/>
    <w:rsid w:val="009C387E"/>
    <w:pPr>
      <w:keepNext/>
      <w:spacing w:before="120"/>
    </w:pPr>
    <w:rPr>
      <w:rFonts w:ascii="Arial" w:hAnsi="Arial"/>
      <w:b/>
      <w:sz w:val="24"/>
      <w:szCs w:val="32"/>
    </w:rPr>
  </w:style>
  <w:style w:type="character" w:styleId="Hyperlink">
    <w:name w:val="Hyperlink"/>
    <w:uiPriority w:val="99"/>
    <w:rsid w:val="009C387E"/>
    <w:rPr>
      <w:color w:val="0000FF"/>
      <w:u w:val="single"/>
    </w:rPr>
  </w:style>
  <w:style w:type="paragraph" w:customStyle="1" w:styleId="BodyText">
    <w:name w:val="BodyText"/>
    <w:basedOn w:val="Normal"/>
    <w:link w:val="BodyTextChar"/>
    <w:rsid w:val="009C387E"/>
    <w:pPr>
      <w:spacing w:after="120"/>
    </w:pPr>
  </w:style>
  <w:style w:type="character" w:customStyle="1" w:styleId="BodyTextChar">
    <w:name w:val="BodyText Char"/>
    <w:link w:val="BodyText"/>
    <w:rsid w:val="009C387E"/>
    <w:rPr>
      <w:rFonts w:ascii="Times New Roman" w:eastAsia="Cambria" w:hAnsi="Times New Roman" w:cs="Times New Roman"/>
      <w:sz w:val="24"/>
      <w:szCs w:val="24"/>
    </w:rPr>
  </w:style>
  <w:style w:type="paragraph" w:customStyle="1" w:styleId="TitlePageReportNumber">
    <w:name w:val="Title Page Report Number"/>
    <w:basedOn w:val="Normal"/>
    <w:uiPriority w:val="99"/>
    <w:rsid w:val="009C387E"/>
    <w:rPr>
      <w:rFonts w:ascii="Arial" w:eastAsia="Times" w:hAnsi="Arial"/>
      <w:b/>
      <w:sz w:val="28"/>
    </w:rPr>
  </w:style>
  <w:style w:type="paragraph" w:customStyle="1" w:styleId="Default">
    <w:name w:val="Default"/>
    <w:uiPriority w:val="99"/>
    <w:rsid w:val="009C387E"/>
    <w:pPr>
      <w:autoSpaceDE w:val="0"/>
      <w:autoSpaceDN w:val="0"/>
      <w:adjustRightInd w:val="0"/>
    </w:pPr>
    <w:rPr>
      <w:rFonts w:ascii="Times New Roman" w:eastAsia="Times New Roman" w:hAnsi="Times New Roman" w:cs="Times New Roman"/>
      <w:color w:val="000000"/>
      <w:sz w:val="24"/>
      <w:szCs w:val="24"/>
    </w:rPr>
  </w:style>
  <w:style w:type="paragraph" w:customStyle="1" w:styleId="Bullet3">
    <w:name w:val="Bullet3"/>
    <w:basedOn w:val="Bullet2"/>
    <w:qFormat/>
    <w:rsid w:val="009C387E"/>
    <w:pPr>
      <w:numPr>
        <w:ilvl w:val="2"/>
      </w:numPr>
      <w:ind w:left="1440"/>
    </w:pPr>
  </w:style>
  <w:style w:type="character" w:styleId="FollowedHyperlink">
    <w:name w:val="FollowedHyperlink"/>
    <w:uiPriority w:val="99"/>
    <w:unhideWhenUsed/>
    <w:rsid w:val="009C387E"/>
    <w:rPr>
      <w:color w:val="800080"/>
      <w:u w:val="single"/>
    </w:rPr>
  </w:style>
  <w:style w:type="paragraph" w:styleId="BodyText0">
    <w:name w:val="Body Text"/>
    <w:basedOn w:val="Normal"/>
    <w:link w:val="BodyTextChar0"/>
    <w:rsid w:val="009C387E"/>
    <w:pPr>
      <w:jc w:val="center"/>
    </w:pPr>
    <w:rPr>
      <w:rFonts w:eastAsia="Times New Roman"/>
      <w:sz w:val="20"/>
    </w:rPr>
  </w:style>
  <w:style w:type="character" w:customStyle="1" w:styleId="BodyTextChar0">
    <w:name w:val="Body Text Char"/>
    <w:basedOn w:val="DefaultParagraphFont"/>
    <w:link w:val="BodyText0"/>
    <w:rsid w:val="009C387E"/>
    <w:rPr>
      <w:rFonts w:ascii="Times New Roman" w:eastAsia="Times New Roman" w:hAnsi="Times New Roman" w:cs="Times New Roman"/>
      <w:szCs w:val="24"/>
    </w:rPr>
  </w:style>
  <w:style w:type="paragraph" w:styleId="BodyText2">
    <w:name w:val="Body Text 2"/>
    <w:basedOn w:val="Normal"/>
    <w:link w:val="BodyText2Char"/>
    <w:rsid w:val="009C387E"/>
    <w:rPr>
      <w:rFonts w:eastAsia="Times New Roman"/>
      <w:b/>
      <w:bCs/>
      <w:sz w:val="20"/>
    </w:rPr>
  </w:style>
  <w:style w:type="character" w:customStyle="1" w:styleId="BodyText2Char">
    <w:name w:val="Body Text 2 Char"/>
    <w:basedOn w:val="DefaultParagraphFont"/>
    <w:link w:val="BodyText2"/>
    <w:rsid w:val="009C387E"/>
    <w:rPr>
      <w:rFonts w:ascii="Times New Roman" w:eastAsia="Times New Roman" w:hAnsi="Times New Roman" w:cs="Times New Roman"/>
      <w:b/>
      <w:bCs/>
      <w:szCs w:val="24"/>
    </w:rPr>
  </w:style>
  <w:style w:type="paragraph" w:styleId="BodyTextIndent">
    <w:name w:val="Body Text Indent"/>
    <w:basedOn w:val="Normal"/>
    <w:link w:val="BodyTextIndentChar"/>
    <w:rsid w:val="009C387E"/>
    <w:pPr>
      <w:ind w:left="374" w:hanging="374"/>
    </w:pPr>
    <w:rPr>
      <w:rFonts w:eastAsia="Times New Roman"/>
      <w:sz w:val="20"/>
    </w:rPr>
  </w:style>
  <w:style w:type="character" w:customStyle="1" w:styleId="BodyTextIndentChar">
    <w:name w:val="Body Text Indent Char"/>
    <w:basedOn w:val="DefaultParagraphFont"/>
    <w:link w:val="BodyTextIndent"/>
    <w:rsid w:val="009C387E"/>
    <w:rPr>
      <w:rFonts w:ascii="Times New Roman" w:eastAsia="Times New Roman" w:hAnsi="Times New Roman" w:cs="Times New Roman"/>
      <w:szCs w:val="24"/>
    </w:rPr>
  </w:style>
  <w:style w:type="paragraph" w:styleId="BodyText3">
    <w:name w:val="Body Text 3"/>
    <w:basedOn w:val="Normal"/>
    <w:link w:val="BodyText3Char"/>
    <w:rsid w:val="009C387E"/>
    <w:rPr>
      <w:rFonts w:eastAsia="Times New Roman"/>
      <w:sz w:val="20"/>
    </w:rPr>
  </w:style>
  <w:style w:type="character" w:customStyle="1" w:styleId="BodyText3Char">
    <w:name w:val="Body Text 3 Char"/>
    <w:basedOn w:val="DefaultParagraphFont"/>
    <w:link w:val="BodyText3"/>
    <w:rsid w:val="009C387E"/>
    <w:rPr>
      <w:rFonts w:ascii="Times New Roman" w:eastAsia="Times New Roman" w:hAnsi="Times New Roman" w:cs="Times New Roman"/>
      <w:szCs w:val="24"/>
    </w:rPr>
  </w:style>
  <w:style w:type="paragraph" w:styleId="BodyTextIndent2">
    <w:name w:val="Body Text Indent 2"/>
    <w:basedOn w:val="Normal"/>
    <w:link w:val="BodyTextIndent2Char"/>
    <w:rsid w:val="009C387E"/>
    <w:pPr>
      <w:ind w:left="1496"/>
    </w:pPr>
    <w:rPr>
      <w:rFonts w:eastAsia="Times New Roman"/>
    </w:rPr>
  </w:style>
  <w:style w:type="character" w:customStyle="1" w:styleId="BodyTextIndent2Char">
    <w:name w:val="Body Text Indent 2 Char"/>
    <w:basedOn w:val="DefaultParagraphFont"/>
    <w:link w:val="BodyTextIndent2"/>
    <w:rsid w:val="009C387E"/>
    <w:rPr>
      <w:rFonts w:ascii="Times New Roman" w:eastAsia="Times New Roman" w:hAnsi="Times New Roman" w:cs="Times New Roman"/>
      <w:sz w:val="24"/>
      <w:szCs w:val="24"/>
    </w:rPr>
  </w:style>
  <w:style w:type="character" w:styleId="PageNumber0">
    <w:name w:val="page number"/>
    <w:rsid w:val="009C387E"/>
  </w:style>
  <w:style w:type="paragraph" w:styleId="ListParagraph">
    <w:name w:val="List Paragraph"/>
    <w:basedOn w:val="Normal"/>
    <w:qFormat/>
    <w:rsid w:val="009C387E"/>
    <w:pPr>
      <w:ind w:left="720"/>
      <w:contextualSpacing/>
    </w:pPr>
    <w:rPr>
      <w:rFonts w:ascii="Cambria" w:eastAsia="MS Minngs" w:hAnsi="Cambria"/>
    </w:rPr>
  </w:style>
  <w:style w:type="character" w:styleId="HTMLCite">
    <w:name w:val="HTML Cite"/>
    <w:uiPriority w:val="99"/>
    <w:unhideWhenUsed/>
    <w:rsid w:val="009C387E"/>
    <w:rPr>
      <w:i/>
      <w:iCs/>
    </w:rPr>
  </w:style>
  <w:style w:type="character" w:customStyle="1" w:styleId="author">
    <w:name w:val="author"/>
    <w:rsid w:val="009C387E"/>
  </w:style>
  <w:style w:type="character" w:customStyle="1" w:styleId="articletitle">
    <w:name w:val="articletitle"/>
    <w:rsid w:val="009C387E"/>
  </w:style>
  <w:style w:type="character" w:customStyle="1" w:styleId="journaltitle">
    <w:name w:val="journaltitle"/>
    <w:rsid w:val="009C387E"/>
  </w:style>
  <w:style w:type="character" w:customStyle="1" w:styleId="pubyear">
    <w:name w:val="pubyear"/>
    <w:rsid w:val="009C387E"/>
  </w:style>
  <w:style w:type="character" w:customStyle="1" w:styleId="vol">
    <w:name w:val="vol"/>
    <w:rsid w:val="009C387E"/>
  </w:style>
  <w:style w:type="character" w:customStyle="1" w:styleId="pagefirst">
    <w:name w:val="pagefirst"/>
    <w:rsid w:val="009C387E"/>
  </w:style>
  <w:style w:type="character" w:customStyle="1" w:styleId="pagelast">
    <w:name w:val="pagelast"/>
    <w:rsid w:val="009C387E"/>
  </w:style>
  <w:style w:type="paragraph" w:styleId="NoSpacing">
    <w:name w:val="No Spacing"/>
    <w:uiPriority w:val="1"/>
    <w:qFormat/>
    <w:rsid w:val="009C387E"/>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Ravina Shinde</cp:lastModifiedBy>
  <cp:revision>5</cp:revision>
  <dcterms:created xsi:type="dcterms:W3CDTF">2013-11-07T16:30:00Z</dcterms:created>
  <dcterms:modified xsi:type="dcterms:W3CDTF">2013-12-07T04:26:00Z</dcterms:modified>
</cp:coreProperties>
</file>