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30" w:rsidRPr="002C6000" w:rsidRDefault="009D1730" w:rsidP="006C56B7">
      <w:pPr>
        <w:pStyle w:val="TableTitle"/>
        <w:spacing w:before="0"/>
        <w:rPr>
          <w:sz w:val="18"/>
          <w:szCs w:val="18"/>
        </w:rPr>
      </w:pPr>
      <w:proofErr w:type="gramStart"/>
      <w:r>
        <w:t>Table 8.</w:t>
      </w:r>
      <w:proofErr w:type="gramEnd"/>
      <w:r>
        <w:t xml:space="preserve"> </w:t>
      </w:r>
      <w:r w:rsidRPr="00F61A2B">
        <w:t xml:space="preserve">Study </w:t>
      </w:r>
      <w:r w:rsidR="006C56B7" w:rsidRPr="00F61A2B">
        <w:t xml:space="preserve">Characteristics </w:t>
      </w:r>
      <w:r w:rsidR="006C56B7">
        <w:t>a</w:t>
      </w:r>
      <w:r w:rsidR="006C56B7" w:rsidRPr="00F61A2B">
        <w:t xml:space="preserve">nd Outcomes </w:t>
      </w:r>
      <w:proofErr w:type="gramStart"/>
      <w:r w:rsidR="006C56B7" w:rsidRPr="00F61A2B">
        <w:t>For</w:t>
      </w:r>
      <w:proofErr w:type="gramEnd"/>
      <w:r w:rsidR="006C56B7" w:rsidRPr="00F61A2B">
        <w:t xml:space="preserve"> </w:t>
      </w:r>
      <w:r w:rsidR="006C56B7">
        <w:t>Cognitive Impairment</w:t>
      </w:r>
      <w:r w:rsidR="006C56B7" w:rsidRPr="00F61A2B">
        <w:t xml:space="preserve"> Screening</w:t>
      </w:r>
      <w:r w:rsidR="006C56B7">
        <w:t xml:space="preserve"> (</w:t>
      </w:r>
      <w:r>
        <w:t>MCI</w:t>
      </w:r>
      <w:r w:rsidR="006C56B7">
        <w:t xml:space="preserve">/Dementia vs. Normal), Brief Instruments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183"/>
        <w:gridCol w:w="577"/>
        <w:gridCol w:w="1133"/>
        <w:gridCol w:w="1349"/>
        <w:gridCol w:w="1294"/>
        <w:gridCol w:w="972"/>
        <w:gridCol w:w="975"/>
        <w:gridCol w:w="722"/>
        <w:gridCol w:w="809"/>
        <w:gridCol w:w="809"/>
        <w:gridCol w:w="722"/>
        <w:gridCol w:w="801"/>
        <w:gridCol w:w="743"/>
      </w:tblGrid>
      <w:tr w:rsidR="006C56B7" w:rsidRPr="00F61A2B" w:rsidTr="006C56B7">
        <w:trPr>
          <w:cantSplit/>
          <w:trHeight w:val="1268"/>
          <w:tblHeader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Study,</w:t>
            </w:r>
          </w:p>
          <w:p w:rsidR="009D1730" w:rsidRPr="00F61A2B" w:rsidRDefault="009D1730" w:rsidP="006C56B7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Quality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95" w:right="-105"/>
              <w:jc w:val="center"/>
              <w:rPr>
                <w:b/>
              </w:rPr>
            </w:pPr>
            <w:r w:rsidRPr="00F61A2B">
              <w:rPr>
                <w:b/>
              </w:rPr>
              <w:t>Instrument (non-English Language)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109" w:right="-70"/>
              <w:jc w:val="center"/>
              <w:rPr>
                <w:b/>
              </w:rPr>
            </w:pPr>
            <w:r w:rsidRPr="00F61A2B">
              <w:rPr>
                <w:b/>
              </w:rPr>
              <w:t>Est</w:t>
            </w:r>
            <w:r>
              <w:rPr>
                <w:b/>
              </w:rPr>
              <w:t>.</w:t>
            </w:r>
            <w:r w:rsidRPr="00F61A2B">
              <w:rPr>
                <w:b/>
              </w:rPr>
              <w:t xml:space="preserve"> Time (Min)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146" w:right="-130"/>
              <w:jc w:val="center"/>
              <w:rPr>
                <w:b/>
              </w:rPr>
            </w:pPr>
            <w:r w:rsidRPr="00F61A2B">
              <w:rPr>
                <w:b/>
              </w:rPr>
              <w:t>N Screened,</w:t>
            </w:r>
          </w:p>
          <w:p w:rsidR="009D1730" w:rsidRPr="00F61A2B" w:rsidRDefault="009D1730" w:rsidP="006C56B7">
            <w:pPr>
              <w:pStyle w:val="TableText"/>
              <w:ind w:left="-146" w:right="-130"/>
              <w:jc w:val="center"/>
              <w:rPr>
                <w:b/>
              </w:rPr>
            </w:pPr>
            <w:r w:rsidRPr="00F61A2B">
              <w:rPr>
                <w:b/>
              </w:rPr>
              <w:t>N Analyzed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Selection Criteria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141" w:right="-164"/>
              <w:jc w:val="center"/>
              <w:rPr>
                <w:b/>
              </w:rPr>
            </w:pPr>
            <w:r w:rsidRPr="00F61A2B">
              <w:rPr>
                <w:b/>
              </w:rPr>
              <w:t>Age (</w:t>
            </w:r>
            <w:r w:rsidR="006C56B7">
              <w:rPr>
                <w:b/>
              </w:rPr>
              <w:t>y</w:t>
            </w:r>
            <w:r w:rsidRPr="00F61A2B">
              <w:rPr>
                <w:b/>
              </w:rPr>
              <w:t>),</w:t>
            </w:r>
          </w:p>
          <w:p w:rsidR="009D1730" w:rsidRPr="00F61A2B" w:rsidRDefault="009D1730" w:rsidP="006C56B7">
            <w:pPr>
              <w:pStyle w:val="TableText"/>
              <w:ind w:left="-141" w:right="-164"/>
              <w:jc w:val="center"/>
              <w:rPr>
                <w:b/>
              </w:rPr>
            </w:pPr>
            <w:r w:rsidRPr="00F61A2B">
              <w:rPr>
                <w:b/>
              </w:rPr>
              <w:t>% Female,</w:t>
            </w:r>
          </w:p>
          <w:p w:rsidR="009D1730" w:rsidRPr="00F61A2B" w:rsidRDefault="009D1730" w:rsidP="006C56B7">
            <w:pPr>
              <w:pStyle w:val="TableText"/>
              <w:ind w:left="-141" w:right="-164"/>
              <w:jc w:val="center"/>
              <w:rPr>
                <w:b/>
              </w:rPr>
            </w:pPr>
            <w:r w:rsidRPr="00F61A2B">
              <w:rPr>
                <w:b/>
              </w:rPr>
              <w:t>Education (</w:t>
            </w:r>
            <w:r w:rsidR="006C56B7">
              <w:rPr>
                <w:b/>
              </w:rPr>
              <w:t>y</w:t>
            </w:r>
            <w:r w:rsidRPr="00F61A2B">
              <w:rPr>
                <w:b/>
              </w:rPr>
              <w:t>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Default="009D1730" w:rsidP="006C56B7">
            <w:pPr>
              <w:pStyle w:val="TableText"/>
              <w:ind w:left="-142" w:right="-92"/>
              <w:jc w:val="center"/>
              <w:rPr>
                <w:b/>
              </w:rPr>
            </w:pPr>
            <w:r w:rsidRPr="00F61A2B">
              <w:rPr>
                <w:b/>
              </w:rPr>
              <w:t xml:space="preserve">% </w:t>
            </w:r>
            <w:r>
              <w:rPr>
                <w:b/>
              </w:rPr>
              <w:t>Dementia</w:t>
            </w:r>
          </w:p>
          <w:p w:rsidR="009D1730" w:rsidRPr="00F61A2B" w:rsidRDefault="009D1730" w:rsidP="006C56B7">
            <w:pPr>
              <w:pStyle w:val="TableText"/>
              <w:ind w:left="-142" w:right="-92"/>
              <w:jc w:val="center"/>
              <w:rPr>
                <w:b/>
              </w:rPr>
            </w:pPr>
            <w:r>
              <w:rPr>
                <w:b/>
              </w:rPr>
              <w:t>% MCI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6C56B7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 xml:space="preserve">Diagnostic </w:t>
            </w:r>
            <w:r>
              <w:rPr>
                <w:b/>
              </w:rPr>
              <w:t>Criteria / Verification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6C56B7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>Cut Point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109" w:right="-5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Sens</w:t>
            </w:r>
            <w:proofErr w:type="spellEnd"/>
            <w:r w:rsidRPr="00F61A2B">
              <w:rPr>
                <w:b/>
              </w:rPr>
              <w:t xml:space="preserve"> (95% CI or SE)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68" w:right="-46"/>
              <w:jc w:val="center"/>
              <w:rPr>
                <w:b/>
              </w:rPr>
            </w:pPr>
            <w:r>
              <w:rPr>
                <w:b/>
              </w:rPr>
              <w:t>Spec</w:t>
            </w:r>
            <w:r w:rsidRPr="00F61A2B">
              <w:rPr>
                <w:b/>
              </w:rPr>
              <w:t xml:space="preserve"> (95% CI or SE)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107" w:right="-126"/>
              <w:jc w:val="center"/>
              <w:rPr>
                <w:b/>
              </w:rPr>
            </w:pPr>
            <w:r w:rsidRPr="00F61A2B">
              <w:rPr>
                <w:b/>
              </w:rPr>
              <w:t>PPV (95% CI)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109" w:right="-116"/>
              <w:jc w:val="center"/>
              <w:rPr>
                <w:b/>
              </w:rPr>
            </w:pPr>
            <w:r w:rsidRPr="00F61A2B">
              <w:rPr>
                <w:b/>
              </w:rPr>
              <w:t>NPV (95% CI)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C56B7">
            <w:pPr>
              <w:pStyle w:val="TableText"/>
              <w:ind w:left="-100" w:right="-90"/>
              <w:jc w:val="center"/>
              <w:rPr>
                <w:b/>
              </w:rPr>
            </w:pPr>
            <w:r w:rsidRPr="00F61A2B">
              <w:rPr>
                <w:b/>
              </w:rPr>
              <w:t>AUC (95% CI or SE)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proofErr w:type="spellStart"/>
            <w:r>
              <w:t>Vercambre</w:t>
            </w:r>
            <w:proofErr w:type="spellEnd"/>
            <w:r>
              <w:t>, 2010</w:t>
            </w:r>
            <w:r w:rsidRPr="00E424C9">
              <w:rPr>
                <w:noProof/>
                <w:vertAlign w:val="superscript"/>
              </w:rPr>
              <w:t>104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Telephone interview for Cognitive Impairment (TICS) (French)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120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120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8"/>
            </w:pPr>
            <w:r>
              <w:t>Born between 1925 and 1930</w:t>
            </w:r>
          </w:p>
          <w:p w:rsidR="009D1730" w:rsidRDefault="009D1730" w:rsidP="006C56B7">
            <w:pPr>
              <w:pStyle w:val="TableText"/>
              <w:ind w:right="-108"/>
            </w:pPr>
          </w:p>
          <w:p w:rsidR="009D1730" w:rsidRDefault="009D1730" w:rsidP="006C56B7">
            <w:pPr>
              <w:pStyle w:val="TableText"/>
              <w:ind w:right="-108"/>
            </w:pPr>
            <w:r>
              <w:t>Women</w:t>
            </w:r>
          </w:p>
          <w:p w:rsidR="009D1730" w:rsidRDefault="009D1730" w:rsidP="006C56B7">
            <w:pPr>
              <w:pStyle w:val="TableText"/>
              <w:ind w:right="-108"/>
            </w:pPr>
          </w:p>
          <w:p w:rsidR="009D1730" w:rsidRDefault="009D1730" w:rsidP="006C56B7">
            <w:pPr>
              <w:pStyle w:val="TableText"/>
              <w:ind w:right="-108"/>
            </w:pPr>
            <w:r>
              <w:t>National Education System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92"/>
            </w:pPr>
            <w:r>
              <w:t>8.3 (probable &amp; possible)</w:t>
            </w:r>
          </w:p>
          <w:p w:rsidR="009D1730" w:rsidRDefault="009D1730" w:rsidP="006C56B7">
            <w:pPr>
              <w:pStyle w:val="TableText"/>
              <w:ind w:right="-92"/>
            </w:pPr>
          </w:p>
          <w:p w:rsidR="009D1730" w:rsidRDefault="009D1730" w:rsidP="006C56B7">
            <w:pPr>
              <w:pStyle w:val="TableText"/>
              <w:ind w:right="-92"/>
            </w:pPr>
            <w:r>
              <w:t>15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 xml:space="preserve">Mayo criteria 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  <w:rPr>
                <w:b/>
                <w:highlight w:val="yellow"/>
              </w:rPr>
            </w:pPr>
            <w:r>
              <w:t>NR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  <w:rPr>
                <w:highlight w:val="yellow"/>
              </w:rPr>
            </w:pPr>
            <w:r>
              <w:t>NR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0.78 (NR)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r>
              <w:t>Manly, 2011</w:t>
            </w:r>
            <w:r w:rsidRPr="00E424C9">
              <w:rPr>
                <w:noProof/>
                <w:vertAlign w:val="superscript"/>
              </w:rPr>
              <w:t>75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TICS-modified (TICS-M) (English or Spanish)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377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377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8"/>
            </w:pPr>
            <w:r>
              <w:t>≥65 y</w:t>
            </w:r>
          </w:p>
          <w:p w:rsidR="009D1730" w:rsidRDefault="009D1730" w:rsidP="006C56B7">
            <w:pPr>
              <w:pStyle w:val="TableText"/>
              <w:ind w:right="-108"/>
            </w:pPr>
          </w:p>
          <w:p w:rsidR="009D1730" w:rsidRDefault="009D1730" w:rsidP="006C56B7">
            <w:pPr>
              <w:pStyle w:val="TableText"/>
              <w:ind w:right="-108"/>
            </w:pPr>
            <w:r>
              <w:t>PC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81.4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68.2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10.4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92"/>
            </w:pPr>
            <w:r>
              <w:t>14.1</w:t>
            </w:r>
          </w:p>
          <w:p w:rsidR="009D1730" w:rsidRDefault="009D1730" w:rsidP="006C56B7">
            <w:pPr>
              <w:pStyle w:val="TableText"/>
              <w:ind w:right="-92"/>
            </w:pPr>
          </w:p>
          <w:p w:rsidR="009D1730" w:rsidRDefault="009D1730" w:rsidP="006C56B7">
            <w:pPr>
              <w:pStyle w:val="TableText"/>
              <w:ind w:right="-92"/>
            </w:pPr>
            <w:r>
              <w:t>18.0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 xml:space="preserve">Mayo criteria 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≤26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73 (64, 80**)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77 (71, 82**)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4"/>
            </w:pPr>
            <w:r>
              <w:t>59 (51.5, 67.9**)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86 (80.4, 89.9**)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0.81 (NR)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proofErr w:type="spellStart"/>
            <w:r>
              <w:t>Vercambre</w:t>
            </w:r>
            <w:proofErr w:type="spellEnd"/>
            <w:r>
              <w:t>, 2010</w:t>
            </w:r>
            <w:r w:rsidRPr="00E424C9">
              <w:rPr>
                <w:noProof/>
                <w:vertAlign w:val="superscript"/>
              </w:rPr>
              <w:t>104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TICS-M (French)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120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120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8"/>
            </w:pPr>
            <w:r>
              <w:t>Born between 1925 and 1930</w:t>
            </w:r>
          </w:p>
          <w:p w:rsidR="009D1730" w:rsidRDefault="009D1730" w:rsidP="006C56B7">
            <w:pPr>
              <w:pStyle w:val="TableText"/>
              <w:ind w:right="-108"/>
            </w:pPr>
          </w:p>
          <w:p w:rsidR="009D1730" w:rsidRDefault="009D1730" w:rsidP="006C56B7">
            <w:pPr>
              <w:pStyle w:val="TableText"/>
              <w:ind w:right="-108"/>
            </w:pPr>
            <w:r>
              <w:t>Women</w:t>
            </w:r>
          </w:p>
          <w:p w:rsidR="009D1730" w:rsidRDefault="009D1730" w:rsidP="006C56B7">
            <w:pPr>
              <w:pStyle w:val="TableText"/>
              <w:ind w:right="-108"/>
            </w:pPr>
          </w:p>
          <w:p w:rsidR="009D1730" w:rsidRDefault="009D1730" w:rsidP="006C56B7">
            <w:pPr>
              <w:pStyle w:val="TableText"/>
              <w:ind w:right="-108"/>
            </w:pPr>
            <w:r>
              <w:t>National Education System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92"/>
            </w:pPr>
            <w:r>
              <w:t>8.3 (probable &amp; possible)</w:t>
            </w:r>
          </w:p>
          <w:p w:rsidR="009D1730" w:rsidRDefault="009D1730" w:rsidP="006C56B7">
            <w:pPr>
              <w:pStyle w:val="TableText"/>
              <w:ind w:right="-92"/>
            </w:pPr>
          </w:p>
          <w:p w:rsidR="009D1730" w:rsidRDefault="009D1730" w:rsidP="006C56B7">
            <w:pPr>
              <w:pStyle w:val="TableText"/>
              <w:ind w:right="-92"/>
            </w:pPr>
            <w:r>
              <w:t>15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 xml:space="preserve">Mayo criteria 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34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46 (28, 66**)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71 (51, 87**)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86 (67, 96**)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6"/>
            </w:pPr>
            <w:r>
              <w:t>99 (94, 100**)</w:t>
            </w:r>
          </w:p>
          <w:p w:rsidR="009D1730" w:rsidRDefault="009D1730" w:rsidP="006C56B7">
            <w:pPr>
              <w:pStyle w:val="TableText"/>
              <w:ind w:right="-106"/>
            </w:pPr>
          </w:p>
          <w:p w:rsidR="009D1730" w:rsidRDefault="009D1730" w:rsidP="006C56B7">
            <w:pPr>
              <w:pStyle w:val="TableText"/>
              <w:ind w:right="-106"/>
            </w:pPr>
            <w:r>
              <w:t>83 (73, 90**)</w:t>
            </w:r>
          </w:p>
          <w:p w:rsidR="009D1730" w:rsidRDefault="009D1730" w:rsidP="006C56B7">
            <w:pPr>
              <w:pStyle w:val="TableText"/>
              <w:ind w:right="-106"/>
            </w:pPr>
          </w:p>
          <w:p w:rsidR="009D1730" w:rsidRDefault="009D1730" w:rsidP="006C56B7">
            <w:pPr>
              <w:pStyle w:val="TableText"/>
              <w:ind w:right="-106"/>
            </w:pPr>
            <w:r>
              <w:t>47 (36, 57**)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4"/>
            </w:pPr>
            <w:r>
              <w:t>93 (66.1, 99.8**)</w:t>
            </w:r>
          </w:p>
          <w:p w:rsidR="009D1730" w:rsidRDefault="009D1730" w:rsidP="006C56B7">
            <w:pPr>
              <w:pStyle w:val="TableText"/>
              <w:ind w:right="-104"/>
            </w:pPr>
          </w:p>
          <w:p w:rsidR="009D1730" w:rsidRDefault="009D1730" w:rsidP="006C56B7">
            <w:pPr>
              <w:pStyle w:val="TableText"/>
              <w:ind w:right="-104"/>
            </w:pPr>
            <w:r>
              <w:t>56 (38.1, 72.1**)</w:t>
            </w:r>
          </w:p>
          <w:p w:rsidR="009D1730" w:rsidRDefault="009D1730" w:rsidP="006C56B7">
            <w:pPr>
              <w:pStyle w:val="TableText"/>
              <w:ind w:right="-104"/>
            </w:pPr>
          </w:p>
          <w:p w:rsidR="009D1730" w:rsidRDefault="009D1730" w:rsidP="006C56B7">
            <w:pPr>
              <w:pStyle w:val="TableText"/>
              <w:ind w:right="-104"/>
            </w:pPr>
            <w:r>
              <w:t>33 (22.3, 44.9**)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86 (77.7, 91.9**)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90 (82.1, 95.8**)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91 (79.6, 97.6**)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0.83 (NR)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r>
              <w:t>Callahan, 2002</w:t>
            </w:r>
            <w:r w:rsidRPr="00E424C9">
              <w:rPr>
                <w:noProof/>
                <w:vertAlign w:val="superscript"/>
              </w:rPr>
              <w:t>67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Mini-Mental State Examination (MMSE)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2212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269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8"/>
            </w:pPr>
            <w:r>
              <w:t>≥65 y</w:t>
            </w:r>
          </w:p>
          <w:p w:rsidR="009D1730" w:rsidRDefault="009D1730" w:rsidP="006C56B7">
            <w:pPr>
              <w:pStyle w:val="TableText"/>
              <w:ind w:right="-108"/>
            </w:pPr>
          </w:p>
          <w:p w:rsidR="009D1730" w:rsidRDefault="009D1730" w:rsidP="006C56B7">
            <w:pPr>
              <w:pStyle w:val="TableText"/>
              <w:ind w:right="-108"/>
            </w:pPr>
            <w:r>
              <w:t>Black</w:t>
            </w:r>
          </w:p>
          <w:p w:rsidR="009D1730" w:rsidRDefault="009D1730" w:rsidP="006C56B7">
            <w:pPr>
              <w:pStyle w:val="TableText"/>
              <w:ind w:right="-108"/>
            </w:pPr>
          </w:p>
          <w:p w:rsidR="009D1730" w:rsidRDefault="009D1730" w:rsidP="006C56B7">
            <w:pPr>
              <w:pStyle w:val="TableText"/>
              <w:ind w:right="-108"/>
            </w:pPr>
            <w:r>
              <w:t>Community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12.1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92"/>
            </w:pPr>
            <w:r>
              <w:t>4.3</w:t>
            </w:r>
          </w:p>
          <w:p w:rsidR="009D1730" w:rsidRDefault="009D1730" w:rsidP="006C56B7">
            <w:pPr>
              <w:pStyle w:val="TableText"/>
              <w:ind w:right="-92"/>
            </w:pPr>
          </w:p>
          <w:p w:rsidR="009D1730" w:rsidRDefault="009D1730" w:rsidP="006C56B7">
            <w:pPr>
              <w:pStyle w:val="TableText"/>
              <w:ind w:right="-92"/>
            </w:pPr>
            <w:r>
              <w:t>26.4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Mayo criteria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Subset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23/24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24/25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53.3 (43.1, 64.4**)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71.5 (61.0, 80.4**)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6"/>
            </w:pPr>
            <w:r>
              <w:t>92.1 (88.1, 95.1**)</w:t>
            </w:r>
          </w:p>
          <w:p w:rsidR="009D1730" w:rsidRDefault="009D1730" w:rsidP="006C56B7">
            <w:pPr>
              <w:pStyle w:val="TableText"/>
              <w:ind w:right="-106"/>
            </w:pPr>
          </w:p>
          <w:p w:rsidR="009D1730" w:rsidRDefault="009D1730" w:rsidP="006C56B7">
            <w:pPr>
              <w:pStyle w:val="TableText"/>
              <w:ind w:right="-106"/>
            </w:pPr>
            <w:r>
              <w:t>89.5 (87.4, 100.0**)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4"/>
            </w:pPr>
            <w:r>
              <w:t>70.9 (58.8, 81.3**)</w:t>
            </w:r>
          </w:p>
          <w:p w:rsidR="009D1730" w:rsidRDefault="009D1730" w:rsidP="006C56B7">
            <w:pPr>
              <w:pStyle w:val="TableText"/>
              <w:ind w:right="-104"/>
            </w:pPr>
          </w:p>
          <w:p w:rsidR="009D1730" w:rsidRDefault="009D1730" w:rsidP="006C56B7">
            <w:pPr>
              <w:pStyle w:val="TableText"/>
              <w:ind w:right="-104"/>
            </w:pPr>
            <w:r>
              <w:t>66.9 (56.7, 76.2**)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84.6 (79.9, 88.8**)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89.5** (85.0, 93.0**)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0.84 (NR)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r>
              <w:lastRenderedPageBreak/>
              <w:t>Cruz-</w:t>
            </w:r>
            <w:proofErr w:type="spellStart"/>
            <w:r>
              <w:t>Orduna</w:t>
            </w:r>
            <w:proofErr w:type="spellEnd"/>
            <w:r>
              <w:t>, 2011</w:t>
            </w:r>
            <w:r w:rsidRPr="00E424C9">
              <w:rPr>
                <w:noProof/>
                <w:vertAlign w:val="superscript"/>
              </w:rPr>
              <w:t>71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MMSE (Spanish)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Cognition-related complaint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73"/>
            </w:pPr>
            <w:r>
              <w:t>72.4</w:t>
            </w:r>
          </w:p>
          <w:p w:rsidR="009D1730" w:rsidRDefault="009D1730" w:rsidP="006C56B7">
            <w:pPr>
              <w:pStyle w:val="TableText"/>
              <w:ind w:right="-73"/>
            </w:pPr>
          </w:p>
          <w:p w:rsidR="009D1730" w:rsidRDefault="009D1730" w:rsidP="006C56B7">
            <w:pPr>
              <w:pStyle w:val="TableText"/>
              <w:ind w:right="-73"/>
            </w:pPr>
            <w:r>
              <w:t>70</w:t>
            </w:r>
          </w:p>
          <w:p w:rsidR="009D1730" w:rsidRDefault="009D1730" w:rsidP="006C56B7">
            <w:pPr>
              <w:pStyle w:val="TableText"/>
              <w:ind w:right="-73"/>
            </w:pPr>
          </w:p>
          <w:p w:rsidR="006C56B7" w:rsidRDefault="009D1730" w:rsidP="006C56B7">
            <w:pPr>
              <w:pStyle w:val="TableText"/>
              <w:ind w:right="-73"/>
            </w:pPr>
            <w:r>
              <w:t>% None/</w:t>
            </w:r>
          </w:p>
          <w:p w:rsidR="009D1730" w:rsidRDefault="009D1730" w:rsidP="006C56B7">
            <w:pPr>
              <w:pStyle w:val="TableText"/>
              <w:ind w:right="-73"/>
            </w:pPr>
            <w:r>
              <w:t>Incomplete: 44.4</w:t>
            </w:r>
          </w:p>
          <w:p w:rsidR="009D1730" w:rsidRDefault="009D1730" w:rsidP="006C56B7">
            <w:pPr>
              <w:pStyle w:val="TableText"/>
              <w:ind w:right="-73"/>
            </w:pPr>
            <w:r>
              <w:t>% Primary: 44.4</w:t>
            </w:r>
          </w:p>
          <w:p w:rsidR="009D1730" w:rsidRDefault="009D1730" w:rsidP="006C56B7">
            <w:pPr>
              <w:pStyle w:val="TableText"/>
              <w:ind w:right="-73"/>
            </w:pPr>
            <w:r>
              <w:t>% Superior: 5.6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46.9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6"/>
            </w:pPr>
            <w:r>
              <w:t>Below 10</w:t>
            </w:r>
            <w:r w:rsidRPr="006C56B7">
              <w:t>th</w:t>
            </w:r>
            <w:r>
              <w:t xml:space="preserve"> percentile on at least one test</w:t>
            </w:r>
          </w:p>
          <w:p w:rsidR="009D1730" w:rsidRDefault="009D1730" w:rsidP="006C56B7">
            <w:pPr>
              <w:pStyle w:val="TableText"/>
              <w:ind w:right="-106"/>
            </w:pPr>
          </w:p>
          <w:p w:rsidR="009D1730" w:rsidRDefault="009D1730" w:rsidP="006C56B7">
            <w:pPr>
              <w:pStyle w:val="TableText"/>
              <w:ind w:right="-106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23/24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5"/>
            </w:pPr>
            <w:r>
              <w:t>76.67 (66.57, 84.94**)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6"/>
            </w:pPr>
            <w:r>
              <w:t>70.0 (57.87, 80.38**)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4"/>
            </w:pPr>
            <w:r>
              <w:t>76.67 (66.6, 84.9**)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70.00 (57.9, 80.4**)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0.82 (0.76, 0.88)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r>
              <w:t>Cullen, 2005</w:t>
            </w:r>
            <w:r w:rsidRPr="00E424C9">
              <w:rPr>
                <w:noProof/>
                <w:vertAlign w:val="superscript"/>
              </w:rPr>
              <w:t>76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MMSE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1142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1115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9.9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6"/>
            </w:pPr>
            <w:r>
              <w:t>AGECAT, criteria NR</w:t>
            </w:r>
            <w:r>
              <w:br/>
            </w:r>
          </w:p>
          <w:p w:rsidR="009D1730" w:rsidRDefault="009D1730" w:rsidP="006C56B7">
            <w:pPr>
              <w:pStyle w:val="TableText"/>
              <w:ind w:right="-106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23/24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72.2 (62.1, 80.8**)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89.4 (65.3, 98.6**)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4"/>
            </w:pPr>
            <w:r>
              <w:t>39.3** (32.1, 46.9**)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97.1** (95.8, 98.1**)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proofErr w:type="spellStart"/>
            <w:r>
              <w:t>Jeong</w:t>
            </w:r>
            <w:proofErr w:type="spellEnd"/>
            <w:r>
              <w:t>, 2004</w:t>
            </w:r>
            <w:r w:rsidRPr="00E424C9">
              <w:rPr>
                <w:noProof/>
                <w:vertAlign w:val="superscript"/>
              </w:rPr>
              <w:t>79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Good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MMSE (Korean)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235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235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73.5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66.4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 (median)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19.6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23.0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6"/>
            </w:pPr>
            <w:r>
              <w:t>Subjective and objective cognitive impair</w:t>
            </w:r>
            <w:r w:rsidR="006C56B7">
              <w:t>-</w:t>
            </w:r>
            <w:proofErr w:type="spellStart"/>
            <w:r>
              <w:t>ment</w:t>
            </w:r>
            <w:proofErr w:type="spellEnd"/>
            <w:r>
              <w:t>, details NR</w:t>
            </w:r>
          </w:p>
          <w:p w:rsidR="009D1730" w:rsidRDefault="009D1730" w:rsidP="006C56B7">
            <w:pPr>
              <w:pStyle w:val="TableText"/>
              <w:ind w:right="-106"/>
            </w:pPr>
          </w:p>
          <w:p w:rsidR="009D1730" w:rsidRDefault="009D1730" w:rsidP="006C56B7">
            <w:pPr>
              <w:pStyle w:val="TableText"/>
              <w:ind w:right="-106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20/21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82 (73, 89)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79 71, 86)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4"/>
            </w:pPr>
            <w:r>
              <w:t>74.6** (65.4, 82.4**)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85.6** (78.2, 91.2**)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0.89 (0.02)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proofErr w:type="spellStart"/>
            <w:r>
              <w:t>Jorm</w:t>
            </w:r>
            <w:proofErr w:type="spellEnd"/>
            <w:r>
              <w:t>, 1996</w:t>
            </w:r>
            <w:r w:rsidRPr="00E424C9">
              <w:rPr>
                <w:noProof/>
                <w:vertAlign w:val="superscript"/>
              </w:rPr>
              <w:t>80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MMSE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POW/veteran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6"/>
            </w:pPr>
            <w:r>
              <w:t>Mild memory impair</w:t>
            </w:r>
            <w:r w:rsidR="006C56B7">
              <w:t>-</w:t>
            </w:r>
            <w:proofErr w:type="spellStart"/>
            <w:r>
              <w:t>ment</w:t>
            </w:r>
            <w:proofErr w:type="spellEnd"/>
            <w:r>
              <w:t xml:space="preserve"> criteria NR</w:t>
            </w:r>
          </w:p>
          <w:p w:rsidR="009D1730" w:rsidRDefault="009D1730" w:rsidP="006C56B7">
            <w:pPr>
              <w:pStyle w:val="TableText"/>
              <w:ind w:right="-106"/>
            </w:pPr>
          </w:p>
          <w:p w:rsidR="009D1730" w:rsidRDefault="009D1730" w:rsidP="006C56B7">
            <w:pPr>
              <w:pStyle w:val="TableText"/>
              <w:ind w:right="-106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0.70 (0.05)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20"/>
            </w:pPr>
            <w:r>
              <w:t>Lam, 2008</w:t>
            </w:r>
            <w:r w:rsidRPr="00E424C9">
              <w:rPr>
                <w:noProof/>
                <w:vertAlign w:val="superscript"/>
              </w:rPr>
              <w:t>83</w:t>
            </w:r>
          </w:p>
          <w:p w:rsidR="009D1730" w:rsidRDefault="009D1730" w:rsidP="006C56B7">
            <w:pPr>
              <w:pStyle w:val="TableText"/>
              <w:ind w:right="-120"/>
            </w:pPr>
          </w:p>
          <w:p w:rsidR="009D1730" w:rsidRDefault="009D1730" w:rsidP="006C56B7">
            <w:pPr>
              <w:pStyle w:val="TableText"/>
              <w:ind w:right="-120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7"/>
            </w:pPr>
            <w:r>
              <w:t>MMSE (Chinese)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459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459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71.2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54.5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35.3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Mayo criteria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0.961 (NR)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lastRenderedPageBreak/>
              <w:t>Li, 2006</w:t>
            </w:r>
            <w:r w:rsidRPr="00E424C9">
              <w:rPr>
                <w:noProof/>
                <w:vertAlign w:val="superscript"/>
              </w:rPr>
              <w:t>97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(Chinese or English)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65-90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Community; neuroscience clinic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50.7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13.2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25.7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6"/>
            </w:pPr>
            <w:r>
              <w:t>Mayo criteria and CDR=0.5</w:t>
            </w:r>
          </w:p>
          <w:p w:rsidR="009D1730" w:rsidRDefault="009D1730" w:rsidP="006C56B7">
            <w:pPr>
              <w:pStyle w:val="TableText"/>
              <w:ind w:right="-106"/>
            </w:pPr>
          </w:p>
          <w:p w:rsidR="009D1730" w:rsidRDefault="009D1730" w:rsidP="006C56B7">
            <w:pPr>
              <w:pStyle w:val="TableText"/>
              <w:ind w:right="-106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80"/>
            </w:pPr>
            <w:r>
              <w:t>0.779 (0.040)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McDowell, 1997</w:t>
            </w:r>
            <w:r w:rsidRPr="00E424C9">
              <w:rPr>
                <w:noProof/>
                <w:vertAlign w:val="superscript"/>
              </w:rPr>
              <w:t>84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(English or French)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80.0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8.6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06"/>
            </w:pPr>
            <w:r>
              <w:t>CIND criteria NR</w:t>
            </w:r>
            <w:r>
              <w:br/>
            </w:r>
          </w:p>
          <w:p w:rsidR="009D1730" w:rsidRDefault="009D1730" w:rsidP="006C56B7">
            <w:pPr>
              <w:pStyle w:val="TableText"/>
              <w:ind w:right="-106"/>
            </w:pPr>
            <w:r>
              <w:t>Subset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C56B7">
            <w:pPr>
              <w:pStyle w:val="TableText"/>
              <w:ind w:right="-180"/>
            </w:pPr>
            <w:r>
              <w:t>0.77 (0.012)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Scharre</w:t>
            </w:r>
            <w:proofErr w:type="spellEnd"/>
            <w:r>
              <w:t>, 2010</w:t>
            </w:r>
            <w:r w:rsidRPr="00E424C9">
              <w:rPr>
                <w:noProof/>
                <w:vertAlign w:val="superscript"/>
              </w:rPr>
              <w:t>87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254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7"/>
            </w:pPr>
            <w:r>
              <w:t>&gt;59 y</w:t>
            </w:r>
          </w:p>
          <w:p w:rsidR="009D1730" w:rsidRDefault="009D1730" w:rsidP="006C56B7">
            <w:pPr>
              <w:pStyle w:val="TableText"/>
              <w:ind w:right="-107"/>
            </w:pPr>
          </w:p>
          <w:p w:rsidR="009D1730" w:rsidRDefault="009D1730" w:rsidP="006C56B7">
            <w:pPr>
              <w:pStyle w:val="TableText"/>
              <w:ind w:right="-107"/>
            </w:pPr>
            <w:r>
              <w:t>Geriatric outpatient; community; independent and assisted living facilities; senior centers; memory clinic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66.7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6C56B7">
            <w:pPr>
              <w:pStyle w:val="TableText"/>
            </w:pPr>
            <w:r>
              <w:t xml:space="preserve">93.7% </w:t>
            </w:r>
            <w:r w:rsidR="006C56B7">
              <w:t>≥</w:t>
            </w:r>
            <w:r>
              <w:t>HS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6C56B7" w:rsidP="006C56B7">
            <w:pPr>
              <w:pStyle w:val="TableText"/>
              <w:ind w:right="-106"/>
            </w:pPr>
            <w:r>
              <w:t>≥</w:t>
            </w:r>
            <w:r w:rsidR="009D1730">
              <w:t>1.5 SD below norm</w:t>
            </w:r>
          </w:p>
          <w:p w:rsidR="009D1730" w:rsidRDefault="009D1730" w:rsidP="006C56B7">
            <w:pPr>
              <w:pStyle w:val="TableText"/>
              <w:ind w:right="-106"/>
            </w:pPr>
          </w:p>
          <w:p w:rsidR="009D1730" w:rsidRDefault="009D1730" w:rsidP="006C56B7">
            <w:pPr>
              <w:pStyle w:val="TableText"/>
              <w:ind w:right="-106"/>
            </w:pPr>
            <w:r>
              <w:t>Subset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≤27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71 (55, 84**)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90 (70, 99**)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4"/>
            </w:pPr>
            <w:r>
              <w:t>93.8** (79.2, 99.2**)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61.3** (42.2, 78.2**)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0.804 (NR)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19"/>
            </w:pPr>
            <w:proofErr w:type="spellStart"/>
            <w:r>
              <w:t>Vercambre</w:t>
            </w:r>
            <w:proofErr w:type="spellEnd"/>
            <w:r>
              <w:t>, 2010</w:t>
            </w:r>
            <w:r w:rsidRPr="00E424C9">
              <w:rPr>
                <w:noProof/>
                <w:vertAlign w:val="superscript"/>
              </w:rPr>
              <w:t>104</w:t>
            </w:r>
          </w:p>
          <w:p w:rsidR="009D1730" w:rsidRDefault="009D1730" w:rsidP="00665899">
            <w:pPr>
              <w:pStyle w:val="TableText"/>
              <w:ind w:right="-119"/>
            </w:pPr>
          </w:p>
          <w:p w:rsidR="009D1730" w:rsidRDefault="009D1730" w:rsidP="00665899">
            <w:pPr>
              <w:pStyle w:val="TableText"/>
              <w:ind w:right="-119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(French)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120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120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C56B7">
            <w:pPr>
              <w:pStyle w:val="TableText"/>
              <w:ind w:right="-107"/>
            </w:pPr>
            <w:r>
              <w:t>Born between 1925 and 1930</w:t>
            </w:r>
          </w:p>
          <w:p w:rsidR="009D1730" w:rsidRDefault="009D1730" w:rsidP="006C56B7">
            <w:pPr>
              <w:pStyle w:val="TableText"/>
              <w:ind w:right="-107"/>
            </w:pPr>
          </w:p>
          <w:p w:rsidR="009D1730" w:rsidRDefault="009D1730" w:rsidP="006C56B7">
            <w:pPr>
              <w:pStyle w:val="TableText"/>
              <w:ind w:right="-107"/>
            </w:pPr>
            <w:r>
              <w:t>Women</w:t>
            </w:r>
          </w:p>
          <w:p w:rsidR="009D1730" w:rsidRDefault="009D1730" w:rsidP="006C56B7">
            <w:pPr>
              <w:pStyle w:val="TableText"/>
              <w:ind w:right="-107"/>
            </w:pPr>
          </w:p>
          <w:p w:rsidR="009D1730" w:rsidRDefault="009D1730" w:rsidP="006C56B7">
            <w:pPr>
              <w:pStyle w:val="TableText"/>
              <w:ind w:right="-107"/>
            </w:pPr>
            <w:r>
              <w:t>National Education System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 xml:space="preserve">Mayo criteria 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0.72 (NR)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proofErr w:type="spellStart"/>
            <w:r w:rsidRPr="00754ACE">
              <w:t>Markwick</w:t>
            </w:r>
            <w:proofErr w:type="spellEnd"/>
            <w:r w:rsidRPr="00754ACE">
              <w:t>, 2012</w:t>
            </w:r>
            <w:r w:rsidRPr="00E424C9">
              <w:rPr>
                <w:noProof/>
                <w:vertAlign w:val="superscript"/>
              </w:rPr>
              <w:t>89</w:t>
            </w:r>
          </w:p>
          <w:p w:rsidR="009D1730" w:rsidRPr="00754ACE" w:rsidRDefault="009D1730" w:rsidP="009D1730">
            <w:pPr>
              <w:pStyle w:val="TableText"/>
            </w:pPr>
          </w:p>
          <w:p w:rsidR="009D1730" w:rsidRPr="00754ACE" w:rsidRDefault="009D1730" w:rsidP="009D1730">
            <w:pPr>
              <w:pStyle w:val="TableText"/>
            </w:pPr>
            <w:r w:rsidRPr="00754ACE">
              <w:t>Good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6B7468" w:rsidRDefault="009D1730" w:rsidP="009D1730">
            <w:pPr>
              <w:pStyle w:val="TableText"/>
            </w:pPr>
            <w:proofErr w:type="spellStart"/>
            <w:r w:rsidRPr="00754ACE">
              <w:t>MoCA</w:t>
            </w:r>
            <w:proofErr w:type="spellEnd"/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2754B" w:rsidRDefault="009D1730" w:rsidP="009D1730">
            <w:pPr>
              <w:pStyle w:val="TableText"/>
            </w:pPr>
            <w:r w:rsidRPr="004C2E9D">
              <w:t>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F66AA2" w:rsidRDefault="009D1730" w:rsidP="009D1730">
            <w:pPr>
              <w:pStyle w:val="TableText"/>
            </w:pPr>
            <w:r w:rsidRPr="00F66AA2">
              <w:t>107</w:t>
            </w:r>
          </w:p>
          <w:p w:rsidR="009D1730" w:rsidRPr="00A87BCE" w:rsidRDefault="009D1730" w:rsidP="009D1730">
            <w:pPr>
              <w:pStyle w:val="TableText"/>
            </w:pPr>
          </w:p>
          <w:p w:rsidR="009D1730" w:rsidRPr="00A4750F" w:rsidRDefault="009D1730" w:rsidP="009D1730">
            <w:pPr>
              <w:pStyle w:val="TableText"/>
            </w:pPr>
            <w:r w:rsidRPr="00E176B4">
              <w:t>107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9E5431" w:rsidRDefault="009D1730" w:rsidP="009D1730">
            <w:pPr>
              <w:pStyle w:val="TableText"/>
            </w:pPr>
            <w:r w:rsidRPr="009E5431">
              <w:t>MMSE ≥24</w:t>
            </w:r>
          </w:p>
          <w:p w:rsidR="009D1730" w:rsidRPr="00CC09AA" w:rsidRDefault="009D1730" w:rsidP="009D1730">
            <w:pPr>
              <w:pStyle w:val="TableText"/>
            </w:pPr>
          </w:p>
          <w:p w:rsidR="009D1730" w:rsidRPr="009A2E1F" w:rsidRDefault="009D1730" w:rsidP="009D1730">
            <w:pPr>
              <w:pStyle w:val="TableText"/>
            </w:pPr>
            <w:r w:rsidRPr="00156AFF">
              <w:t>NR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975A7E" w:rsidRDefault="009D1730" w:rsidP="009D1730">
            <w:pPr>
              <w:pStyle w:val="TableText"/>
            </w:pPr>
            <w:r w:rsidRPr="00975A7E">
              <w:t>76</w:t>
            </w:r>
          </w:p>
          <w:p w:rsidR="009D1730" w:rsidRPr="00A848B5" w:rsidRDefault="009D1730" w:rsidP="009D1730">
            <w:pPr>
              <w:pStyle w:val="TableText"/>
            </w:pPr>
          </w:p>
          <w:p w:rsidR="009D1730" w:rsidRPr="00F57562" w:rsidRDefault="009D1730" w:rsidP="009D1730">
            <w:pPr>
              <w:pStyle w:val="TableText"/>
            </w:pPr>
            <w:r w:rsidRPr="00F57562">
              <w:t>54</w:t>
            </w:r>
          </w:p>
          <w:p w:rsidR="009D1730" w:rsidRPr="00D254A7" w:rsidRDefault="009D1730" w:rsidP="009D1730">
            <w:pPr>
              <w:pStyle w:val="TableText"/>
            </w:pPr>
          </w:p>
          <w:p w:rsidR="009D1730" w:rsidRPr="00716E15" w:rsidRDefault="009D1730" w:rsidP="009D1730">
            <w:pPr>
              <w:pStyle w:val="TableText"/>
            </w:pPr>
            <w:r w:rsidRPr="00716E15">
              <w:t xml:space="preserve">76.6% &gt;12 </w:t>
            </w:r>
            <w:r w:rsidR="00417B9C">
              <w:t>y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ED4778" w:rsidRDefault="009D1730" w:rsidP="009D1730">
            <w:pPr>
              <w:pStyle w:val="TableText"/>
            </w:pPr>
            <w:r w:rsidRPr="00ED4778">
              <w:t>7.5</w:t>
            </w:r>
          </w:p>
          <w:p w:rsidR="009D1730" w:rsidRPr="009E18C8" w:rsidRDefault="009D1730" w:rsidP="009D1730">
            <w:pPr>
              <w:pStyle w:val="TableText"/>
            </w:pPr>
          </w:p>
          <w:p w:rsidR="009D1730" w:rsidRPr="00B77033" w:rsidRDefault="009D1730" w:rsidP="009D1730">
            <w:pPr>
              <w:pStyle w:val="TableText"/>
            </w:pPr>
            <w:r w:rsidRPr="005876B2">
              <w:t>18.7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306498" w:rsidRDefault="009D1730" w:rsidP="009D1730">
            <w:pPr>
              <w:pStyle w:val="TableText"/>
            </w:pPr>
            <w:r w:rsidRPr="00306498">
              <w:t>Petersen criteria</w:t>
            </w:r>
          </w:p>
          <w:p w:rsidR="009D1730" w:rsidRPr="00CF30F8" w:rsidRDefault="009D1730" w:rsidP="009D1730">
            <w:pPr>
              <w:pStyle w:val="TableText"/>
            </w:pPr>
          </w:p>
          <w:p w:rsidR="009D1730" w:rsidRPr="00FC238A" w:rsidRDefault="009D1730" w:rsidP="009D1730">
            <w:pPr>
              <w:pStyle w:val="TableText"/>
            </w:pPr>
            <w:r w:rsidRPr="00E34E57"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050931" w:rsidRDefault="009D1730" w:rsidP="009D1730">
            <w:pPr>
              <w:pStyle w:val="TableText"/>
            </w:pPr>
            <w:r w:rsidRPr="0020601F">
              <w:t>&lt;26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85.7* (67.3, 96.0*)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76.0* (65.0, 84.9*)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55.8* (39.9, 70.9*)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93.8* (84.8, 98.3*)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Pr="00754ACE" w:rsidRDefault="009D1730" w:rsidP="009D1730">
            <w:pPr>
              <w:pStyle w:val="TableText"/>
            </w:pPr>
            <w:r w:rsidRPr="00754ACE">
              <w:t>NR</w:t>
            </w:r>
          </w:p>
        </w:tc>
      </w:tr>
      <w:tr w:rsidR="006C56B7" w:rsidTr="006C56B7">
        <w:trPr>
          <w:cantSplit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Li, 2006</w:t>
            </w:r>
            <w:r w:rsidRPr="00E424C9">
              <w:rPr>
                <w:noProof/>
                <w:vertAlign w:val="superscript"/>
              </w:rPr>
              <w:t>97</w:t>
            </w:r>
            <w:r>
              <w:t xml:space="preserve"> 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Immediate Recall (Logical Memory I) (Chinese or English)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65-90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Community; neuroscience clinic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50.7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13.2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25.7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06"/>
            </w:pPr>
            <w:r>
              <w:t>Mayo criteria and CDR=0.5</w:t>
            </w:r>
          </w:p>
          <w:p w:rsidR="009D1730" w:rsidRDefault="009D1730" w:rsidP="00665899">
            <w:pPr>
              <w:pStyle w:val="TableText"/>
              <w:ind w:right="-106"/>
            </w:pPr>
          </w:p>
          <w:p w:rsidR="009D1730" w:rsidRDefault="009D1730" w:rsidP="00665899">
            <w:pPr>
              <w:pStyle w:val="TableText"/>
              <w:ind w:right="-106"/>
            </w:pPr>
            <w:r>
              <w:t>All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90"/>
            </w:pPr>
            <w:r>
              <w:t>0.871 (0.032)</w:t>
            </w:r>
          </w:p>
        </w:tc>
      </w:tr>
    </w:tbl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hAnsi="Arial" w:cs="Arial"/>
          <w:sz w:val="18"/>
          <w:szCs w:val="18"/>
        </w:rPr>
        <w:lastRenderedPageBreak/>
        <w:t xml:space="preserve">* Calculated from 2x2 </w:t>
      </w:r>
      <w:proofErr w:type="gramStart"/>
      <w:r w:rsidRPr="00665899">
        <w:rPr>
          <w:rFonts w:ascii="Arial" w:hAnsi="Arial" w:cs="Arial"/>
          <w:sz w:val="18"/>
          <w:szCs w:val="18"/>
        </w:rPr>
        <w:t>table</w:t>
      </w:r>
      <w:proofErr w:type="gramEnd"/>
      <w:r w:rsidR="00665899">
        <w:rPr>
          <w:rFonts w:ascii="Arial" w:hAnsi="Arial" w:cs="Arial"/>
          <w:sz w:val="18"/>
          <w:szCs w:val="18"/>
        </w:rPr>
        <w:t>.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hAnsi="Arial" w:cs="Arial"/>
          <w:sz w:val="18"/>
          <w:szCs w:val="18"/>
        </w:rPr>
        <w:t>‡ Assumed</w:t>
      </w:r>
      <w:r w:rsidR="00665899">
        <w:rPr>
          <w:rFonts w:ascii="Arial" w:hAnsi="Arial" w:cs="Arial"/>
          <w:sz w:val="18"/>
          <w:szCs w:val="18"/>
        </w:rPr>
        <w:t>.</w:t>
      </w:r>
      <w:r w:rsidRPr="00665899">
        <w:rPr>
          <w:rFonts w:ascii="Arial" w:hAnsi="Arial" w:cs="Arial"/>
          <w:sz w:val="18"/>
          <w:szCs w:val="18"/>
        </w:rPr>
        <w:t xml:space="preserve"> 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eastAsia="Calibri" w:hAnsi="Arial" w:cs="Arial"/>
          <w:sz w:val="18"/>
          <w:szCs w:val="18"/>
          <w:vertAlign w:val="superscript"/>
        </w:rPr>
        <w:t>║</w:t>
      </w:r>
      <w:r w:rsidRPr="00665899">
        <w:rPr>
          <w:rFonts w:ascii="Arial" w:eastAsia="Calibri" w:hAnsi="Arial" w:cs="Arial"/>
          <w:sz w:val="18"/>
          <w:szCs w:val="18"/>
        </w:rPr>
        <w:t xml:space="preserve"> Reported administration times varied, but the IQCODE can be self-administered in less than 20 minutes, so was included</w:t>
      </w:r>
      <w:r w:rsidR="00665899">
        <w:rPr>
          <w:rFonts w:ascii="Arial" w:eastAsia="Calibri" w:hAnsi="Arial" w:cs="Arial"/>
          <w:sz w:val="18"/>
          <w:szCs w:val="18"/>
        </w:rPr>
        <w:t>.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eastAsia="Calibri" w:hAnsi="Arial" w:cs="Arial"/>
          <w:sz w:val="18"/>
          <w:szCs w:val="18"/>
        </w:rPr>
        <w:t>†† Confidence intervals could not be calculated</w:t>
      </w:r>
      <w:r w:rsidR="00665899">
        <w:rPr>
          <w:rFonts w:ascii="Arial" w:eastAsia="Calibri" w:hAnsi="Arial" w:cs="Arial"/>
          <w:sz w:val="18"/>
          <w:szCs w:val="18"/>
        </w:rPr>
        <w:t>.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hAnsi="Arial" w:cs="Arial"/>
          <w:sz w:val="18"/>
          <w:szCs w:val="18"/>
        </w:rPr>
        <w:t>** Calculated using the sensitivity, specificity, and prevalence of cognitive impairment</w:t>
      </w:r>
      <w:r w:rsidR="00665899">
        <w:rPr>
          <w:rFonts w:ascii="Arial" w:hAnsi="Arial" w:cs="Arial"/>
          <w:sz w:val="18"/>
          <w:szCs w:val="18"/>
        </w:rPr>
        <w:t>.</w:t>
      </w:r>
    </w:p>
    <w:p w:rsidR="00E21583" w:rsidRPr="00665899" w:rsidRDefault="009D1730" w:rsidP="00750E7F">
      <w:pPr>
        <w:pStyle w:val="TableTitle"/>
        <w:spacing w:before="0"/>
        <w:rPr>
          <w:rFonts w:cs="Arial"/>
          <w:sz w:val="18"/>
          <w:szCs w:val="18"/>
        </w:rPr>
      </w:pPr>
      <w:r w:rsidRPr="00665899">
        <w:rPr>
          <w:rFonts w:cs="Arial"/>
          <w:sz w:val="18"/>
          <w:szCs w:val="18"/>
        </w:rPr>
        <w:t>Abbreviations:</w:t>
      </w:r>
      <w:r w:rsidRPr="00665899">
        <w:rPr>
          <w:rFonts w:cs="Arial"/>
          <w:b w:val="0"/>
          <w:sz w:val="18"/>
          <w:szCs w:val="18"/>
        </w:rPr>
        <w:t xml:space="preserve"> AGECAT = </w:t>
      </w:r>
      <w:r w:rsidRPr="00665899">
        <w:rPr>
          <w:rFonts w:cs="Arial"/>
          <w:b w:val="0"/>
          <w:sz w:val="18"/>
          <w:szCs w:val="18"/>
          <w:lang w:val="en"/>
        </w:rPr>
        <w:t xml:space="preserve">Automated Geriatric Examination for Computer Assisted Taxonomy; </w:t>
      </w:r>
      <w:r w:rsidRPr="00665899">
        <w:rPr>
          <w:rFonts w:cs="Arial"/>
          <w:b w:val="0"/>
          <w:sz w:val="18"/>
          <w:szCs w:val="18"/>
        </w:rPr>
        <w:t xml:space="preserve">AUC = area under the curve; CDR = clinical dementia rating; CI = confidence interval; </w:t>
      </w:r>
      <w:r w:rsidRPr="00665899">
        <w:rPr>
          <w:rFonts w:cs="Arial"/>
          <w:b w:val="0"/>
          <w:sz w:val="18"/>
          <w:szCs w:val="18"/>
          <w:lang w:val="en"/>
        </w:rPr>
        <w:t>CIND = cognitive impairment no dementia</w:t>
      </w:r>
      <w:r w:rsidRPr="00665899">
        <w:rPr>
          <w:rFonts w:cs="Arial"/>
          <w:b w:val="0"/>
          <w:sz w:val="18"/>
          <w:szCs w:val="18"/>
        </w:rPr>
        <w:t xml:space="preserve">; </w:t>
      </w:r>
      <w:proofErr w:type="spellStart"/>
      <w:r w:rsidRPr="00665899">
        <w:rPr>
          <w:rFonts w:cs="Arial"/>
          <w:b w:val="0"/>
          <w:sz w:val="18"/>
          <w:szCs w:val="18"/>
        </w:rPr>
        <w:t>Est</w:t>
      </w:r>
      <w:proofErr w:type="spellEnd"/>
      <w:r w:rsidRPr="00665899">
        <w:rPr>
          <w:rFonts w:cs="Arial"/>
          <w:b w:val="0"/>
          <w:sz w:val="18"/>
          <w:szCs w:val="18"/>
        </w:rPr>
        <w:t xml:space="preserve"> = estimate; HS = high school; MMSE = Mini-Mental State Examination; N = number; norm = normal ; NPV = negative predictive value ; NR = not reported; POW = prisoner of war; PPV = positive predictive value; SD = standard deviation; SE = standard error; TICS-M = Telephone interview for Cognitive Impairment modified</w:t>
      </w:r>
      <w:r w:rsidR="00665899">
        <w:rPr>
          <w:rFonts w:cs="Arial"/>
          <w:b w:val="0"/>
          <w:sz w:val="18"/>
          <w:szCs w:val="18"/>
        </w:rPr>
        <w:t xml:space="preserve">; </w:t>
      </w:r>
      <w:r w:rsidRPr="00665899">
        <w:rPr>
          <w:rFonts w:cs="Arial"/>
          <w:b w:val="0"/>
          <w:sz w:val="18"/>
          <w:szCs w:val="18"/>
        </w:rPr>
        <w:t xml:space="preserve">y = </w:t>
      </w:r>
      <w:r w:rsidR="00417B9C" w:rsidRPr="00665899">
        <w:rPr>
          <w:rFonts w:cs="Arial"/>
          <w:b w:val="0"/>
          <w:sz w:val="18"/>
          <w:szCs w:val="18"/>
        </w:rPr>
        <w:t>y</w:t>
      </w:r>
      <w:r w:rsidR="00665899">
        <w:rPr>
          <w:rFonts w:cs="Arial"/>
          <w:b w:val="0"/>
          <w:sz w:val="18"/>
          <w:szCs w:val="18"/>
        </w:rPr>
        <w:t>ear</w:t>
      </w:r>
      <w:r w:rsidRPr="00665899">
        <w:rPr>
          <w:rFonts w:cs="Arial"/>
          <w:b w:val="0"/>
          <w:sz w:val="18"/>
          <w:szCs w:val="18"/>
        </w:rPr>
        <w:t>.</w:t>
      </w:r>
      <w:bookmarkStart w:id="0" w:name="_GoBack"/>
      <w:bookmarkEnd w:id="0"/>
    </w:p>
    <w:sectPr w:rsidR="00E21583" w:rsidRPr="00665899" w:rsidSect="00750E7F">
      <w:headerReference w:type="default" r:id="rId8"/>
      <w:footerReference w:type="default" r:id="rId9"/>
      <w:pgSz w:w="15840" w:h="12240" w:orient="landscape"/>
      <w:pgMar w:top="1440" w:right="1440" w:bottom="1170" w:left="1440" w:header="720" w:footer="720" w:gutter="0"/>
      <w:pgNumType w:start="2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21" w:rsidRDefault="00336321" w:rsidP="00C14A09">
      <w:r>
        <w:separator/>
      </w:r>
    </w:p>
  </w:endnote>
  <w:endnote w:type="continuationSeparator" w:id="0">
    <w:p w:rsidR="00336321" w:rsidRDefault="00336321" w:rsidP="00C1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Default="006C56B7" w:rsidP="00C14A09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750E7F">
      <w:rPr>
        <w:rFonts w:ascii="Arial" w:hAnsi="Arial"/>
        <w:noProof/>
        <w:sz w:val="16"/>
        <w:szCs w:val="16"/>
      </w:rPr>
      <w:t>286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21" w:rsidRDefault="00336321" w:rsidP="00C14A09">
      <w:r>
        <w:separator/>
      </w:r>
    </w:p>
  </w:footnote>
  <w:footnote w:type="continuationSeparator" w:id="0">
    <w:p w:rsidR="00336321" w:rsidRDefault="00336321" w:rsidP="00C1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Pr="00C14A09" w:rsidRDefault="006C56B7">
    <w:pPr>
      <w:pStyle w:val="Header"/>
      <w:rPr>
        <w:rFonts w:ascii="Arial" w:hAnsi="Arial" w:cs="Arial"/>
        <w:b/>
        <w:sz w:val="20"/>
        <w:szCs w:val="20"/>
      </w:rPr>
    </w:pPr>
    <w:r w:rsidRPr="00C14A09">
      <w:rPr>
        <w:rFonts w:ascii="Arial" w:hAnsi="Arial" w:cs="Arial"/>
        <w:b/>
        <w:sz w:val="20"/>
        <w:szCs w:val="20"/>
      </w:rPr>
      <w:t>Appendix D. Abbreviated Evidence Tables for Key Question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A09"/>
    <w:rsid w:val="000A7F0C"/>
    <w:rsid w:val="002A1795"/>
    <w:rsid w:val="002B1C8A"/>
    <w:rsid w:val="00325074"/>
    <w:rsid w:val="00336321"/>
    <w:rsid w:val="00412E71"/>
    <w:rsid w:val="00417B9C"/>
    <w:rsid w:val="00510020"/>
    <w:rsid w:val="00597D50"/>
    <w:rsid w:val="00665899"/>
    <w:rsid w:val="00693048"/>
    <w:rsid w:val="006B6342"/>
    <w:rsid w:val="006C56B7"/>
    <w:rsid w:val="00750E7F"/>
    <w:rsid w:val="0082725C"/>
    <w:rsid w:val="0085747D"/>
    <w:rsid w:val="00884B7E"/>
    <w:rsid w:val="009317A8"/>
    <w:rsid w:val="009656E1"/>
    <w:rsid w:val="009D1730"/>
    <w:rsid w:val="00B913AC"/>
    <w:rsid w:val="00C14A09"/>
    <w:rsid w:val="00C4069E"/>
    <w:rsid w:val="00CB4639"/>
    <w:rsid w:val="00CB5C0F"/>
    <w:rsid w:val="00D03E00"/>
    <w:rsid w:val="00D22427"/>
    <w:rsid w:val="00D4472D"/>
    <w:rsid w:val="00DA0139"/>
    <w:rsid w:val="00E21583"/>
    <w:rsid w:val="00E41362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09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14A0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4A09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C14A09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C14A09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C14A09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4A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4A09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4A0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14A09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C14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A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09"/>
    <w:rPr>
      <w:rFonts w:ascii="Times New Roman" w:hAnsi="Times New Roman"/>
      <w:sz w:val="24"/>
      <w:szCs w:val="24"/>
    </w:rPr>
  </w:style>
  <w:style w:type="paragraph" w:customStyle="1" w:styleId="FigureTitle">
    <w:name w:val="FigureTitle"/>
    <w:basedOn w:val="Normal"/>
    <w:qFormat/>
    <w:rsid w:val="00C14A09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C14A09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C14A09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C14A0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14A09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14A09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C14A0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C14A09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C14A09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C14A09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C14A09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C14A09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C14A09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C14A09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C14A09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C14A09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C14A09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C14A09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C14A09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1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9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C14A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4A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C14A09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1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4A09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C14A09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C14A09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C14A09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C14A09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C14A09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C14A09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C14A09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C14A09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C14A09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C14A09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C14A09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C14A09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C14A09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C14A09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C14A09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C14A09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14A09"/>
    <w:pPr>
      <w:spacing w:after="120"/>
    </w:pPr>
  </w:style>
  <w:style w:type="character" w:customStyle="1" w:styleId="BodyTextChar">
    <w:name w:val="BodyText Char"/>
    <w:link w:val="BodyText"/>
    <w:rsid w:val="00C14A09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C14A09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14A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C14A09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C14A09"/>
    <w:rPr>
      <w:color w:val="800080"/>
      <w:u w:val="single"/>
    </w:rPr>
  </w:style>
  <w:style w:type="paragraph" w:styleId="BodyText0">
    <w:name w:val="Body Text"/>
    <w:basedOn w:val="Normal"/>
    <w:link w:val="BodyTextChar0"/>
    <w:rsid w:val="00C14A09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C14A09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C14A09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4A09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14A09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4A09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C14A09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14A09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C14A09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14A09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C14A09"/>
  </w:style>
  <w:style w:type="paragraph" w:styleId="ListParagraph">
    <w:name w:val="List Paragraph"/>
    <w:basedOn w:val="Normal"/>
    <w:qFormat/>
    <w:rsid w:val="00C14A09"/>
    <w:pPr>
      <w:ind w:left="720"/>
      <w:contextualSpacing/>
    </w:pPr>
    <w:rPr>
      <w:rFonts w:ascii="Cambria" w:eastAsia="MS Minngs" w:hAnsi="Cambria"/>
    </w:rPr>
  </w:style>
  <w:style w:type="character" w:styleId="HTMLCite">
    <w:name w:val="HTML Cite"/>
    <w:uiPriority w:val="99"/>
    <w:unhideWhenUsed/>
    <w:rsid w:val="00C14A09"/>
    <w:rPr>
      <w:i/>
      <w:iCs/>
    </w:rPr>
  </w:style>
  <w:style w:type="character" w:customStyle="1" w:styleId="author">
    <w:name w:val="author"/>
    <w:rsid w:val="00C14A09"/>
  </w:style>
  <w:style w:type="character" w:customStyle="1" w:styleId="articletitle">
    <w:name w:val="articletitle"/>
    <w:rsid w:val="00C14A09"/>
  </w:style>
  <w:style w:type="character" w:customStyle="1" w:styleId="journaltitle">
    <w:name w:val="journaltitle"/>
    <w:rsid w:val="00C14A09"/>
  </w:style>
  <w:style w:type="character" w:customStyle="1" w:styleId="pubyear">
    <w:name w:val="pubyear"/>
    <w:rsid w:val="00C14A09"/>
  </w:style>
  <w:style w:type="character" w:customStyle="1" w:styleId="vol">
    <w:name w:val="vol"/>
    <w:rsid w:val="00C14A09"/>
  </w:style>
  <w:style w:type="character" w:customStyle="1" w:styleId="pagefirst">
    <w:name w:val="pagefirst"/>
    <w:rsid w:val="00C14A09"/>
  </w:style>
  <w:style w:type="character" w:customStyle="1" w:styleId="pagelast">
    <w:name w:val="pagelast"/>
    <w:rsid w:val="00C14A09"/>
  </w:style>
  <w:style w:type="paragraph" w:styleId="NoSpacing">
    <w:name w:val="No Spacing"/>
    <w:uiPriority w:val="1"/>
    <w:qFormat/>
    <w:rsid w:val="00C14A09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5</cp:revision>
  <dcterms:created xsi:type="dcterms:W3CDTF">2013-11-06T21:13:00Z</dcterms:created>
  <dcterms:modified xsi:type="dcterms:W3CDTF">2013-12-06T11:41:00Z</dcterms:modified>
</cp:coreProperties>
</file>