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1352"/>
        <w:gridCol w:w="1077"/>
        <w:gridCol w:w="3513"/>
        <w:gridCol w:w="899"/>
        <w:gridCol w:w="1529"/>
        <w:gridCol w:w="1440"/>
        <w:gridCol w:w="988"/>
        <w:gridCol w:w="902"/>
      </w:tblGrid>
      <w:tr w:rsidR="00CE7440" w:rsidRPr="00E93169" w:rsidTr="00CE7440">
        <w:trPr>
          <w:cantSplit/>
          <w:tblHeader/>
        </w:trPr>
        <w:tc>
          <w:tcPr>
            <w:tcW w:w="523" w:type="pct"/>
            <w:shd w:val="clear" w:color="auto" w:fill="D9D9D9" w:themeFill="background1" w:themeFillShade="D9"/>
            <w:vAlign w:val="bottom"/>
          </w:tcPr>
          <w:p w:rsidR="00CE7440" w:rsidRPr="00E93169" w:rsidRDefault="00CE7440" w:rsidP="00CE74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Intervention category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bottom"/>
          </w:tcPr>
          <w:p w:rsidR="00CE7440" w:rsidRPr="00335F39" w:rsidRDefault="00CE7440" w:rsidP="00CE74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5F39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:rsidR="00CE7440" w:rsidRPr="00E93169" w:rsidRDefault="00CE7440" w:rsidP="00CE7440">
            <w:pPr>
              <w:ind w:left="-109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 range (mean age)</w:t>
            </w:r>
          </w:p>
        </w:tc>
        <w:tc>
          <w:tcPr>
            <w:tcW w:w="1344" w:type="pct"/>
            <w:shd w:val="clear" w:color="auto" w:fill="D9D9D9" w:themeFill="background1" w:themeFillShade="D9"/>
            <w:vAlign w:val="bottom"/>
          </w:tcPr>
          <w:p w:rsidR="00CE7440" w:rsidRPr="00E93169" w:rsidRDefault="00CE7440" w:rsidP="00CE74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bottom"/>
          </w:tcPr>
          <w:p w:rsidR="00CE7440" w:rsidRPr="00E93169" w:rsidRDefault="00CE7440" w:rsidP="00CE7440">
            <w:pPr>
              <w:ind w:left="-110" w:right="-1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Followup time (m)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bottom"/>
          </w:tcPr>
          <w:p w:rsidR="00CE7440" w:rsidRPr="00E93169" w:rsidRDefault="00CE7440" w:rsidP="00CE74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Intervention group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:rsidR="00CE7440" w:rsidRDefault="00CE7440" w:rsidP="00CE74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 xml:space="preserve">Control </w:t>
            </w:r>
          </w:p>
          <w:p w:rsidR="00CE7440" w:rsidRPr="00E93169" w:rsidRDefault="00CE7440" w:rsidP="00CE74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group</w:t>
            </w:r>
          </w:p>
        </w:tc>
        <w:tc>
          <w:tcPr>
            <w:tcW w:w="378" w:type="pct"/>
            <w:shd w:val="clear" w:color="auto" w:fill="D9D9D9" w:themeFill="background1" w:themeFillShade="D9"/>
            <w:vAlign w:val="bottom"/>
          </w:tcPr>
          <w:p w:rsidR="00CE7440" w:rsidRDefault="00CE7440" w:rsidP="00CE74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Risk </w:t>
            </w:r>
          </w:p>
          <w:p w:rsidR="00CE7440" w:rsidRDefault="00CE7440" w:rsidP="00CE74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(95% CI)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bottom"/>
          </w:tcPr>
          <w:p w:rsidR="00CE7440" w:rsidRPr="00E93169" w:rsidRDefault="00CE7440" w:rsidP="00CE74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P-value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 w:val="restart"/>
            <w:shd w:val="clear" w:color="auto" w:fill="auto"/>
          </w:tcPr>
          <w:p w:rsidR="00CE7440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Cognitive behavioral therapy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CE7440" w:rsidRPr="00335F3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Donaldson 2005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153</w:t>
            </w:r>
          </w:p>
        </w:tc>
        <w:tc>
          <w:tcPr>
            <w:tcW w:w="412" w:type="pct"/>
            <w:vMerge w:val="restart"/>
          </w:tcPr>
          <w:p w:rsidR="00CE7440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12-17 (15)</w:t>
            </w:r>
          </w:p>
        </w:tc>
        <w:tc>
          <w:tcPr>
            <w:tcW w:w="1344" w:type="pct"/>
            <w:vMerge w:val="restart"/>
            <w:shd w:val="clear" w:color="auto" w:fill="auto"/>
          </w:tcPr>
          <w:p w:rsidR="00CE7440" w:rsidRPr="00E9316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a suicide attempt per self- and parent-report</w:t>
            </w:r>
          </w:p>
        </w:tc>
        <w:tc>
          <w:tcPr>
            <w:tcW w:w="344" w:type="pct"/>
            <w:shd w:val="clear" w:color="auto" w:fill="auto"/>
          </w:tcPr>
          <w:p w:rsidR="00CE7440" w:rsidRPr="00E93169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:rsidR="00CE7440" w:rsidRPr="00E93169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4/15 (27%)</w:t>
            </w:r>
          </w:p>
        </w:tc>
        <w:tc>
          <w:tcPr>
            <w:tcW w:w="551" w:type="pct"/>
            <w:shd w:val="clear" w:color="auto" w:fill="auto"/>
          </w:tcPr>
          <w:p w:rsidR="00CE7440" w:rsidRPr="00E93169" w:rsidRDefault="00CE7440" w:rsidP="00CE7440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1/16 (6%)</w:t>
            </w:r>
          </w:p>
        </w:tc>
        <w:tc>
          <w:tcPr>
            <w:tcW w:w="378" w:type="pct"/>
          </w:tcPr>
          <w:p w:rsidR="00CE7440" w:rsidRPr="00E93169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Pr="00E93169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/>
            <w:shd w:val="clear" w:color="auto" w:fill="auto"/>
          </w:tcPr>
          <w:p w:rsidR="00CE7440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CE7440" w:rsidRPr="00335F3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vMerge/>
          </w:tcPr>
          <w:p w:rsidR="00CE7440" w:rsidRPr="00E93169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Merge/>
            <w:shd w:val="clear" w:color="auto" w:fill="auto"/>
          </w:tcPr>
          <w:p w:rsidR="00CE7440" w:rsidRPr="00E9316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</w:tcPr>
          <w:p w:rsidR="00CE7440" w:rsidRPr="00E93169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6†</w:t>
            </w:r>
          </w:p>
        </w:tc>
        <w:tc>
          <w:tcPr>
            <w:tcW w:w="585" w:type="pct"/>
            <w:shd w:val="clear" w:color="auto" w:fill="auto"/>
          </w:tcPr>
          <w:p w:rsidR="00CE7440" w:rsidRPr="00E93169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4/15 (27%)</w:t>
            </w:r>
          </w:p>
        </w:tc>
        <w:tc>
          <w:tcPr>
            <w:tcW w:w="551" w:type="pct"/>
            <w:shd w:val="clear" w:color="auto" w:fill="auto"/>
          </w:tcPr>
          <w:p w:rsidR="00CE7440" w:rsidRPr="00E93169" w:rsidRDefault="00CE7440" w:rsidP="00CE7440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2/16 (12.5%)</w:t>
            </w:r>
          </w:p>
        </w:tc>
        <w:tc>
          <w:tcPr>
            <w:tcW w:w="378" w:type="pct"/>
          </w:tcPr>
          <w:p w:rsidR="00CE7440" w:rsidRPr="00E93169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Pr="00E93169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/>
            <w:shd w:val="clear" w:color="auto" w:fill="auto"/>
          </w:tcPr>
          <w:p w:rsidR="00CE7440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</w:tcPr>
          <w:p w:rsidR="00CE7440" w:rsidRPr="005434FE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5434FE">
              <w:rPr>
                <w:rFonts w:ascii="Arial" w:hAnsi="Arial" w:cs="Arial"/>
                <w:sz w:val="18"/>
                <w:szCs w:val="18"/>
              </w:rPr>
              <w:t>Esposito-Smythers 2011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163,189</w:t>
            </w:r>
          </w:p>
        </w:tc>
        <w:tc>
          <w:tcPr>
            <w:tcW w:w="412" w:type="pct"/>
          </w:tcPr>
          <w:p w:rsidR="00CE7440" w:rsidRPr="005434FE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  <w:r w:rsidRPr="005434FE">
              <w:rPr>
                <w:rFonts w:ascii="Arial" w:hAnsi="Arial" w:cs="Arial"/>
                <w:sz w:val="18"/>
                <w:szCs w:val="18"/>
              </w:rPr>
              <w:t>13-17 (16)</w:t>
            </w:r>
          </w:p>
        </w:tc>
        <w:tc>
          <w:tcPr>
            <w:tcW w:w="1344" w:type="pct"/>
            <w:shd w:val="clear" w:color="auto" w:fill="auto"/>
          </w:tcPr>
          <w:p w:rsidR="00CE7440" w:rsidRPr="005434FE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5434FE">
              <w:rPr>
                <w:rFonts w:ascii="Arial" w:hAnsi="Arial" w:cs="Arial"/>
                <w:sz w:val="18"/>
                <w:szCs w:val="18"/>
              </w:rPr>
              <w:t xml:space="preserve">Participants with a suicide attempt per self- or parent-report </w:t>
            </w:r>
          </w:p>
        </w:tc>
        <w:tc>
          <w:tcPr>
            <w:tcW w:w="344" w:type="pct"/>
            <w:shd w:val="clear" w:color="auto" w:fill="auto"/>
          </w:tcPr>
          <w:p w:rsidR="00CE7440" w:rsidRPr="005434FE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5434F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5" w:type="pct"/>
            <w:shd w:val="clear" w:color="auto" w:fill="auto"/>
          </w:tcPr>
          <w:p w:rsidR="00CE7440" w:rsidRPr="005434FE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 w:rsidRPr="005434FE">
              <w:rPr>
                <w:rFonts w:ascii="Arial" w:hAnsi="Arial" w:cs="Arial"/>
                <w:sz w:val="18"/>
                <w:szCs w:val="18"/>
              </w:rPr>
              <w:t>1/19 (5%)</w:t>
            </w:r>
          </w:p>
        </w:tc>
        <w:tc>
          <w:tcPr>
            <w:tcW w:w="551" w:type="pct"/>
            <w:shd w:val="clear" w:color="auto" w:fill="auto"/>
          </w:tcPr>
          <w:p w:rsidR="00CE7440" w:rsidRPr="005434FE" w:rsidRDefault="00CE7440" w:rsidP="00CE7440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5434FE">
              <w:rPr>
                <w:rFonts w:ascii="Arial" w:hAnsi="Arial" w:cs="Arial"/>
                <w:sz w:val="18"/>
                <w:szCs w:val="18"/>
              </w:rPr>
              <w:t>6/17 (35%)</w:t>
            </w:r>
          </w:p>
        </w:tc>
        <w:tc>
          <w:tcPr>
            <w:tcW w:w="378" w:type="pct"/>
          </w:tcPr>
          <w:p w:rsidR="00CE7440" w:rsidRPr="005434FE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 w:rsidRPr="005434F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Pr="005434FE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5434FE">
              <w:rPr>
                <w:rFonts w:ascii="Arial" w:hAnsi="Arial" w:cs="Arial"/>
                <w:sz w:val="18"/>
                <w:szCs w:val="18"/>
              </w:rPr>
              <w:t>0.023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/>
            <w:shd w:val="clear" w:color="auto" w:fill="auto"/>
          </w:tcPr>
          <w:p w:rsidR="00CE7440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</w:tcPr>
          <w:p w:rsidR="00CE7440" w:rsidRPr="00335F3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Greenfield 2002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156</w:t>
            </w:r>
          </w:p>
        </w:tc>
        <w:tc>
          <w:tcPr>
            <w:tcW w:w="412" w:type="pct"/>
          </w:tcPr>
          <w:p w:rsidR="00CE7440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12-17 (14)</w:t>
            </w:r>
          </w:p>
        </w:tc>
        <w:tc>
          <w:tcPr>
            <w:tcW w:w="1344" w:type="pct"/>
            <w:shd w:val="clear" w:color="auto" w:fill="auto"/>
          </w:tcPr>
          <w:p w:rsidR="00CE7440" w:rsidRPr="00E9316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suicide attempts per self-report</w:t>
            </w:r>
          </w:p>
        </w:tc>
        <w:tc>
          <w:tcPr>
            <w:tcW w:w="344" w:type="pct"/>
            <w:shd w:val="clear" w:color="auto" w:fill="auto"/>
          </w:tcPr>
          <w:p w:rsidR="00CE7440" w:rsidRPr="00E93169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5" w:type="pct"/>
            <w:shd w:val="clear" w:color="auto" w:fill="auto"/>
          </w:tcPr>
          <w:p w:rsidR="00CE7440" w:rsidRPr="00E93169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23/158 (14.6%)</w:t>
            </w:r>
          </w:p>
        </w:tc>
        <w:tc>
          <w:tcPr>
            <w:tcW w:w="551" w:type="pct"/>
            <w:shd w:val="clear" w:color="auto" w:fill="auto"/>
          </w:tcPr>
          <w:p w:rsidR="00CE7440" w:rsidRPr="00E93169" w:rsidRDefault="00CE7440" w:rsidP="00CE7440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14/128 (10.9%)</w:t>
            </w:r>
          </w:p>
        </w:tc>
        <w:tc>
          <w:tcPr>
            <w:tcW w:w="378" w:type="pct"/>
          </w:tcPr>
          <w:p w:rsidR="00CE7440" w:rsidRPr="00E93169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Pr="00E93169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 w:val="restart"/>
            <w:shd w:val="clear" w:color="auto" w:fill="auto"/>
          </w:tcPr>
          <w:p w:rsidR="00CE7440" w:rsidRPr="00E93169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Developmental group therapy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CE7440" w:rsidRPr="00335F3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Green 2011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155,</w:t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 xml:space="preserve"> 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190</w:t>
            </w:r>
          </w:p>
        </w:tc>
        <w:tc>
          <w:tcPr>
            <w:tcW w:w="412" w:type="pct"/>
            <w:vMerge w:val="restart"/>
          </w:tcPr>
          <w:p w:rsidR="00CE7440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12-17 (NR)</w:t>
            </w:r>
          </w:p>
        </w:tc>
        <w:tc>
          <w:tcPr>
            <w:tcW w:w="1344" w:type="pct"/>
            <w:vMerge w:val="restart"/>
            <w:shd w:val="clear" w:color="auto" w:fill="auto"/>
          </w:tcPr>
          <w:p w:rsidR="00CE7440" w:rsidRPr="00E9316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any DSH episodes per self-report, corroborated by family-report</w:t>
            </w:r>
          </w:p>
        </w:tc>
        <w:tc>
          <w:tcPr>
            <w:tcW w:w="344" w:type="pct"/>
            <w:shd w:val="clear" w:color="auto" w:fill="auto"/>
          </w:tcPr>
          <w:p w:rsidR="00CE7440" w:rsidRPr="00E93169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5" w:type="pct"/>
            <w:shd w:val="clear" w:color="auto" w:fill="auto"/>
          </w:tcPr>
          <w:p w:rsidR="00CE7440" w:rsidRPr="00E93169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145/181 (80.1%)</w:t>
            </w:r>
          </w:p>
        </w:tc>
        <w:tc>
          <w:tcPr>
            <w:tcW w:w="551" w:type="pct"/>
            <w:shd w:val="clear" w:color="auto" w:fill="auto"/>
          </w:tcPr>
          <w:p w:rsidR="00CE7440" w:rsidRPr="00E93169" w:rsidRDefault="00CE7440" w:rsidP="00CE7440">
            <w:pPr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142/181 (78.4%)</w:t>
            </w:r>
          </w:p>
        </w:tc>
        <w:tc>
          <w:tcPr>
            <w:tcW w:w="378" w:type="pct"/>
          </w:tcPr>
          <w:p w:rsidR="00CE7440" w:rsidRPr="00E93169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Pr="00E93169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/>
            <w:shd w:val="clear" w:color="auto" w:fill="auto"/>
          </w:tcPr>
          <w:p w:rsidR="00CE7440" w:rsidRPr="00E93169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CE7440" w:rsidRPr="00335F3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vMerge/>
          </w:tcPr>
          <w:p w:rsidR="00CE7440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Merge/>
            <w:shd w:val="clear" w:color="auto" w:fill="auto"/>
          </w:tcPr>
          <w:p w:rsidR="00CE7440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</w:tcPr>
          <w:p w:rsidR="00CE7440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12*</w:t>
            </w:r>
          </w:p>
        </w:tc>
        <w:tc>
          <w:tcPr>
            <w:tcW w:w="585" w:type="pct"/>
            <w:shd w:val="clear" w:color="auto" w:fill="auto"/>
          </w:tcPr>
          <w:p w:rsidR="00CE7440" w:rsidRPr="00E93169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104/179 (58.1%)</w:t>
            </w:r>
          </w:p>
        </w:tc>
        <w:tc>
          <w:tcPr>
            <w:tcW w:w="551" w:type="pct"/>
            <w:shd w:val="clear" w:color="auto" w:fill="auto"/>
          </w:tcPr>
          <w:p w:rsidR="00CE7440" w:rsidRPr="00E93169" w:rsidRDefault="00CE7440" w:rsidP="00CE7440">
            <w:pPr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110/180 (61.1%)</w:t>
            </w:r>
          </w:p>
        </w:tc>
        <w:tc>
          <w:tcPr>
            <w:tcW w:w="378" w:type="pct"/>
          </w:tcPr>
          <w:p w:rsidR="00CE7440" w:rsidRPr="00E93169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Pr="00E93169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/>
            <w:shd w:val="clear" w:color="auto" w:fill="auto"/>
          </w:tcPr>
          <w:p w:rsidR="00CE7440" w:rsidRPr="00E93169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vMerge w:val="restart"/>
            <w:shd w:val="clear" w:color="auto" w:fill="auto"/>
          </w:tcPr>
          <w:p w:rsidR="00CE7440" w:rsidRPr="00335F3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Hazell 2009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157</w:t>
            </w:r>
          </w:p>
        </w:tc>
        <w:tc>
          <w:tcPr>
            <w:tcW w:w="412" w:type="pct"/>
            <w:vMerge w:val="restart"/>
          </w:tcPr>
          <w:p w:rsidR="00CE7440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12-16 (15)</w:t>
            </w:r>
          </w:p>
        </w:tc>
        <w:tc>
          <w:tcPr>
            <w:tcW w:w="1344" w:type="pct"/>
            <w:vMerge w:val="restart"/>
            <w:shd w:val="clear" w:color="auto" w:fill="auto"/>
          </w:tcPr>
          <w:p w:rsidR="00CE7440" w:rsidRPr="00E9316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DSH repetition per self- and clinician-report</w:t>
            </w:r>
          </w:p>
        </w:tc>
        <w:tc>
          <w:tcPr>
            <w:tcW w:w="344" w:type="pct"/>
            <w:shd w:val="clear" w:color="auto" w:fill="auto"/>
          </w:tcPr>
          <w:p w:rsidR="00CE7440" w:rsidRPr="00E93169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5" w:type="pct"/>
            <w:shd w:val="clear" w:color="auto" w:fill="auto"/>
          </w:tcPr>
          <w:p w:rsidR="00CE7440" w:rsidRPr="00E93169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22/34 (65%)</w:t>
            </w:r>
          </w:p>
        </w:tc>
        <w:tc>
          <w:tcPr>
            <w:tcW w:w="551" w:type="pct"/>
            <w:shd w:val="clear" w:color="auto" w:fill="auto"/>
          </w:tcPr>
          <w:p w:rsidR="00CE7440" w:rsidRPr="00E93169" w:rsidRDefault="00CE7440" w:rsidP="00CE7440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18/34 (53%)</w:t>
            </w:r>
          </w:p>
        </w:tc>
        <w:tc>
          <w:tcPr>
            <w:tcW w:w="378" w:type="pct"/>
          </w:tcPr>
          <w:p w:rsidR="00CE7440" w:rsidRPr="00E93169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Pr="00E93169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/>
            <w:shd w:val="clear" w:color="auto" w:fill="auto"/>
          </w:tcPr>
          <w:p w:rsidR="00CE7440" w:rsidRPr="00E93169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CE7440" w:rsidRPr="00335F3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vMerge/>
          </w:tcPr>
          <w:p w:rsidR="00CE7440" w:rsidRPr="00E93169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Merge/>
            <w:shd w:val="clear" w:color="auto" w:fill="auto"/>
          </w:tcPr>
          <w:p w:rsidR="00CE7440" w:rsidRPr="00E9316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</w:tcPr>
          <w:p w:rsidR="00CE7440" w:rsidRPr="00E93169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12*</w:t>
            </w:r>
          </w:p>
        </w:tc>
        <w:tc>
          <w:tcPr>
            <w:tcW w:w="585" w:type="pct"/>
            <w:shd w:val="clear" w:color="auto" w:fill="auto"/>
          </w:tcPr>
          <w:p w:rsidR="00CE7440" w:rsidRPr="00E93169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26/34 (76%)</w:t>
            </w:r>
          </w:p>
        </w:tc>
        <w:tc>
          <w:tcPr>
            <w:tcW w:w="551" w:type="pct"/>
            <w:shd w:val="clear" w:color="auto" w:fill="auto"/>
          </w:tcPr>
          <w:p w:rsidR="00CE7440" w:rsidRPr="00E93169" w:rsidRDefault="00CE7440" w:rsidP="00CE7440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19/34 (56%)</w:t>
            </w:r>
          </w:p>
        </w:tc>
        <w:tc>
          <w:tcPr>
            <w:tcW w:w="378" w:type="pct"/>
          </w:tcPr>
          <w:p w:rsidR="00CE7440" w:rsidRPr="00E93169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Pr="00E93169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/>
            <w:shd w:val="clear" w:color="auto" w:fill="auto"/>
          </w:tcPr>
          <w:p w:rsidR="00CE7440" w:rsidRPr="00E93169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</w:tcPr>
          <w:p w:rsidR="00CE7440" w:rsidRPr="00335F3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Wood 2001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160</w:t>
            </w:r>
          </w:p>
        </w:tc>
        <w:tc>
          <w:tcPr>
            <w:tcW w:w="412" w:type="pct"/>
          </w:tcPr>
          <w:p w:rsidR="00CE7440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12-16 (14)</w:t>
            </w:r>
          </w:p>
        </w:tc>
        <w:tc>
          <w:tcPr>
            <w:tcW w:w="1344" w:type="pct"/>
            <w:shd w:val="clear" w:color="auto" w:fill="auto"/>
          </w:tcPr>
          <w:p w:rsidR="00CE7440" w:rsidRPr="00E9316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self-harm per self-report, corroborated by “other sources”</w:t>
            </w:r>
          </w:p>
        </w:tc>
        <w:tc>
          <w:tcPr>
            <w:tcW w:w="344" w:type="pct"/>
            <w:shd w:val="clear" w:color="auto" w:fill="auto"/>
          </w:tcPr>
          <w:p w:rsidR="00CE7440" w:rsidRPr="00E93169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5" w:type="pct"/>
            <w:shd w:val="clear" w:color="auto" w:fill="auto"/>
          </w:tcPr>
          <w:p w:rsidR="00CE7440" w:rsidRPr="00E93169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2/32 (6%)</w:t>
            </w:r>
          </w:p>
        </w:tc>
        <w:tc>
          <w:tcPr>
            <w:tcW w:w="551" w:type="pct"/>
            <w:shd w:val="clear" w:color="auto" w:fill="auto"/>
          </w:tcPr>
          <w:p w:rsidR="00CE7440" w:rsidRPr="00E93169" w:rsidRDefault="00CE7440" w:rsidP="00CE7440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10/31 (32%)</w:t>
            </w:r>
          </w:p>
        </w:tc>
        <w:tc>
          <w:tcPr>
            <w:tcW w:w="378" w:type="pct"/>
          </w:tcPr>
          <w:p w:rsidR="00CE7440" w:rsidRPr="00E93169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 6.3 (1.4, 28.7)</w:t>
            </w:r>
          </w:p>
        </w:tc>
        <w:tc>
          <w:tcPr>
            <w:tcW w:w="345" w:type="pct"/>
            <w:shd w:val="clear" w:color="auto" w:fill="auto"/>
          </w:tcPr>
          <w:p w:rsidR="00CE7440" w:rsidRPr="00E93169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 w:val="restart"/>
            <w:shd w:val="clear" w:color="auto" w:fill="auto"/>
          </w:tcPr>
          <w:p w:rsidR="00CE7440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Psychodynamic or interpersonal therapy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CE7440" w:rsidRPr="000A734B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Chanen 2008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164</w:t>
            </w:r>
          </w:p>
        </w:tc>
        <w:tc>
          <w:tcPr>
            <w:tcW w:w="412" w:type="pct"/>
            <w:vMerge w:val="restart"/>
          </w:tcPr>
          <w:p w:rsidR="00CE7440" w:rsidRPr="000A734B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15-18 (16)</w:t>
            </w:r>
          </w:p>
        </w:tc>
        <w:tc>
          <w:tcPr>
            <w:tcW w:w="1344" w:type="pct"/>
            <w:vMerge w:val="restart"/>
            <w:shd w:val="clear" w:color="auto" w:fill="auto"/>
          </w:tcPr>
          <w:p w:rsidR="00CE7440" w:rsidRPr="000A734B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Participants with parasuicidal behavior (suicide attempts and nonsuicidal self-injury) per self-report</w:t>
            </w:r>
          </w:p>
        </w:tc>
        <w:tc>
          <w:tcPr>
            <w:tcW w:w="344" w:type="pct"/>
            <w:shd w:val="clear" w:color="auto" w:fill="auto"/>
          </w:tcPr>
          <w:p w:rsidR="00CE7440" w:rsidRPr="000A734B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5" w:type="pct"/>
            <w:shd w:val="clear" w:color="auto" w:fill="auto"/>
          </w:tcPr>
          <w:p w:rsidR="00CE7440" w:rsidRPr="000A734B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15/35 (42%)</w:t>
            </w:r>
          </w:p>
        </w:tc>
        <w:tc>
          <w:tcPr>
            <w:tcW w:w="551" w:type="pct"/>
            <w:shd w:val="clear" w:color="auto" w:fill="auto"/>
          </w:tcPr>
          <w:p w:rsidR="00CE7440" w:rsidRPr="000A734B" w:rsidRDefault="00CE7440" w:rsidP="00CE7440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16/34 (47%)</w:t>
            </w:r>
          </w:p>
        </w:tc>
        <w:tc>
          <w:tcPr>
            <w:tcW w:w="378" w:type="pct"/>
          </w:tcPr>
          <w:p w:rsidR="00CE7440" w:rsidRPr="000A734B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Pr="000A734B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NSD§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/>
            <w:shd w:val="clear" w:color="auto" w:fill="auto"/>
          </w:tcPr>
          <w:p w:rsidR="00CE7440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CE7440" w:rsidRPr="000A734B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vMerge/>
          </w:tcPr>
          <w:p w:rsidR="00CE7440" w:rsidRPr="000A734B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Merge/>
            <w:shd w:val="clear" w:color="auto" w:fill="auto"/>
          </w:tcPr>
          <w:p w:rsidR="00CE7440" w:rsidRPr="000A734B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</w:tcPr>
          <w:p w:rsidR="00CE7440" w:rsidRPr="000A734B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5" w:type="pct"/>
            <w:shd w:val="clear" w:color="auto" w:fill="auto"/>
          </w:tcPr>
          <w:p w:rsidR="00CE7440" w:rsidRPr="000A734B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13/36 (36%)</w:t>
            </w:r>
          </w:p>
        </w:tc>
        <w:tc>
          <w:tcPr>
            <w:tcW w:w="551" w:type="pct"/>
            <w:shd w:val="clear" w:color="auto" w:fill="auto"/>
          </w:tcPr>
          <w:p w:rsidR="00CE7440" w:rsidRPr="000A734B" w:rsidRDefault="00CE7440" w:rsidP="00CE7440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7/34 (21%)</w:t>
            </w:r>
          </w:p>
        </w:tc>
        <w:tc>
          <w:tcPr>
            <w:tcW w:w="378" w:type="pct"/>
          </w:tcPr>
          <w:p w:rsidR="00CE7440" w:rsidRPr="000A734B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Pr="000A734B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/>
            <w:shd w:val="clear" w:color="auto" w:fill="auto"/>
          </w:tcPr>
          <w:p w:rsidR="00CE7440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CE7440" w:rsidRPr="000A734B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vMerge/>
          </w:tcPr>
          <w:p w:rsidR="00CE7440" w:rsidRPr="000A734B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Merge/>
            <w:shd w:val="clear" w:color="auto" w:fill="auto"/>
          </w:tcPr>
          <w:p w:rsidR="00CE7440" w:rsidRPr="000A734B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</w:tcPr>
          <w:p w:rsidR="00CE7440" w:rsidRPr="000A734B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5" w:type="pct"/>
            <w:shd w:val="clear" w:color="auto" w:fill="auto"/>
          </w:tcPr>
          <w:p w:rsidR="00CE7440" w:rsidRPr="000A734B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11/35 (31%)</w:t>
            </w:r>
          </w:p>
        </w:tc>
        <w:tc>
          <w:tcPr>
            <w:tcW w:w="551" w:type="pct"/>
            <w:shd w:val="clear" w:color="auto" w:fill="auto"/>
          </w:tcPr>
          <w:p w:rsidR="00CE7440" w:rsidRPr="000A734B" w:rsidRDefault="00CE7440" w:rsidP="00CE7440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11/33 (33%)</w:t>
            </w:r>
          </w:p>
        </w:tc>
        <w:tc>
          <w:tcPr>
            <w:tcW w:w="378" w:type="pct"/>
          </w:tcPr>
          <w:p w:rsidR="00CE7440" w:rsidRPr="000A734B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 w:rsidRPr="000A734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Pr="000A734B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/>
            <w:shd w:val="clear" w:color="auto" w:fill="auto"/>
          </w:tcPr>
          <w:p w:rsidR="00CE7440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</w:tcPr>
          <w:p w:rsidR="00CE7440" w:rsidRPr="00335F3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Diamond 2010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108,191</w:t>
            </w:r>
          </w:p>
        </w:tc>
        <w:tc>
          <w:tcPr>
            <w:tcW w:w="412" w:type="pct"/>
          </w:tcPr>
          <w:p w:rsidR="00CE7440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12-17 (15)</w:t>
            </w:r>
          </w:p>
        </w:tc>
        <w:tc>
          <w:tcPr>
            <w:tcW w:w="1344" w:type="pct"/>
            <w:shd w:val="clear" w:color="auto" w:fill="auto"/>
          </w:tcPr>
          <w:p w:rsidR="00CE7440" w:rsidRPr="00E9316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suicide attempts per self-report</w:t>
            </w:r>
          </w:p>
        </w:tc>
        <w:tc>
          <w:tcPr>
            <w:tcW w:w="344" w:type="pct"/>
            <w:shd w:val="clear" w:color="auto" w:fill="auto"/>
          </w:tcPr>
          <w:p w:rsidR="00CE7440" w:rsidRPr="00E93169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5" w:type="pct"/>
            <w:shd w:val="clear" w:color="auto" w:fill="auto"/>
          </w:tcPr>
          <w:p w:rsidR="00CE7440" w:rsidRPr="00E93169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4/35 (11%)</w:t>
            </w:r>
          </w:p>
        </w:tc>
        <w:tc>
          <w:tcPr>
            <w:tcW w:w="551" w:type="pct"/>
            <w:shd w:val="clear" w:color="auto" w:fill="auto"/>
          </w:tcPr>
          <w:p w:rsidR="00CE7440" w:rsidRPr="00E93169" w:rsidRDefault="00CE7440" w:rsidP="00CE7440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7/31 (22%)</w:t>
            </w:r>
          </w:p>
        </w:tc>
        <w:tc>
          <w:tcPr>
            <w:tcW w:w="378" w:type="pct"/>
          </w:tcPr>
          <w:p w:rsidR="00CE7440" w:rsidRPr="00E93169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Pr="00E93169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 w:val="restart"/>
            <w:shd w:val="clear" w:color="auto" w:fill="auto"/>
          </w:tcPr>
          <w:p w:rsidR="00CE7440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therapy, with direct therapeutic contact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CE7440" w:rsidRPr="00335F3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Eggert 2002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154,</w:t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 xml:space="preserve"> 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192-194</w:t>
            </w:r>
          </w:p>
        </w:tc>
        <w:tc>
          <w:tcPr>
            <w:tcW w:w="412" w:type="pct"/>
            <w:vMerge w:val="restart"/>
          </w:tcPr>
          <w:p w:rsidR="00CE7440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14-19 (16)</w:t>
            </w:r>
          </w:p>
        </w:tc>
        <w:tc>
          <w:tcPr>
            <w:tcW w:w="1344" w:type="pct"/>
            <w:vMerge w:val="restart"/>
            <w:shd w:val="clear" w:color="auto" w:fill="auto"/>
          </w:tcPr>
          <w:p w:rsidR="00CE7440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suicide attempts in last month per self-report</w:t>
            </w:r>
          </w:p>
        </w:tc>
        <w:tc>
          <w:tcPr>
            <w:tcW w:w="344" w:type="pct"/>
            <w:shd w:val="clear" w:color="auto" w:fill="auto"/>
          </w:tcPr>
          <w:p w:rsidR="00CE7440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585" w:type="pct"/>
            <w:shd w:val="clear" w:color="auto" w:fill="auto"/>
          </w:tcPr>
          <w:p w:rsidR="00CE7440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 (0.75)</w:t>
            </w:r>
          </w:p>
        </w:tc>
        <w:tc>
          <w:tcPr>
            <w:tcW w:w="551" w:type="pct"/>
            <w:shd w:val="clear" w:color="auto" w:fill="auto"/>
          </w:tcPr>
          <w:p w:rsidR="00CE7440" w:rsidRDefault="00CE7440" w:rsidP="00CE7440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 (0.83)</w:t>
            </w:r>
          </w:p>
        </w:tc>
        <w:tc>
          <w:tcPr>
            <w:tcW w:w="378" w:type="pct"/>
          </w:tcPr>
          <w:p w:rsidR="00CE7440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/>
            <w:shd w:val="clear" w:color="auto" w:fill="auto"/>
          </w:tcPr>
          <w:p w:rsidR="00CE7440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CE7440" w:rsidRPr="00335F3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vMerge/>
          </w:tcPr>
          <w:p w:rsidR="00CE7440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Merge/>
            <w:shd w:val="clear" w:color="auto" w:fill="auto"/>
          </w:tcPr>
          <w:p w:rsidR="00CE7440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</w:tcPr>
          <w:p w:rsidR="00CE7440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5" w:type="pct"/>
            <w:shd w:val="clear" w:color="auto" w:fill="auto"/>
          </w:tcPr>
          <w:p w:rsidR="00CE7440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551" w:type="pct"/>
            <w:shd w:val="clear" w:color="auto" w:fill="auto"/>
          </w:tcPr>
          <w:p w:rsidR="00CE7440" w:rsidRDefault="00CE7440" w:rsidP="00CE7440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378" w:type="pct"/>
          </w:tcPr>
          <w:p w:rsidR="00CE7440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/>
            <w:shd w:val="clear" w:color="auto" w:fill="auto"/>
          </w:tcPr>
          <w:p w:rsidR="00CE7440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CE7440" w:rsidRPr="00335F3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vMerge/>
          </w:tcPr>
          <w:p w:rsidR="00CE7440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Merge/>
            <w:shd w:val="clear" w:color="auto" w:fill="auto"/>
          </w:tcPr>
          <w:p w:rsidR="00CE7440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</w:tcPr>
          <w:p w:rsidR="00CE7440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585" w:type="pct"/>
            <w:shd w:val="clear" w:color="auto" w:fill="auto"/>
          </w:tcPr>
          <w:p w:rsidR="00CE7440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551" w:type="pct"/>
            <w:shd w:val="clear" w:color="auto" w:fill="auto"/>
          </w:tcPr>
          <w:p w:rsidR="00CE7440" w:rsidRDefault="00CE7440" w:rsidP="00CE7440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  <w:tc>
          <w:tcPr>
            <w:tcW w:w="378" w:type="pct"/>
          </w:tcPr>
          <w:p w:rsidR="00CE7440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/>
            <w:shd w:val="clear" w:color="auto" w:fill="auto"/>
          </w:tcPr>
          <w:p w:rsidR="00CE7440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CE7440" w:rsidRPr="00335F3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vMerge/>
          </w:tcPr>
          <w:p w:rsidR="00CE7440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Merge/>
            <w:shd w:val="clear" w:color="auto" w:fill="auto"/>
          </w:tcPr>
          <w:p w:rsidR="00CE7440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</w:tcPr>
          <w:p w:rsidR="00CE7440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85" w:type="pct"/>
            <w:shd w:val="clear" w:color="auto" w:fill="auto"/>
          </w:tcPr>
          <w:p w:rsidR="00CE7440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51" w:type="pct"/>
            <w:shd w:val="clear" w:color="auto" w:fill="auto"/>
          </w:tcPr>
          <w:p w:rsidR="00CE7440" w:rsidRDefault="00CE7440" w:rsidP="00CE7440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78" w:type="pct"/>
          </w:tcPr>
          <w:p w:rsidR="00CE7440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/>
            <w:shd w:val="clear" w:color="auto" w:fill="auto"/>
          </w:tcPr>
          <w:p w:rsidR="00CE7440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</w:tcPr>
          <w:p w:rsidR="00CE7440" w:rsidRPr="00335F3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Hooven 2012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161</w:t>
            </w:r>
          </w:p>
        </w:tc>
        <w:tc>
          <w:tcPr>
            <w:tcW w:w="412" w:type="pct"/>
          </w:tcPr>
          <w:p w:rsidR="00CE7440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14-19 (16)</w:t>
            </w:r>
          </w:p>
        </w:tc>
        <w:tc>
          <w:tcPr>
            <w:tcW w:w="1344" w:type="pct"/>
            <w:shd w:val="clear" w:color="auto" w:fill="auto"/>
          </w:tcPr>
          <w:p w:rsidR="00CE7440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suicide attempts in last month per self-report</w:t>
            </w:r>
          </w:p>
        </w:tc>
        <w:tc>
          <w:tcPr>
            <w:tcW w:w="344" w:type="pct"/>
            <w:shd w:val="clear" w:color="auto" w:fill="auto"/>
          </w:tcPr>
          <w:p w:rsidR="00CE7440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5" w:type="pct"/>
            <w:shd w:val="clear" w:color="auto" w:fill="auto"/>
          </w:tcPr>
          <w:p w:rsidR="00CE7440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51" w:type="pct"/>
            <w:shd w:val="clear" w:color="auto" w:fill="auto"/>
          </w:tcPr>
          <w:p w:rsidR="00CE7440" w:rsidRDefault="00CE7440" w:rsidP="00CE7440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78" w:type="pct"/>
          </w:tcPr>
          <w:p w:rsidR="00CE7440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shd w:val="clear" w:color="auto" w:fill="auto"/>
          </w:tcPr>
          <w:p w:rsidR="00CE7440" w:rsidRPr="00E93169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therapy, without direct therapeutic contact</w:t>
            </w:r>
          </w:p>
        </w:tc>
        <w:tc>
          <w:tcPr>
            <w:tcW w:w="517" w:type="pct"/>
            <w:shd w:val="clear" w:color="auto" w:fill="auto"/>
          </w:tcPr>
          <w:p w:rsidR="00CE7440" w:rsidRPr="00335F3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335F39">
              <w:rPr>
                <w:rFonts w:ascii="Arial" w:hAnsi="Arial" w:cs="Arial"/>
                <w:sz w:val="18"/>
                <w:szCs w:val="18"/>
              </w:rPr>
              <w:t>King 2009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412" w:type="pct"/>
          </w:tcPr>
          <w:p w:rsidR="00CE7440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13-17 (16)</w:t>
            </w:r>
          </w:p>
        </w:tc>
        <w:tc>
          <w:tcPr>
            <w:tcW w:w="1344" w:type="pct"/>
            <w:shd w:val="clear" w:color="auto" w:fill="auto"/>
          </w:tcPr>
          <w:p w:rsidR="00CE7440" w:rsidRPr="00E93169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with suicide attempts per self-report</w:t>
            </w:r>
          </w:p>
        </w:tc>
        <w:tc>
          <w:tcPr>
            <w:tcW w:w="344" w:type="pct"/>
            <w:shd w:val="clear" w:color="auto" w:fill="auto"/>
          </w:tcPr>
          <w:p w:rsidR="00CE7440" w:rsidRPr="00E93169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5" w:type="pct"/>
            <w:shd w:val="clear" w:color="auto" w:fill="auto"/>
          </w:tcPr>
          <w:p w:rsidR="00CE7440" w:rsidRPr="00E93169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29/175 (16.6%)</w:t>
            </w:r>
          </w:p>
        </w:tc>
        <w:tc>
          <w:tcPr>
            <w:tcW w:w="551" w:type="pct"/>
            <w:shd w:val="clear" w:color="auto" w:fill="auto"/>
          </w:tcPr>
          <w:p w:rsidR="00CE7440" w:rsidRPr="00E93169" w:rsidRDefault="00CE7440" w:rsidP="00CE7440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35/174 (20.1%)</w:t>
            </w:r>
          </w:p>
        </w:tc>
        <w:tc>
          <w:tcPr>
            <w:tcW w:w="378" w:type="pct"/>
          </w:tcPr>
          <w:p w:rsidR="00CE7440" w:rsidRPr="00E93169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Pr="00E93169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 w:val="restart"/>
            <w:shd w:val="clear" w:color="auto" w:fill="auto"/>
          </w:tcPr>
          <w:p w:rsidR="00CE7440" w:rsidRPr="00873110" w:rsidRDefault="00CE7440" w:rsidP="00CE7440">
            <w:pPr>
              <w:ind w:right="-126"/>
              <w:rPr>
                <w:rFonts w:ascii="Arial" w:hAnsi="Arial" w:cs="Arial"/>
                <w:sz w:val="18"/>
                <w:szCs w:val="18"/>
              </w:rPr>
            </w:pPr>
            <w:r w:rsidRPr="00873110">
              <w:rPr>
                <w:rFonts w:ascii="Arial" w:hAnsi="Arial" w:cs="Arial"/>
                <w:sz w:val="18"/>
                <w:szCs w:val="18"/>
              </w:rPr>
              <w:t>Improving treatment adherence without direct person-to-person contact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CE7440" w:rsidRPr="00873110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873110">
              <w:rPr>
                <w:rFonts w:ascii="Arial" w:hAnsi="Arial" w:cs="Arial"/>
                <w:sz w:val="18"/>
                <w:szCs w:val="18"/>
              </w:rPr>
              <w:t>Robinson 2012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162,195</w:t>
            </w:r>
          </w:p>
        </w:tc>
        <w:tc>
          <w:tcPr>
            <w:tcW w:w="412" w:type="pct"/>
            <w:vMerge w:val="restart"/>
          </w:tcPr>
          <w:p w:rsidR="00CE7440" w:rsidRPr="00873110" w:rsidRDefault="00CE7440" w:rsidP="00CE7440">
            <w:pPr>
              <w:ind w:right="-92"/>
              <w:rPr>
                <w:rFonts w:ascii="Arial" w:hAnsi="Arial" w:cs="Arial"/>
                <w:sz w:val="18"/>
                <w:szCs w:val="18"/>
              </w:rPr>
            </w:pPr>
            <w:r w:rsidRPr="00873110">
              <w:rPr>
                <w:rFonts w:ascii="Arial" w:hAnsi="Arial" w:cs="Arial"/>
                <w:sz w:val="18"/>
                <w:szCs w:val="18"/>
              </w:rPr>
              <w:t>15-24 (19)</w:t>
            </w:r>
          </w:p>
        </w:tc>
        <w:tc>
          <w:tcPr>
            <w:tcW w:w="1344" w:type="pct"/>
            <w:vMerge w:val="restart"/>
            <w:shd w:val="clear" w:color="auto" w:fill="auto"/>
          </w:tcPr>
          <w:p w:rsidR="00CE7440" w:rsidRPr="00873110" w:rsidRDefault="00CE7440" w:rsidP="00CE7440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873110">
              <w:rPr>
                <w:rFonts w:ascii="Arial" w:hAnsi="Arial" w:cs="Arial"/>
                <w:sz w:val="18"/>
                <w:szCs w:val="18"/>
              </w:rPr>
              <w:t>Participants with a</w:t>
            </w:r>
            <w:r>
              <w:rPr>
                <w:rFonts w:ascii="Arial" w:hAnsi="Arial" w:cs="Arial"/>
                <w:sz w:val="18"/>
                <w:szCs w:val="18"/>
              </w:rPr>
              <w:t>n episode of</w:t>
            </w:r>
            <w:r w:rsidRPr="00873110">
              <w:rPr>
                <w:rFonts w:ascii="Arial" w:hAnsi="Arial" w:cs="Arial"/>
                <w:sz w:val="18"/>
                <w:szCs w:val="18"/>
              </w:rPr>
              <w:t xml:space="preserve"> self-harm with the intent to die per self-report</w:t>
            </w:r>
          </w:p>
        </w:tc>
        <w:tc>
          <w:tcPr>
            <w:tcW w:w="344" w:type="pct"/>
            <w:shd w:val="clear" w:color="auto" w:fill="auto"/>
          </w:tcPr>
          <w:p w:rsidR="00CE7440" w:rsidRPr="00873110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873110">
              <w:rPr>
                <w:rFonts w:ascii="Arial" w:hAnsi="Arial" w:cs="Arial"/>
                <w:sz w:val="18"/>
                <w:szCs w:val="18"/>
              </w:rPr>
              <w:t>BL†</w:t>
            </w:r>
          </w:p>
        </w:tc>
        <w:tc>
          <w:tcPr>
            <w:tcW w:w="585" w:type="pct"/>
            <w:shd w:val="clear" w:color="auto" w:fill="auto"/>
          </w:tcPr>
          <w:p w:rsidR="00CE7440" w:rsidRPr="00873110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 w:rsidRPr="00873110">
              <w:rPr>
                <w:rFonts w:ascii="Arial" w:hAnsi="Arial" w:cs="Arial"/>
                <w:sz w:val="18"/>
                <w:szCs w:val="18"/>
              </w:rPr>
              <w:t>23/81 (28.7%)</w:t>
            </w:r>
          </w:p>
        </w:tc>
        <w:tc>
          <w:tcPr>
            <w:tcW w:w="551" w:type="pct"/>
            <w:shd w:val="clear" w:color="auto" w:fill="auto"/>
          </w:tcPr>
          <w:p w:rsidR="00CE7440" w:rsidRPr="00873110" w:rsidRDefault="00CE7440" w:rsidP="00CE7440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873110">
              <w:rPr>
                <w:rFonts w:ascii="Arial" w:hAnsi="Arial" w:cs="Arial"/>
                <w:sz w:val="18"/>
                <w:szCs w:val="18"/>
              </w:rPr>
              <w:t>13/83 (8.5%)</w:t>
            </w:r>
          </w:p>
        </w:tc>
        <w:tc>
          <w:tcPr>
            <w:tcW w:w="378" w:type="pct"/>
          </w:tcPr>
          <w:p w:rsidR="00CE7440" w:rsidRPr="00873110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 w:rsidRPr="008731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Pr="00873110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8731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E7440" w:rsidRPr="00E93169" w:rsidTr="00CE7440">
        <w:trPr>
          <w:cantSplit/>
        </w:trPr>
        <w:tc>
          <w:tcPr>
            <w:tcW w:w="523" w:type="pct"/>
            <w:vMerge/>
            <w:shd w:val="clear" w:color="auto" w:fill="auto"/>
          </w:tcPr>
          <w:p w:rsidR="00CE7440" w:rsidRPr="00873110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CE7440" w:rsidRPr="00873110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vMerge/>
          </w:tcPr>
          <w:p w:rsidR="00CE7440" w:rsidRPr="00873110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Merge/>
            <w:shd w:val="clear" w:color="auto" w:fill="auto"/>
          </w:tcPr>
          <w:p w:rsidR="00CE7440" w:rsidRPr="00873110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</w:tcPr>
          <w:p w:rsidR="00CE7440" w:rsidRPr="00873110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873110">
              <w:rPr>
                <w:rFonts w:ascii="Arial" w:hAnsi="Arial" w:cs="Arial"/>
                <w:sz w:val="18"/>
                <w:szCs w:val="18"/>
              </w:rPr>
              <w:t>12‡</w:t>
            </w:r>
          </w:p>
        </w:tc>
        <w:tc>
          <w:tcPr>
            <w:tcW w:w="585" w:type="pct"/>
            <w:shd w:val="clear" w:color="auto" w:fill="auto"/>
          </w:tcPr>
          <w:p w:rsidR="00CE7440" w:rsidRPr="00873110" w:rsidRDefault="00CE7440" w:rsidP="00CE7440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 w:rsidRPr="00873110">
              <w:rPr>
                <w:rFonts w:ascii="Arial" w:hAnsi="Arial" w:cs="Arial"/>
                <w:sz w:val="18"/>
                <w:szCs w:val="18"/>
              </w:rPr>
              <w:t>5/60 (15.7%)</w:t>
            </w:r>
          </w:p>
        </w:tc>
        <w:tc>
          <w:tcPr>
            <w:tcW w:w="551" w:type="pct"/>
            <w:shd w:val="clear" w:color="auto" w:fill="auto"/>
          </w:tcPr>
          <w:p w:rsidR="00CE7440" w:rsidRPr="00873110" w:rsidRDefault="00CE7440" w:rsidP="00CE7440">
            <w:pPr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873110">
              <w:rPr>
                <w:rFonts w:ascii="Arial" w:hAnsi="Arial" w:cs="Arial"/>
                <w:sz w:val="18"/>
                <w:szCs w:val="18"/>
              </w:rPr>
              <w:t>3/52 (5.9%)</w:t>
            </w:r>
          </w:p>
        </w:tc>
        <w:tc>
          <w:tcPr>
            <w:tcW w:w="378" w:type="pct"/>
          </w:tcPr>
          <w:p w:rsidR="00CE7440" w:rsidRPr="00873110" w:rsidRDefault="00CE7440" w:rsidP="00CE7440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 w:rsidRPr="0087311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45" w:type="pct"/>
            <w:shd w:val="clear" w:color="auto" w:fill="auto"/>
          </w:tcPr>
          <w:p w:rsidR="00CE7440" w:rsidRPr="00873110" w:rsidRDefault="00CE7440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873110"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</w:tr>
    </w:tbl>
    <w:p w:rsidR="00CE7440" w:rsidRPr="00CE7440" w:rsidRDefault="00CE7440" w:rsidP="00CE7440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CE7440">
        <w:rPr>
          <w:rFonts w:ascii="Arial" w:hAnsi="Arial" w:cs="Arial"/>
          <w:sz w:val="16"/>
          <w:szCs w:val="16"/>
        </w:rPr>
        <w:t xml:space="preserve">*In previous </w:t>
      </w:r>
      <w:r>
        <w:rPr>
          <w:rFonts w:ascii="Arial" w:hAnsi="Arial" w:cs="Arial"/>
          <w:sz w:val="16"/>
          <w:szCs w:val="16"/>
        </w:rPr>
        <w:t>6</w:t>
      </w:r>
      <w:r w:rsidRPr="00CE7440">
        <w:rPr>
          <w:rFonts w:ascii="Arial" w:hAnsi="Arial" w:cs="Arial"/>
          <w:sz w:val="16"/>
          <w:szCs w:val="16"/>
        </w:rPr>
        <w:t xml:space="preserve"> months</w:t>
      </w:r>
      <w:r>
        <w:rPr>
          <w:rFonts w:ascii="Arial" w:hAnsi="Arial" w:cs="Arial"/>
          <w:sz w:val="16"/>
          <w:szCs w:val="16"/>
        </w:rPr>
        <w:t>.</w:t>
      </w:r>
    </w:p>
    <w:p w:rsidR="00CE7440" w:rsidRPr="00CE7440" w:rsidRDefault="00CE7440" w:rsidP="00CE7440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CE7440">
        <w:rPr>
          <w:rFonts w:ascii="Arial" w:hAnsi="Arial" w:cs="Arial"/>
          <w:sz w:val="16"/>
          <w:szCs w:val="16"/>
        </w:rPr>
        <w:t>†Lifetime</w:t>
      </w:r>
      <w:r>
        <w:rPr>
          <w:rFonts w:ascii="Arial" w:hAnsi="Arial" w:cs="Arial"/>
          <w:sz w:val="16"/>
          <w:szCs w:val="16"/>
        </w:rPr>
        <w:t>.</w:t>
      </w:r>
    </w:p>
    <w:p w:rsidR="00CE7440" w:rsidRPr="00CE7440" w:rsidRDefault="00CE7440" w:rsidP="00CE7440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CE7440">
        <w:rPr>
          <w:rFonts w:ascii="Arial" w:hAnsi="Arial" w:cs="Arial"/>
          <w:sz w:val="16"/>
          <w:szCs w:val="16"/>
        </w:rPr>
        <w:t>‡In previous 12 months</w:t>
      </w:r>
      <w:r>
        <w:rPr>
          <w:rFonts w:ascii="Arial" w:hAnsi="Arial" w:cs="Arial"/>
          <w:sz w:val="16"/>
          <w:szCs w:val="16"/>
        </w:rPr>
        <w:t>.</w:t>
      </w:r>
    </w:p>
    <w:p w:rsidR="00CE7440" w:rsidRPr="00CE7440" w:rsidRDefault="00CE7440" w:rsidP="00CE7440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CE7440">
        <w:rPr>
          <w:rFonts w:ascii="Arial" w:hAnsi="Arial" w:cs="Arial"/>
          <w:sz w:val="16"/>
          <w:szCs w:val="16"/>
        </w:rPr>
        <w:t>§Group by time interaction</w:t>
      </w:r>
      <w:r>
        <w:rPr>
          <w:rFonts w:ascii="Arial" w:hAnsi="Arial" w:cs="Arial"/>
          <w:sz w:val="16"/>
          <w:szCs w:val="16"/>
        </w:rPr>
        <w:t>.</w:t>
      </w:r>
    </w:p>
    <w:p w:rsidR="00CE7440" w:rsidRDefault="00CE7440" w:rsidP="00CE7440">
      <w:pPr>
        <w:rPr>
          <w:rFonts w:ascii="Arial" w:hAnsi="Arial" w:cs="Arial"/>
          <w:sz w:val="16"/>
          <w:szCs w:val="16"/>
        </w:rPr>
      </w:pPr>
    </w:p>
    <w:p w:rsidR="002B1C8A" w:rsidRPr="00CE7440" w:rsidRDefault="00CE7440" w:rsidP="00CE7440">
      <w:pPr>
        <w:rPr>
          <w:rFonts w:ascii="Arial" w:hAnsi="Arial" w:cs="Arial"/>
          <w:sz w:val="16"/>
          <w:szCs w:val="16"/>
        </w:rPr>
      </w:pPr>
      <w:r w:rsidRPr="00CE7440">
        <w:rPr>
          <w:rFonts w:ascii="Arial" w:hAnsi="Arial" w:cs="Arial"/>
          <w:b/>
          <w:sz w:val="16"/>
          <w:szCs w:val="16"/>
        </w:rPr>
        <w:t>Abbreviations:</w:t>
      </w:r>
      <w:r w:rsidRPr="00CE7440">
        <w:rPr>
          <w:rFonts w:ascii="Arial" w:hAnsi="Arial" w:cs="Arial"/>
          <w:sz w:val="16"/>
          <w:szCs w:val="16"/>
        </w:rPr>
        <w:t xml:space="preserve"> BL</w:t>
      </w:r>
      <w:r>
        <w:rPr>
          <w:rFonts w:ascii="Arial" w:hAnsi="Arial" w:cs="Arial"/>
          <w:sz w:val="16"/>
          <w:szCs w:val="16"/>
        </w:rPr>
        <w:t xml:space="preserve"> =</w:t>
      </w:r>
      <w:r w:rsidRPr="00CE7440">
        <w:rPr>
          <w:rFonts w:ascii="Arial" w:hAnsi="Arial" w:cs="Arial"/>
          <w:sz w:val="16"/>
          <w:szCs w:val="16"/>
        </w:rPr>
        <w:t xml:space="preserve"> baseline; CI</w:t>
      </w:r>
      <w:r>
        <w:rPr>
          <w:rFonts w:ascii="Arial" w:hAnsi="Arial" w:cs="Arial"/>
          <w:sz w:val="16"/>
          <w:szCs w:val="16"/>
        </w:rPr>
        <w:t xml:space="preserve"> =</w:t>
      </w:r>
      <w:r w:rsidRPr="00CE7440">
        <w:rPr>
          <w:rFonts w:ascii="Arial" w:hAnsi="Arial" w:cs="Arial"/>
          <w:sz w:val="16"/>
          <w:szCs w:val="16"/>
        </w:rPr>
        <w:t xml:space="preserve"> confidence interval; DSH</w:t>
      </w:r>
      <w:r>
        <w:rPr>
          <w:rFonts w:ascii="Arial" w:hAnsi="Arial" w:cs="Arial"/>
          <w:sz w:val="16"/>
          <w:szCs w:val="16"/>
        </w:rPr>
        <w:t xml:space="preserve"> =</w:t>
      </w:r>
      <w:r w:rsidRPr="00CE7440">
        <w:rPr>
          <w:rFonts w:ascii="Arial" w:hAnsi="Arial" w:cs="Arial"/>
          <w:sz w:val="16"/>
          <w:szCs w:val="16"/>
        </w:rPr>
        <w:t xml:space="preserve"> deliberate self-harm; NR</w:t>
      </w:r>
      <w:r>
        <w:rPr>
          <w:rFonts w:ascii="Arial" w:hAnsi="Arial" w:cs="Arial"/>
          <w:sz w:val="16"/>
          <w:szCs w:val="16"/>
        </w:rPr>
        <w:t xml:space="preserve"> =</w:t>
      </w:r>
      <w:r w:rsidRPr="00CE7440">
        <w:rPr>
          <w:rFonts w:ascii="Arial" w:hAnsi="Arial" w:cs="Arial"/>
          <w:sz w:val="16"/>
          <w:szCs w:val="16"/>
        </w:rPr>
        <w:t xml:space="preserve"> not reported; NSD</w:t>
      </w:r>
      <w:r>
        <w:rPr>
          <w:rFonts w:ascii="Arial" w:hAnsi="Arial" w:cs="Arial"/>
          <w:sz w:val="16"/>
          <w:szCs w:val="16"/>
        </w:rPr>
        <w:t xml:space="preserve"> =</w:t>
      </w:r>
      <w:r w:rsidRPr="00CE7440">
        <w:rPr>
          <w:rFonts w:ascii="Arial" w:hAnsi="Arial" w:cs="Arial"/>
          <w:sz w:val="16"/>
          <w:szCs w:val="16"/>
        </w:rPr>
        <w:t xml:space="preserve"> no significant difference; OR</w:t>
      </w:r>
      <w:r>
        <w:rPr>
          <w:rFonts w:ascii="Arial" w:hAnsi="Arial" w:cs="Arial"/>
          <w:sz w:val="16"/>
          <w:szCs w:val="16"/>
        </w:rPr>
        <w:t xml:space="preserve"> =</w:t>
      </w:r>
      <w:r w:rsidRPr="00CE7440">
        <w:rPr>
          <w:rFonts w:ascii="Arial" w:hAnsi="Arial" w:cs="Arial"/>
          <w:sz w:val="16"/>
          <w:szCs w:val="16"/>
        </w:rPr>
        <w:t xml:space="preserve"> odds ratio</w:t>
      </w:r>
      <w:r>
        <w:rPr>
          <w:rFonts w:ascii="Arial" w:hAnsi="Arial" w:cs="Arial"/>
          <w:sz w:val="16"/>
          <w:szCs w:val="16"/>
        </w:rPr>
        <w:t>.</w:t>
      </w:r>
    </w:p>
    <w:sectPr w:rsidR="002B1C8A" w:rsidRPr="00CE7440" w:rsidSect="00CE7440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6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440" w:rsidRDefault="00CE7440" w:rsidP="00CE7440">
      <w:r>
        <w:separator/>
      </w:r>
    </w:p>
  </w:endnote>
  <w:endnote w:type="continuationSeparator" w:id="0">
    <w:p w:rsidR="00CE7440" w:rsidRDefault="00CE7440" w:rsidP="00CE7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40" w:rsidRDefault="00CE7440" w:rsidP="00CE7440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</w:rPr>
      <w:t>Screening for Suicide Risk</w:t>
    </w:r>
    <w:r>
      <w:rPr>
        <w:rFonts w:ascii="Arial" w:hAnsi="Arial"/>
        <w:sz w:val="16"/>
      </w:rPr>
      <w:tab/>
    </w:r>
    <w:r w:rsidRPr="00454731">
      <w:rPr>
        <w:rFonts w:ascii="Arial" w:hAnsi="Arial"/>
        <w:sz w:val="16"/>
      </w:rPr>
      <w:fldChar w:fldCharType="begin"/>
    </w:r>
    <w:r w:rsidRPr="00454731">
      <w:rPr>
        <w:rFonts w:ascii="Arial" w:hAnsi="Arial"/>
        <w:sz w:val="16"/>
      </w:rPr>
      <w:instrText xml:space="preserve"> PAGE   \* MERGEFORMAT </w:instrText>
    </w:r>
    <w:r w:rsidRPr="00454731"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169</w:t>
    </w:r>
    <w:r w:rsidRPr="00454731">
      <w:rPr>
        <w:rFonts w:ascii="Arial" w:hAnsi="Arial"/>
        <w:sz w:val="16"/>
      </w:rPr>
      <w:fldChar w:fldCharType="end"/>
    </w:r>
    <w:r>
      <w:rPr>
        <w:rFonts w:ascii="Arial" w:hAnsi="Arial"/>
        <w:i/>
        <w:sz w:val="16"/>
      </w:rPr>
      <w:tab/>
    </w:r>
    <w:r>
      <w:rPr>
        <w:rFonts w:ascii="Arial" w:hAnsi="Arial"/>
        <w:sz w:val="16"/>
      </w:rPr>
      <w:t>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440" w:rsidRDefault="00CE7440" w:rsidP="00CE7440">
      <w:r>
        <w:separator/>
      </w:r>
    </w:p>
  </w:footnote>
  <w:footnote w:type="continuationSeparator" w:id="0">
    <w:p w:rsidR="00CE7440" w:rsidRDefault="00CE7440" w:rsidP="00CE7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40" w:rsidRPr="00CE7440" w:rsidRDefault="00CE7440">
    <w:pPr>
      <w:pStyle w:val="Header"/>
      <w:rPr>
        <w:rFonts w:ascii="Arial" w:hAnsi="Arial"/>
        <w:b/>
        <w:sz w:val="20"/>
        <w:szCs w:val="20"/>
      </w:rPr>
    </w:pPr>
    <w:r w:rsidRPr="00CE7440">
      <w:rPr>
        <w:rFonts w:ascii="Arial" w:hAnsi="Arial"/>
        <w:b/>
        <w:sz w:val="20"/>
        <w:szCs w:val="20"/>
      </w:rPr>
      <w:t xml:space="preserve">Appendix H Table 9. Suicide Attempts </w:t>
    </w:r>
    <w:r>
      <w:rPr>
        <w:rFonts w:ascii="Arial" w:hAnsi="Arial"/>
        <w:b/>
        <w:sz w:val="20"/>
        <w:szCs w:val="20"/>
      </w:rPr>
      <w:t>o</w:t>
    </w:r>
    <w:r w:rsidRPr="00CE7440">
      <w:rPr>
        <w:rFonts w:ascii="Arial" w:hAnsi="Arial"/>
        <w:b/>
        <w:sz w:val="20"/>
        <w:szCs w:val="20"/>
      </w:rPr>
      <w:t xml:space="preserve">r Episodes </w:t>
    </w:r>
    <w:r>
      <w:rPr>
        <w:rFonts w:ascii="Arial" w:hAnsi="Arial"/>
        <w:b/>
        <w:sz w:val="20"/>
        <w:szCs w:val="20"/>
      </w:rPr>
      <w:t>o</w:t>
    </w:r>
    <w:r w:rsidRPr="00CE7440">
      <w:rPr>
        <w:rFonts w:ascii="Arial" w:hAnsi="Arial"/>
        <w:b/>
        <w:sz w:val="20"/>
        <w:szCs w:val="20"/>
      </w:rPr>
      <w:t>f Deliberate Self-Harm</w:t>
    </w:r>
    <w:r>
      <w:rPr>
        <w:rFonts w:ascii="Arial" w:hAnsi="Arial"/>
        <w:b/>
        <w:sz w:val="20"/>
        <w:szCs w:val="20"/>
      </w:rPr>
      <w:t>:</w:t>
    </w:r>
    <w:r w:rsidRPr="00CE7440">
      <w:rPr>
        <w:rFonts w:ascii="Arial" w:hAnsi="Arial"/>
        <w:b/>
        <w:sz w:val="20"/>
        <w:szCs w:val="20"/>
      </w:rPr>
      <w:t xml:space="preserve"> Adolescents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440"/>
    <w:rsid w:val="002B1C8A"/>
    <w:rsid w:val="00607EF1"/>
    <w:rsid w:val="006B6342"/>
    <w:rsid w:val="0082725C"/>
    <w:rsid w:val="009317A8"/>
    <w:rsid w:val="00B913AC"/>
    <w:rsid w:val="00CB5C0F"/>
    <w:rsid w:val="00CE7440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40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ascii="Times New Roman" w:eastAsia="Calibri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E7440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744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E7440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E7440"/>
    <w:rPr>
      <w:rFonts w:ascii="Times New Roman" w:hAnsi="Times New Roman"/>
      <w:sz w:val="24"/>
      <w:szCs w:val="24"/>
    </w:rPr>
  </w:style>
  <w:style w:type="paragraph" w:customStyle="1" w:styleId="TableNote">
    <w:name w:val="TableNote"/>
    <w:qFormat/>
    <w:rsid w:val="00CE7440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2156</Characters>
  <Application>Microsoft Office Word</Application>
  <DocSecurity>0</DocSecurity>
  <Lines>17</Lines>
  <Paragraphs>5</Paragraphs>
  <ScaleCrop>false</ScaleCrop>
  <Company>DHHS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2013-04-11T17:50:00Z</dcterms:created>
  <dcterms:modified xsi:type="dcterms:W3CDTF">2013-04-11T17:56:00Z</dcterms:modified>
</cp:coreProperties>
</file>