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49"/>
        <w:gridCol w:w="1170"/>
        <w:gridCol w:w="3352"/>
        <w:gridCol w:w="1007"/>
        <w:gridCol w:w="1494"/>
        <w:gridCol w:w="1439"/>
        <w:gridCol w:w="1173"/>
        <w:gridCol w:w="825"/>
      </w:tblGrid>
      <w:tr w:rsidR="00B90D76" w:rsidRPr="00E93169" w:rsidTr="00B90D76">
        <w:trPr>
          <w:cantSplit/>
          <w:tblHeader/>
        </w:trPr>
        <w:tc>
          <w:tcPr>
            <w:tcW w:w="519" w:type="pct"/>
            <w:shd w:val="clear" w:color="auto" w:fill="D9D9D9" w:themeFill="background1" w:themeFillShade="D9"/>
          </w:tcPr>
          <w:p w:rsidR="00B90D76" w:rsidRPr="00E93169" w:rsidRDefault="00B90D76" w:rsidP="00B749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Intervention category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bottom"/>
          </w:tcPr>
          <w:p w:rsidR="00B90D76" w:rsidRPr="00335F39" w:rsidRDefault="00B90D76" w:rsidP="00B90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F39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bottom"/>
          </w:tcPr>
          <w:p w:rsidR="00B90D76" w:rsidRPr="00E93169" w:rsidRDefault="00B90D76" w:rsidP="00B90D76">
            <w:pPr>
              <w:ind w:left="-107" w:right="-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range (mean age)</w:t>
            </w:r>
          </w:p>
        </w:tc>
        <w:tc>
          <w:tcPr>
            <w:tcW w:w="1272" w:type="pct"/>
            <w:shd w:val="clear" w:color="auto" w:fill="D9D9D9" w:themeFill="background1" w:themeFillShade="D9"/>
            <w:vAlign w:val="bottom"/>
          </w:tcPr>
          <w:p w:rsidR="00B90D76" w:rsidRPr="00E93169" w:rsidRDefault="00B90D76" w:rsidP="00B90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bottom"/>
          </w:tcPr>
          <w:p w:rsidR="00B90D76" w:rsidRPr="00E93169" w:rsidRDefault="00B90D76" w:rsidP="00B90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Followup time (m)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bottom"/>
          </w:tcPr>
          <w:p w:rsidR="00B90D76" w:rsidRPr="00E93169" w:rsidRDefault="00B90D76" w:rsidP="00B90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bottom"/>
          </w:tcPr>
          <w:p w:rsidR="00B90D76" w:rsidRPr="00E93169" w:rsidRDefault="00B90D76" w:rsidP="00B90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Control group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bottom"/>
          </w:tcPr>
          <w:p w:rsidR="00B90D76" w:rsidRDefault="00B90D76" w:rsidP="00B90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  <w:p w:rsidR="00B90D76" w:rsidRDefault="00B90D76" w:rsidP="00B90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(95% CI)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:rsidR="00B90D76" w:rsidRPr="00E93169" w:rsidRDefault="00B90D76" w:rsidP="00B90D76">
            <w:pPr>
              <w:ind w:left="-109" w:righ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Cognitive behavioral therapy</w:t>
            </w: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Brown 2005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126,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168,169</w:t>
            </w:r>
          </w:p>
        </w:tc>
        <w:tc>
          <w:tcPr>
            <w:tcW w:w="444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18-66 (35)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≥1 suicide attempt per self-report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13/54 (24.1%)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23/55 (41.6%)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Evans 1999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444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16-50 (NR)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 repeat self-harm episode per self-report and hospital records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10/18 (56%)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10/14 (71%)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Hawton 1987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137</w:t>
            </w:r>
          </w:p>
        </w:tc>
        <w:tc>
          <w:tcPr>
            <w:tcW w:w="444" w:type="pct"/>
          </w:tcPr>
          <w:p w:rsidR="00B90D76" w:rsidRDefault="00B90D76" w:rsidP="00B90D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≥16 (29)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repetition of self-poisoning per general practitioner and hospital records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3/41 (7.3%)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6/39 (15.4%)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Slee 2008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145,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170</w:t>
            </w:r>
          </w:p>
        </w:tc>
        <w:tc>
          <w:tcPr>
            <w:tcW w:w="444" w:type="pct"/>
            <w:vMerge w:val="restar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15-35 (24)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number of DSH episodes per self-report, corroborated by hospital records and treatment chart notes, mean (SD)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BL║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 (10.5)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 (1.4)</w:t>
            </w:r>
          </w:p>
        </w:tc>
        <w:tc>
          <w:tcPr>
            <w:tcW w:w="445" w:type="pct"/>
          </w:tcPr>
          <w:p w:rsidR="00B90D76" w:rsidRPr="00E02F70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E02F70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13" w:type="pct"/>
            <w:shd w:val="clear" w:color="auto" w:fill="auto"/>
          </w:tcPr>
          <w:p w:rsidR="00B90D76" w:rsidRPr="00E02F70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E02F70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3║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 (9.0)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 (9.2)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6║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 (9.4)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 (7.2)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  <w:trHeight w:val="60"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9║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 (4.2)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 (8.4)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Tyrer 2003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146,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171-174</w:t>
            </w:r>
          </w:p>
        </w:tc>
        <w:tc>
          <w:tcPr>
            <w:tcW w:w="444" w:type="pct"/>
            <w:vMerge w:val="restar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16-65 (32)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severe or high risk DSH episode per self-report, corroborated with general practitioner notes and medical records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64/213 (30%)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77/217 (36%)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0.76 (0.51, 1.15)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84/213 (39%)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99/217 (46%)</w:t>
            </w:r>
          </w:p>
        </w:tc>
        <w:tc>
          <w:tcPr>
            <w:tcW w:w="445" w:type="pct"/>
          </w:tcPr>
          <w:p w:rsidR="00B90D76" w:rsidRPr="00E93169" w:rsidRDefault="00B90D76" w:rsidP="00B90D76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0.76 (0.51, 1.13)*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Dialectical behavior therapy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Carter 2010</w:t>
            </w:r>
            <w:r>
              <w:rPr>
                <w:rFonts w:ascii="Arial" w:hAnsi="Arial" w:cs="Arial"/>
                <w:sz w:val="18"/>
                <w:szCs w:val="18"/>
              </w:rPr>
              <w:t>¶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444" w:type="pct"/>
            <w:vMerge w:val="restar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18-65 (24)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number of DSH episodes per self-report, corroborated by hospital records, mean (SD)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 (28.6)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 (40.7)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NSD†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3║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 (11.5)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 (11.4)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Linehan 1991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140</w:t>
            </w:r>
          </w:p>
        </w:tc>
        <w:tc>
          <w:tcPr>
            <w:tcW w:w="444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18-45 (NR)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parasuicidal acts requiring treatment per self-report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5/22 (22.7%)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10/22 (45.4%)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Linehan 2006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141,175,176</w:t>
            </w:r>
          </w:p>
        </w:tc>
        <w:tc>
          <w:tcPr>
            <w:tcW w:w="444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18-45 (29)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suicide attempts per self-report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12/52 (23.1%)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23/49 (46.7%)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 2.66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van den Bosch 2005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148,177</w:t>
            </w:r>
          </w:p>
        </w:tc>
        <w:tc>
          <w:tcPr>
            <w:tcW w:w="444" w:type="pct"/>
            <w:vMerge w:val="restar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18-65 (35)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 parasuicidal act  per self-report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2/27 (7%)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8/31 (26%)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18†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1/27 (4%)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6/31 (19%)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Problem-solving therapy</w:t>
            </w: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Hatcher 2011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444" w:type="pct"/>
          </w:tcPr>
          <w:p w:rsidR="00B90D76" w:rsidRDefault="00B90D76" w:rsidP="00B90D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≥16 (34)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presenting to hospital for DSH per the National New Zealand database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36/253 (14.2%)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90D7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51/299 (17.1%)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 0.83 (0.56, 1.24)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 w:val="restart"/>
            <w:shd w:val="clear" w:color="auto" w:fill="auto"/>
          </w:tcPr>
          <w:p w:rsidR="00B90D76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Psychodynamic or interpersonal therapy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Bateman 1999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124,178</w:t>
            </w:r>
          </w:p>
        </w:tc>
        <w:tc>
          <w:tcPr>
            <w:tcW w:w="444" w:type="pct"/>
            <w:vMerge w:val="restar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16-65 (32)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suicide attempt per self-report, corroborated by medical and psychiatric records§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8/19 (42%)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13/19 (68%)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12†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4/19 (21%)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11/19 (58%)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&lt;0.02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18†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1/19 (5.3%)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12/19 (63%)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Guthrie 2001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135,179</w:t>
            </w:r>
          </w:p>
        </w:tc>
        <w:tc>
          <w:tcPr>
            <w:tcW w:w="444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18-65 (31)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repeat DSH episode per self-report or hospital records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5/58 (9%)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17/61 (28%)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 w:val="restart"/>
            <w:shd w:val="clear" w:color="auto" w:fill="auto"/>
          </w:tcPr>
          <w:p w:rsidR="00B90D76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 direct therapeutic contact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Comtois 2011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131</w:t>
            </w:r>
          </w:p>
        </w:tc>
        <w:tc>
          <w:tcPr>
            <w:tcW w:w="444" w:type="pct"/>
            <w:vMerge w:val="restar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19-62 (37)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number of suicide attempts and/or self-inflicted injuries per self-report</w:t>
            </w:r>
          </w:p>
        </w:tc>
        <w:tc>
          <w:tcPr>
            <w:tcW w:w="382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567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(9.3)</w:t>
            </w:r>
          </w:p>
        </w:tc>
        <w:tc>
          <w:tcPr>
            <w:tcW w:w="546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 (24.5)</w:t>
            </w:r>
          </w:p>
        </w:tc>
        <w:tc>
          <w:tcPr>
            <w:tcW w:w="445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46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 (7.8)</w:t>
            </w:r>
          </w:p>
        </w:tc>
        <w:tc>
          <w:tcPr>
            <w:tcW w:w="445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546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 (1.8)</w:t>
            </w:r>
          </w:p>
        </w:tc>
        <w:tc>
          <w:tcPr>
            <w:tcW w:w="445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 (0.4)</w:t>
            </w:r>
          </w:p>
        </w:tc>
        <w:tc>
          <w:tcPr>
            <w:tcW w:w="546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 (0)</w:t>
            </w:r>
          </w:p>
        </w:tc>
        <w:tc>
          <w:tcPr>
            <w:tcW w:w="445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 (3.9)</w:t>
            </w:r>
          </w:p>
        </w:tc>
        <w:tc>
          <w:tcPr>
            <w:tcW w:w="546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 (7.6)</w:t>
            </w:r>
          </w:p>
        </w:tc>
        <w:tc>
          <w:tcPr>
            <w:tcW w:w="445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Medication: lithium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Lauterbach 2008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139</w:t>
            </w:r>
          </w:p>
        </w:tc>
        <w:tc>
          <w:tcPr>
            <w:tcW w:w="444" w:type="pct"/>
            <w:vMerge w:val="restart"/>
          </w:tcPr>
          <w:p w:rsidR="00B90D76" w:rsidRDefault="00B90D76" w:rsidP="00B90D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≥18 (39)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suicide attempts per self-report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2/74 (2.7%)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1/68 (2.9%)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2‡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3/62 (4.8%)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6/60 (10.0%)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3‡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5/56 (8.9%)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8/48 (16.7%)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 w:val="restart"/>
            <w:shd w:val="clear" w:color="auto" w:fill="auto"/>
          </w:tcPr>
          <w:p w:rsidR="00B90D76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Practice-based interventions</w:t>
            </w:r>
          </w:p>
        </w:tc>
        <w:tc>
          <w:tcPr>
            <w:tcW w:w="512" w:type="pct"/>
            <w:shd w:val="clear" w:color="auto" w:fill="auto"/>
          </w:tcPr>
          <w:p w:rsidR="00B90D76" w:rsidRPr="000A734B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Almeida 2012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152,180</w:t>
            </w:r>
          </w:p>
        </w:tc>
        <w:tc>
          <w:tcPr>
            <w:tcW w:w="444" w:type="pct"/>
          </w:tcPr>
          <w:p w:rsidR="00B90D76" w:rsidRPr="000A734B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60-101 (72)</w:t>
            </w:r>
          </w:p>
        </w:tc>
        <w:tc>
          <w:tcPr>
            <w:tcW w:w="1272" w:type="pct"/>
            <w:shd w:val="clear" w:color="auto" w:fill="auto"/>
          </w:tcPr>
          <w:p w:rsidR="00B90D76" w:rsidRPr="000A734B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Participants with self-harm behavior (suicide attempts and ideation) per self-report</w:t>
            </w:r>
          </w:p>
        </w:tc>
        <w:tc>
          <w:tcPr>
            <w:tcW w:w="382" w:type="pct"/>
            <w:shd w:val="clear" w:color="auto" w:fill="auto"/>
          </w:tcPr>
          <w:p w:rsidR="00B90D76" w:rsidRPr="000A734B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</w:tcPr>
          <w:p w:rsidR="00B90D76" w:rsidRPr="000A734B" w:rsidRDefault="00B90D76" w:rsidP="00B90D76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 xml:space="preserve">508/11,402 (4.5%) </w:t>
            </w:r>
          </w:p>
        </w:tc>
        <w:tc>
          <w:tcPr>
            <w:tcW w:w="546" w:type="pct"/>
            <w:shd w:val="clear" w:color="auto" w:fill="auto"/>
          </w:tcPr>
          <w:p w:rsidR="00B90D76" w:rsidRPr="000A734B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531/10,360 (5.1%)</w:t>
            </w:r>
          </w:p>
        </w:tc>
        <w:tc>
          <w:tcPr>
            <w:tcW w:w="445" w:type="pct"/>
          </w:tcPr>
          <w:p w:rsidR="00B90D76" w:rsidRPr="000A734B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OR: 0.80 (0.68, 0.94)</w:t>
            </w:r>
          </w:p>
        </w:tc>
        <w:tc>
          <w:tcPr>
            <w:tcW w:w="313" w:type="pct"/>
            <w:shd w:val="clear" w:color="auto" w:fill="auto"/>
          </w:tcPr>
          <w:p w:rsidR="00B90D76" w:rsidRPr="000A734B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Bennewith 2002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444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16-95 (32)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 DSH episodes per self-report and general practitioner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90D76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211/964 (21.9%)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90D7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189/968 (16.5%)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1.17 (0.94, 1.47)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Clarke 2002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444" w:type="pct"/>
          </w:tcPr>
          <w:p w:rsidR="00B90D76" w:rsidRDefault="00B90D76" w:rsidP="00B90D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≥20 (33)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readmission to Accident and Emergency Services due to self-harm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19/220 (9%)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25/247 (10%)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Bruce 2004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114,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181-187</w:t>
            </w:r>
          </w:p>
        </w:tc>
        <w:tc>
          <w:tcPr>
            <w:tcW w:w="444" w:type="pct"/>
            <w:vMerge w:val="restar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60-94 (70)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 suicide attempt (source NR)</w:t>
            </w:r>
          </w:p>
        </w:tc>
        <w:tc>
          <w:tcPr>
            <w:tcW w:w="382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1/221 (0.5%)</w:t>
            </w:r>
          </w:p>
        </w:tc>
        <w:tc>
          <w:tcPr>
            <w:tcW w:w="546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1/191 (0.5%)</w:t>
            </w:r>
          </w:p>
        </w:tc>
        <w:tc>
          <w:tcPr>
            <w:tcW w:w="445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2/183 (1.1%)</w:t>
            </w:r>
          </w:p>
        </w:tc>
        <w:tc>
          <w:tcPr>
            <w:tcW w:w="546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3/177 (1.7%)</w:t>
            </w:r>
          </w:p>
        </w:tc>
        <w:tc>
          <w:tcPr>
            <w:tcW w:w="445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Improving treatment adherence with direct person-to-person contact</w:t>
            </w: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Allard 1992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444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(NR)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≥1 suicide attempt per self-report, corroborated by medical records, relatives and/or coroner’s report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22/63 (34.9%)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19/63 (30.2%)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Cedereke 2002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444" w:type="pct"/>
            <w:vMerge w:val="restar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(41)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 suicide attempt per self-report, corroborated by medical records</w:t>
            </w:r>
          </w:p>
        </w:tc>
        <w:tc>
          <w:tcPr>
            <w:tcW w:w="382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6/107 (6%)</w:t>
            </w:r>
          </w:p>
        </w:tc>
        <w:tc>
          <w:tcPr>
            <w:tcW w:w="546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10/109 (9%)</w:t>
            </w:r>
          </w:p>
        </w:tc>
        <w:tc>
          <w:tcPr>
            <w:tcW w:w="445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14/83 (17%)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15/89 (17%)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Crawford 2010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444" w:type="pc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18-65 (37)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an ED visit related to DSH episode, per hospital record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7/52 (13.7%)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1/51 (21.2%)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0.59 (0.21, 1.67)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Vaiva 2003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147</w:t>
            </w:r>
          </w:p>
        </w:tc>
        <w:tc>
          <w:tcPr>
            <w:tcW w:w="444" w:type="pct"/>
            <w:vMerge w:val="restart"/>
          </w:tcPr>
          <w:p w:rsidR="00B90D76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18-65 (36)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suicide attempt per self-report, ED, medical or provider records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29/202 (14.4)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90D76">
            <w:pPr>
              <w:tabs>
                <w:tab w:val="left" w:pos="1331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62/280 (22.1%)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44/293 (15.0%)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90D7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59/312 (18.9%)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van Heeringen 1995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444" w:type="pct"/>
          </w:tcPr>
          <w:p w:rsidR="00B90D76" w:rsidRDefault="00B90D76" w:rsidP="00B90D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≥15 (34)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nonfatal suicide attempt per self-report, corroborated by medical records, provider and/or family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15/129 (11.6%)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90D7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27/195 (13.8%)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1.17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Welu 1977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150</w:t>
            </w:r>
          </w:p>
        </w:tc>
        <w:tc>
          <w:tcPr>
            <w:tcW w:w="444" w:type="pct"/>
          </w:tcPr>
          <w:p w:rsidR="00B90D76" w:rsidRDefault="00B90D76" w:rsidP="00B90D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≥16 (29)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 suicide attempt per self-report, corroborated with medical records, provider and/or family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9/62 (14.5%)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13/57 (22.8%)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0.12§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Improving treatment adherence without direct person-to-person contact</w:t>
            </w: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Beautrais 2012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444" w:type="pct"/>
          </w:tcPr>
          <w:p w:rsidR="00B90D76" w:rsidRDefault="00B90D76" w:rsidP="00B90D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≥16 (34)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presenting to the ED or emergency psychiatric service for self-harm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39/153 (25.5%)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90D7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49/174 (28.2%)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0.87 (0.53, 1.43)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&gt;0.58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Carter 2007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127,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188</w:t>
            </w:r>
          </w:p>
        </w:tc>
        <w:tc>
          <w:tcPr>
            <w:tcW w:w="444" w:type="pct"/>
            <w:vMerge w:val="restart"/>
          </w:tcPr>
          <w:p w:rsidR="00B90D76" w:rsidRDefault="00B90D76" w:rsidP="00B90D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≥16 (33)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admission for self-poisoning per toxicology service database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57/279 (15.1%)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90D7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68/394 (17.3%)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80/378 (21.2%)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90D7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90/394 (22.8%)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</w:tr>
      <w:tr w:rsidR="00B90D76" w:rsidRPr="00E93169" w:rsidTr="00B90D76">
        <w:trPr>
          <w:cantSplit/>
        </w:trPr>
        <w:tc>
          <w:tcPr>
            <w:tcW w:w="519" w:type="pct"/>
            <w:vMerge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B90D76" w:rsidRPr="00335F39" w:rsidRDefault="00B90D76" w:rsidP="00B90D76">
            <w:pPr>
              <w:ind w:right="-84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Hassanian 2011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444" w:type="pct"/>
          </w:tcPr>
          <w:p w:rsidR="00B90D76" w:rsidRDefault="00B90D76" w:rsidP="00B90D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≥12 (24)</w:t>
            </w:r>
          </w:p>
        </w:tc>
        <w:tc>
          <w:tcPr>
            <w:tcW w:w="1272" w:type="pct"/>
            <w:shd w:val="clear" w:color="auto" w:fill="auto"/>
          </w:tcPr>
          <w:p w:rsidR="00B90D76" w:rsidRPr="00E93169" w:rsidRDefault="00B90D76" w:rsidP="00B90D76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 suicide attempt per self-report, confirmed by hospital records if hospitalized</w:t>
            </w:r>
          </w:p>
        </w:tc>
        <w:tc>
          <w:tcPr>
            <w:tcW w:w="382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</w:tcPr>
          <w:p w:rsidR="00B90D76" w:rsidRPr="00E93169" w:rsidRDefault="00B90D76" w:rsidP="00B90D76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31/1,043 (3.0%)</w:t>
            </w:r>
          </w:p>
        </w:tc>
        <w:tc>
          <w:tcPr>
            <w:tcW w:w="546" w:type="pct"/>
            <w:shd w:val="clear" w:color="auto" w:fill="auto"/>
          </w:tcPr>
          <w:p w:rsidR="00B90D76" w:rsidRPr="00E93169" w:rsidRDefault="00B90D76" w:rsidP="00B90D7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55/1,070 (5.1%)</w:t>
            </w:r>
          </w:p>
        </w:tc>
        <w:tc>
          <w:tcPr>
            <w:tcW w:w="445" w:type="pct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 0.42 (0.11, 0.63)</w:t>
            </w:r>
          </w:p>
        </w:tc>
        <w:tc>
          <w:tcPr>
            <w:tcW w:w="313" w:type="pct"/>
            <w:shd w:val="clear" w:color="auto" w:fill="auto"/>
          </w:tcPr>
          <w:p w:rsidR="00B90D76" w:rsidRPr="00E93169" w:rsidRDefault="00B90D76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B90D76" w:rsidRPr="00B90D76" w:rsidRDefault="00B90D76" w:rsidP="00B90D76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B90D76">
        <w:rPr>
          <w:rFonts w:ascii="Arial" w:hAnsi="Arial" w:cs="Arial"/>
          <w:sz w:val="16"/>
          <w:szCs w:val="16"/>
        </w:rPr>
        <w:t>*Adjusted</w:t>
      </w:r>
      <w:r>
        <w:rPr>
          <w:rFonts w:ascii="Arial" w:hAnsi="Arial" w:cs="Arial"/>
          <w:sz w:val="16"/>
          <w:szCs w:val="16"/>
        </w:rPr>
        <w:t>.</w:t>
      </w:r>
    </w:p>
    <w:p w:rsidR="00B90D76" w:rsidRPr="00B90D76" w:rsidRDefault="00B90D76" w:rsidP="00B90D76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B90D76">
        <w:rPr>
          <w:rFonts w:ascii="Arial" w:hAnsi="Arial" w:cs="Arial"/>
          <w:sz w:val="16"/>
          <w:szCs w:val="16"/>
        </w:rPr>
        <w:t>†Group by time interaction</w:t>
      </w:r>
      <w:r>
        <w:rPr>
          <w:rFonts w:ascii="Arial" w:hAnsi="Arial" w:cs="Arial"/>
          <w:sz w:val="16"/>
          <w:szCs w:val="16"/>
        </w:rPr>
        <w:t>.</w:t>
      </w:r>
    </w:p>
    <w:p w:rsidR="00B90D76" w:rsidRPr="00B90D76" w:rsidRDefault="00B90D76" w:rsidP="00B90D76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B90D76">
        <w:rPr>
          <w:rFonts w:ascii="Arial" w:hAnsi="Arial" w:cs="Arial"/>
          <w:sz w:val="16"/>
          <w:szCs w:val="16"/>
        </w:rPr>
        <w:t>‡║Cumulative from baseline</w:t>
      </w:r>
      <w:r>
        <w:rPr>
          <w:rFonts w:ascii="Arial" w:hAnsi="Arial" w:cs="Arial"/>
          <w:sz w:val="16"/>
          <w:szCs w:val="16"/>
        </w:rPr>
        <w:t>.</w:t>
      </w:r>
    </w:p>
    <w:p w:rsidR="00B90D76" w:rsidRPr="00B90D76" w:rsidRDefault="00B90D76" w:rsidP="00B90D76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B90D76">
        <w:rPr>
          <w:rFonts w:ascii="Arial" w:hAnsi="Arial" w:cs="Arial"/>
          <w:sz w:val="16"/>
          <w:szCs w:val="16"/>
        </w:rPr>
        <w:t>§One-tailed</w:t>
      </w:r>
      <w:r>
        <w:rPr>
          <w:rFonts w:ascii="Arial" w:hAnsi="Arial" w:cs="Arial"/>
          <w:sz w:val="16"/>
          <w:szCs w:val="16"/>
        </w:rPr>
        <w:t>.</w:t>
      </w:r>
    </w:p>
    <w:p w:rsidR="00B90D76" w:rsidRPr="00B90D76" w:rsidRDefault="00B90D76" w:rsidP="00B90D76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B90D76">
        <w:rPr>
          <w:rFonts w:ascii="Arial" w:hAnsi="Arial" w:cs="Arial"/>
          <w:sz w:val="16"/>
          <w:szCs w:val="16"/>
        </w:rPr>
        <w:t>║In previous 3 months</w:t>
      </w:r>
      <w:r>
        <w:rPr>
          <w:rFonts w:ascii="Arial" w:hAnsi="Arial" w:cs="Arial"/>
          <w:sz w:val="16"/>
          <w:szCs w:val="16"/>
        </w:rPr>
        <w:t>.</w:t>
      </w:r>
    </w:p>
    <w:p w:rsidR="00B90D76" w:rsidRPr="00B90D76" w:rsidRDefault="00B90D76" w:rsidP="00B90D76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B90D76">
        <w:rPr>
          <w:rFonts w:ascii="Arial" w:hAnsi="Arial" w:cs="Arial"/>
          <w:sz w:val="16"/>
          <w:szCs w:val="16"/>
        </w:rPr>
        <w:t>¶Carter 2010: Only 3</w:t>
      </w:r>
      <w:r>
        <w:rPr>
          <w:rFonts w:ascii="Arial" w:hAnsi="Arial" w:cs="Arial"/>
          <w:sz w:val="16"/>
          <w:szCs w:val="16"/>
        </w:rPr>
        <w:t>-</w:t>
      </w:r>
      <w:r w:rsidRPr="00B90D76">
        <w:rPr>
          <w:rFonts w:ascii="Arial" w:hAnsi="Arial" w:cs="Arial"/>
          <w:sz w:val="16"/>
          <w:szCs w:val="16"/>
        </w:rPr>
        <w:t>month data reported; high attrition at other followup timepoints</w:t>
      </w:r>
      <w:r>
        <w:rPr>
          <w:rFonts w:ascii="Arial" w:hAnsi="Arial" w:cs="Arial"/>
          <w:sz w:val="16"/>
          <w:szCs w:val="16"/>
        </w:rPr>
        <w:t>.</w:t>
      </w:r>
    </w:p>
    <w:p w:rsidR="00B90D76" w:rsidRDefault="00B90D76" w:rsidP="00B90D76">
      <w:pPr>
        <w:rPr>
          <w:rFonts w:ascii="Arial" w:hAnsi="Arial" w:cs="Arial"/>
          <w:b/>
          <w:sz w:val="16"/>
          <w:szCs w:val="16"/>
        </w:rPr>
      </w:pPr>
    </w:p>
    <w:p w:rsidR="002B1C8A" w:rsidRPr="00B90D76" w:rsidRDefault="00B90D76" w:rsidP="00B90D76">
      <w:pPr>
        <w:rPr>
          <w:rFonts w:ascii="Arial" w:hAnsi="Arial" w:cs="Arial"/>
          <w:sz w:val="16"/>
          <w:szCs w:val="16"/>
        </w:rPr>
      </w:pPr>
      <w:r w:rsidRPr="00B90D76">
        <w:rPr>
          <w:rFonts w:ascii="Arial" w:hAnsi="Arial" w:cs="Arial"/>
          <w:b/>
          <w:sz w:val="16"/>
          <w:szCs w:val="16"/>
        </w:rPr>
        <w:t>Abbreviations:</w:t>
      </w:r>
      <w:r w:rsidRPr="00B90D76">
        <w:rPr>
          <w:rFonts w:ascii="Arial" w:hAnsi="Arial" w:cs="Arial"/>
          <w:sz w:val="16"/>
          <w:szCs w:val="16"/>
        </w:rPr>
        <w:t xml:space="preserve"> BL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baseline; CI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confidence interval; DSH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deliberate self-harm; ED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emergency department; HR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hazard ratio; NSD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no </w:t>
      </w:r>
      <w:r w:rsidR="004C731D">
        <w:rPr>
          <w:rFonts w:ascii="Arial" w:hAnsi="Arial" w:cs="Arial"/>
          <w:sz w:val="16"/>
          <w:szCs w:val="16"/>
        </w:rPr>
        <w:t>significant</w:t>
      </w:r>
      <w:r w:rsidRPr="00B90D76">
        <w:rPr>
          <w:rFonts w:ascii="Arial" w:hAnsi="Arial" w:cs="Arial"/>
          <w:sz w:val="16"/>
          <w:szCs w:val="16"/>
        </w:rPr>
        <w:t xml:space="preserve"> </w:t>
      </w:r>
      <w:r w:rsidR="004C731D">
        <w:rPr>
          <w:rFonts w:ascii="Arial" w:hAnsi="Arial" w:cs="Arial"/>
          <w:sz w:val="16"/>
          <w:szCs w:val="16"/>
        </w:rPr>
        <w:t>difference</w:t>
      </w:r>
      <w:r w:rsidRPr="00B90D76">
        <w:rPr>
          <w:rFonts w:ascii="Arial" w:hAnsi="Arial" w:cs="Arial"/>
          <w:sz w:val="16"/>
          <w:szCs w:val="16"/>
        </w:rPr>
        <w:t>; NR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not reported; OR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odds ratio; RR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risk ratio; SD</w:t>
      </w:r>
      <w:r>
        <w:rPr>
          <w:rFonts w:ascii="Arial" w:hAnsi="Arial" w:cs="Arial"/>
          <w:sz w:val="16"/>
          <w:szCs w:val="16"/>
        </w:rPr>
        <w:t xml:space="preserve"> =</w:t>
      </w:r>
      <w:r w:rsidRPr="00B90D76">
        <w:rPr>
          <w:rFonts w:ascii="Arial" w:hAnsi="Arial" w:cs="Arial"/>
          <w:sz w:val="16"/>
          <w:szCs w:val="16"/>
        </w:rPr>
        <w:t xml:space="preserve"> standard deviation</w:t>
      </w:r>
      <w:r>
        <w:rPr>
          <w:rFonts w:ascii="Arial" w:hAnsi="Arial" w:cs="Arial"/>
          <w:sz w:val="16"/>
          <w:szCs w:val="16"/>
        </w:rPr>
        <w:t>.</w:t>
      </w:r>
    </w:p>
    <w:sectPr w:rsidR="002B1C8A" w:rsidRPr="00B90D76" w:rsidSect="00B90D76">
      <w:headerReference w:type="default" r:id="rId6"/>
      <w:footerReference w:type="default" r:id="rId7"/>
      <w:pgSz w:w="15840" w:h="12240" w:orient="landscape"/>
      <w:pgMar w:top="1260" w:right="1440" w:bottom="990" w:left="1440" w:header="720" w:footer="720" w:gutter="0"/>
      <w:pgNumType w:start="15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76" w:rsidRDefault="00B90D76" w:rsidP="00B90D76">
      <w:r>
        <w:separator/>
      </w:r>
    </w:p>
  </w:endnote>
  <w:endnote w:type="continuationSeparator" w:id="0">
    <w:p w:rsidR="00B90D76" w:rsidRDefault="00B90D76" w:rsidP="00B9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76" w:rsidRDefault="00B90D76" w:rsidP="00B90D76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</w:r>
    <w:r w:rsidR="00035717" w:rsidRPr="00454731">
      <w:rPr>
        <w:rFonts w:ascii="Arial" w:hAnsi="Arial"/>
        <w:sz w:val="16"/>
      </w:rPr>
      <w:fldChar w:fldCharType="begin"/>
    </w:r>
    <w:r w:rsidRPr="00454731">
      <w:rPr>
        <w:rFonts w:ascii="Arial" w:hAnsi="Arial"/>
        <w:sz w:val="16"/>
      </w:rPr>
      <w:instrText xml:space="preserve"> PAGE   \* MERGEFORMAT </w:instrText>
    </w:r>
    <w:r w:rsidR="00035717" w:rsidRPr="00454731">
      <w:rPr>
        <w:rFonts w:ascii="Arial" w:hAnsi="Arial"/>
        <w:sz w:val="16"/>
      </w:rPr>
      <w:fldChar w:fldCharType="separate"/>
    </w:r>
    <w:r w:rsidR="004C731D">
      <w:rPr>
        <w:rFonts w:ascii="Arial" w:hAnsi="Arial"/>
        <w:noProof/>
        <w:sz w:val="16"/>
      </w:rPr>
      <w:t>160</w:t>
    </w:r>
    <w:r w:rsidR="00035717" w:rsidRPr="00454731">
      <w:rPr>
        <w:rFonts w:ascii="Arial" w:hAnsi="Arial"/>
        <w:sz w:val="16"/>
      </w:rPr>
      <w:fldChar w:fldCharType="end"/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76" w:rsidRDefault="00B90D76" w:rsidP="00B90D76">
      <w:r>
        <w:separator/>
      </w:r>
    </w:p>
  </w:footnote>
  <w:footnote w:type="continuationSeparator" w:id="0">
    <w:p w:rsidR="00B90D76" w:rsidRDefault="00B90D76" w:rsidP="00B90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76" w:rsidRPr="00B90D76" w:rsidRDefault="00B90D76">
    <w:pPr>
      <w:pStyle w:val="Header"/>
      <w:rPr>
        <w:rFonts w:ascii="Arial" w:hAnsi="Arial"/>
        <w:b/>
        <w:sz w:val="20"/>
        <w:szCs w:val="20"/>
      </w:rPr>
    </w:pPr>
    <w:r w:rsidRPr="00B90D76">
      <w:rPr>
        <w:rFonts w:ascii="Arial" w:hAnsi="Arial"/>
        <w:b/>
        <w:sz w:val="20"/>
        <w:szCs w:val="20"/>
      </w:rPr>
      <w:t xml:space="preserve">Appendix H Table 2. Suicide Attempts </w:t>
    </w:r>
    <w:r>
      <w:rPr>
        <w:rFonts w:ascii="Arial" w:hAnsi="Arial"/>
        <w:b/>
        <w:sz w:val="20"/>
        <w:szCs w:val="20"/>
      </w:rPr>
      <w:t>o</w:t>
    </w:r>
    <w:r w:rsidRPr="00B90D76">
      <w:rPr>
        <w:rFonts w:ascii="Arial" w:hAnsi="Arial"/>
        <w:b/>
        <w:sz w:val="20"/>
        <w:szCs w:val="20"/>
      </w:rPr>
      <w:t xml:space="preserve">r Episodes </w:t>
    </w:r>
    <w:r>
      <w:rPr>
        <w:rFonts w:ascii="Arial" w:hAnsi="Arial"/>
        <w:b/>
        <w:sz w:val="20"/>
        <w:szCs w:val="20"/>
      </w:rPr>
      <w:t>o</w:t>
    </w:r>
    <w:r w:rsidRPr="00B90D76">
      <w:rPr>
        <w:rFonts w:ascii="Arial" w:hAnsi="Arial"/>
        <w:b/>
        <w:sz w:val="20"/>
        <w:szCs w:val="20"/>
      </w:rPr>
      <w:t>f Deliberate Self-Harm</w:t>
    </w:r>
    <w:r>
      <w:rPr>
        <w:rFonts w:ascii="Arial" w:hAnsi="Arial"/>
        <w:b/>
        <w:sz w:val="20"/>
        <w:szCs w:val="20"/>
      </w:rPr>
      <w:t>:</w:t>
    </w:r>
    <w:r w:rsidRPr="00B90D76">
      <w:rPr>
        <w:rFonts w:ascii="Arial" w:hAnsi="Arial"/>
        <w:b/>
        <w:sz w:val="20"/>
        <w:szCs w:val="20"/>
      </w:rPr>
      <w:t xml:space="preserve"> Adults </w:t>
    </w:r>
    <w:r>
      <w:rPr>
        <w:rFonts w:ascii="Arial" w:hAnsi="Arial"/>
        <w:b/>
        <w:sz w:val="20"/>
        <w:szCs w:val="20"/>
      </w:rPr>
      <w:t>a</w:t>
    </w:r>
    <w:r w:rsidRPr="00B90D76">
      <w:rPr>
        <w:rFonts w:ascii="Arial" w:hAnsi="Arial"/>
        <w:b/>
        <w:sz w:val="20"/>
        <w:szCs w:val="20"/>
      </w:rPr>
      <w:t>nd Older Adults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D76"/>
    <w:rsid w:val="00035717"/>
    <w:rsid w:val="002B1C8A"/>
    <w:rsid w:val="004C731D"/>
    <w:rsid w:val="00607EF1"/>
    <w:rsid w:val="006B6342"/>
    <w:rsid w:val="0082725C"/>
    <w:rsid w:val="009317A8"/>
    <w:rsid w:val="00B90D76"/>
    <w:rsid w:val="00B913AC"/>
    <w:rsid w:val="00C52E56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76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90D76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0D7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0D76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0D76"/>
    <w:rPr>
      <w:rFonts w:ascii="Times New Roman" w:hAnsi="Times New Roman"/>
      <w:sz w:val="24"/>
      <w:szCs w:val="24"/>
    </w:rPr>
  </w:style>
  <w:style w:type="paragraph" w:customStyle="1" w:styleId="TableNote">
    <w:name w:val="TableNote"/>
    <w:qFormat/>
    <w:rsid w:val="00B90D76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2</cp:revision>
  <dcterms:created xsi:type="dcterms:W3CDTF">2013-04-11T16:24:00Z</dcterms:created>
  <dcterms:modified xsi:type="dcterms:W3CDTF">2013-04-11T18:04:00Z</dcterms:modified>
</cp:coreProperties>
</file>