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C8" w:rsidRPr="00AE0FDD" w:rsidRDefault="00824DC8" w:rsidP="00824DC8">
      <w:pPr>
        <w:pStyle w:val="ChapterHeading"/>
      </w:pPr>
      <w:bookmarkStart w:id="0" w:name="_Toc357604577"/>
      <w:r w:rsidRPr="00AE0FDD">
        <w:t>Appendix F. Evidence Tables for Key Question 2</w:t>
      </w:r>
    </w:p>
    <w:p w:rsidR="00824DC8" w:rsidRPr="00AE0FDD" w:rsidRDefault="00824DC8" w:rsidP="00824DC8">
      <w:pPr>
        <w:pStyle w:val="TableTitle"/>
        <w:rPr>
          <w:sz w:val="24"/>
        </w:rPr>
      </w:pPr>
      <w:bookmarkStart w:id="1" w:name="_Toc359424013"/>
      <w:r w:rsidRPr="00AE0FDD">
        <w:t xml:space="preserve">Table F-1. Key </w:t>
      </w:r>
      <w:r>
        <w:t>Q</w:t>
      </w:r>
      <w:r w:rsidRPr="00AE0FDD">
        <w:t>uestion 2 study design details</w:t>
      </w:r>
      <w:bookmarkEnd w:id="1"/>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33"/>
        <w:gridCol w:w="2312"/>
        <w:gridCol w:w="1387"/>
        <w:gridCol w:w="1849"/>
        <w:gridCol w:w="1017"/>
        <w:gridCol w:w="1479"/>
        <w:gridCol w:w="2034"/>
        <w:gridCol w:w="1849"/>
      </w:tblGrid>
      <w:tr w:rsidR="00824DC8" w:rsidRPr="00AE0FDD" w:rsidTr="00824DC8">
        <w:trPr>
          <w:trHeight w:val="647"/>
        </w:trPr>
        <w:tc>
          <w:tcPr>
            <w:tcW w:w="1033"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312"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Research objective </w:t>
            </w:r>
          </w:p>
        </w:tc>
        <w:tc>
          <w:tcPr>
            <w:tcW w:w="138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Funding Source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Geographic location,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type,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Description </w:t>
            </w:r>
          </w:p>
        </w:tc>
        <w:tc>
          <w:tcPr>
            <w:tcW w:w="101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Study design </w:t>
            </w:r>
          </w:p>
        </w:tc>
        <w:tc>
          <w:tcPr>
            <w:tcW w:w="14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Primary Outcomes</w:t>
            </w:r>
          </w:p>
        </w:tc>
        <w:tc>
          <w:tcPr>
            <w:tcW w:w="203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Measurement intervals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Bahrami et al., 2004</w:t>
            </w:r>
            <w:r w:rsidRPr="00AE0FDD">
              <w:rPr>
                <w:rFonts w:ascii="Times New Roman" w:eastAsia="Times New Roman" w:hAnsi="Times New Roman" w:cs="Times New Roman"/>
                <w:noProof/>
                <w:vertAlign w:val="superscript"/>
              </w:rPr>
              <w:t>1</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The aim of this study was to evaluate the effectiveness of different implementation strategies for evidence-based clinical guidelines using SIGN as a model.</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Scotland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Dental practices</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Compliance with guideline</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Two 4 month periods pre and post intervention</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Banait et al., 2003</w:t>
            </w:r>
            <w:r w:rsidRPr="00AE0FDD">
              <w:rPr>
                <w:rFonts w:ascii="Times New Roman" w:eastAsia="Times New Roman" w:hAnsi="Times New Roman" w:cs="Times New Roman"/>
                <w:noProof/>
                <w:vertAlign w:val="superscript"/>
              </w:rPr>
              <w:t>2</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To test the effectiveness of </w:t>
            </w:r>
            <w:r w:rsidR="003A53E3">
              <w:rPr>
                <w:rFonts w:eastAsia="Times New Roman" w:cs="Times New Roman"/>
              </w:rPr>
              <w:t>‘</w:t>
            </w:r>
            <w:r w:rsidRPr="00AE0FDD">
              <w:rPr>
                <w:rFonts w:eastAsia="Times New Roman" w:cs="Times New Roman"/>
              </w:rPr>
              <w:t>educational outreach</w:t>
            </w:r>
            <w:r w:rsidR="003A53E3">
              <w:rPr>
                <w:rFonts w:eastAsia="Times New Roman" w:cs="Times New Roman"/>
              </w:rPr>
              <w:t>’</w:t>
            </w:r>
            <w:r w:rsidRPr="00AE0FDD">
              <w:rPr>
                <w:rFonts w:eastAsia="Times New Roman" w:cs="Times New Roman"/>
              </w:rPr>
              <w:t xml:space="preserve"> as a strategy</w:t>
            </w:r>
            <w:r w:rsidRPr="00AE0FDD">
              <w:rPr>
                <w:rFonts w:eastAsia="Times New Roman" w:cs="Times New Roman"/>
              </w:rPr>
              <w:br/>
              <w:t>for facilitating the uptake of dyspepsia management guidelines in</w:t>
            </w:r>
            <w:r w:rsidRPr="00AE0FDD">
              <w:rPr>
                <w:rFonts w:eastAsia="Times New Roman" w:cs="Times New Roman"/>
              </w:rPr>
              <w:br/>
              <w:t>primary care.</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Unspecified</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England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General practices in the Salfrod &amp; Trafford Health authority catchment area in NW England</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Appropriateness of referrals for open access endoscopy</w:t>
            </w:r>
            <w:r w:rsidRPr="00AE0FDD">
              <w:rPr>
                <w:rFonts w:eastAsia="Times New Roman" w:cs="Times New Roman"/>
              </w:rPr>
              <w:br/>
              <w:t>Findings at open access endoscopy</w:t>
            </w:r>
            <w:r w:rsidRPr="00AE0FDD">
              <w:rPr>
                <w:rFonts w:eastAsia="Times New Roman" w:cs="Times New Roman"/>
              </w:rPr>
              <w:br/>
              <w:t>Prescribing costs</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7 months pre and post intervention </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Beaulieu et al., 2004</w:t>
            </w:r>
            <w:r w:rsidRPr="00AE0FDD">
              <w:rPr>
                <w:rFonts w:ascii="Times New Roman" w:eastAsia="Times New Roman" w:hAnsi="Times New Roman" w:cs="Times New Roman"/>
                <w:noProof/>
                <w:vertAlign w:val="superscript"/>
              </w:rPr>
              <w:t>3</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study the effects of guideline dissemination</w:t>
            </w:r>
            <w:r w:rsidRPr="00AE0FDD">
              <w:rPr>
                <w:rFonts w:eastAsia="Times New Roman" w:cs="Times New Roman"/>
              </w:rPr>
              <w:br/>
              <w:t>on physicians</w:t>
            </w:r>
            <w:r w:rsidR="003A53E3">
              <w:rPr>
                <w:rFonts w:eastAsia="Times New Roman" w:cs="Times New Roman"/>
              </w:rPr>
              <w:t>’</w:t>
            </w:r>
            <w:r w:rsidRPr="00AE0FDD">
              <w:rPr>
                <w:rFonts w:eastAsia="Times New Roman" w:cs="Times New Roman"/>
              </w:rPr>
              <w:t xml:space="preserve"> prescribing practices for the treatment</w:t>
            </w:r>
            <w:r w:rsidRPr="00AE0FDD">
              <w:rPr>
                <w:rFonts w:eastAsia="Times New Roman" w:cs="Times New Roman"/>
              </w:rPr>
              <w:br/>
              <w:t>of stable angina pectoris.</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Canada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Practicing physicians in urban, suburban, and rural parts of Quebec, Canada</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Prescription of 3 cardiovascular medications in 1999</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6 month </w:t>
            </w:r>
            <w:r w:rsidR="00E65621">
              <w:rPr>
                <w:rFonts w:eastAsia="Times New Roman" w:cs="Times New Roman"/>
              </w:rPr>
              <w:t>followup</w:t>
            </w:r>
            <w:r w:rsidRPr="00AE0FDD">
              <w:rPr>
                <w:rFonts w:eastAsia="Times New Roman" w:cs="Times New Roman"/>
              </w:rPr>
              <w:t xml:space="preserve"> </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Becker et al., 2008</w:t>
            </w:r>
            <w:r w:rsidRPr="00AE0FDD">
              <w:rPr>
                <w:rFonts w:ascii="Times New Roman" w:eastAsia="Times New Roman" w:hAnsi="Times New Roman" w:cs="Times New Roman"/>
                <w:noProof/>
                <w:vertAlign w:val="superscript"/>
              </w:rPr>
              <w:t>4</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improve quality of care for patients with low back pain (LBP) a multifaceted general practitioner education alone and in combination with motivational counseling by practice nurses has been implemented in German general practices.</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Germany</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General practices in semi-rural German regions</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Functional capacity</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and 6 and 12 month </w:t>
            </w:r>
            <w:r w:rsidR="00E65621">
              <w:rPr>
                <w:rFonts w:eastAsia="Times New Roman" w:cs="Times New Roman"/>
              </w:rPr>
              <w:t>followup</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Physical activity during 1 week before interview, days in pain and days of sick leave during 6 months </w:t>
            </w:r>
            <w:r w:rsidR="00E65621">
              <w:rPr>
                <w:rFonts w:eastAsia="Times New Roman" w:cs="Times New Roman"/>
              </w:rPr>
              <w:t>followup</w:t>
            </w:r>
            <w:r w:rsidRPr="00AE0FDD">
              <w:rPr>
                <w:rFonts w:eastAsia="Times New Roman" w:cs="Times New Roman"/>
              </w:rPr>
              <w:t xml:space="preserve">, quality of life </w:t>
            </w:r>
          </w:p>
        </w:tc>
      </w:tr>
    </w:tbl>
    <w:p w:rsidR="00824DC8" w:rsidRPr="00AE0FDD" w:rsidRDefault="00824DC8" w:rsidP="00824DC8">
      <w:pPr>
        <w:pStyle w:val="TableTitle"/>
        <w:rPr>
          <w:sz w:val="24"/>
        </w:rPr>
      </w:pPr>
      <w:bookmarkStart w:id="2" w:name="_Toc359424014"/>
      <w:r w:rsidRPr="00AE0FDD">
        <w:lastRenderedPageBreak/>
        <w:t>Table F-1. Key question 2 study design details (continued)</w:t>
      </w:r>
      <w:bookmarkEnd w:id="2"/>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33"/>
        <w:gridCol w:w="2312"/>
        <w:gridCol w:w="1387"/>
        <w:gridCol w:w="1849"/>
        <w:gridCol w:w="1017"/>
        <w:gridCol w:w="1479"/>
        <w:gridCol w:w="2034"/>
        <w:gridCol w:w="1849"/>
      </w:tblGrid>
      <w:tr w:rsidR="00824DC8" w:rsidRPr="00AE0FDD" w:rsidTr="00824DC8">
        <w:trPr>
          <w:trHeight w:val="647"/>
        </w:trPr>
        <w:tc>
          <w:tcPr>
            <w:tcW w:w="1033"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312"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Research objective </w:t>
            </w:r>
          </w:p>
        </w:tc>
        <w:tc>
          <w:tcPr>
            <w:tcW w:w="138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Funding Source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Geographic location,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type,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Description </w:t>
            </w:r>
          </w:p>
        </w:tc>
        <w:tc>
          <w:tcPr>
            <w:tcW w:w="101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Study design </w:t>
            </w:r>
          </w:p>
        </w:tc>
        <w:tc>
          <w:tcPr>
            <w:tcW w:w="14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Primary Outcomes</w:t>
            </w:r>
          </w:p>
        </w:tc>
        <w:tc>
          <w:tcPr>
            <w:tcW w:w="203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Measurement intervals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Bekkering et al., 2005</w:t>
            </w:r>
            <w:r w:rsidRPr="00AE0FDD">
              <w:rPr>
                <w:rFonts w:ascii="Times New Roman" w:eastAsia="Times New Roman" w:hAnsi="Times New Roman" w:cs="Times New Roman"/>
                <w:noProof/>
                <w:vertAlign w:val="superscript"/>
              </w:rPr>
              <w:t>5,6</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evaluate the effect on the process of care of an active strategy to implement clinical guidelines on physiotherapy for low back pain.</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Unspecified</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Netherlands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Private practices in the center of the Netherlands</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Adherence to guideline; </w:t>
            </w:r>
            <w:r w:rsidRPr="00AE0FDD">
              <w:rPr>
                <w:rFonts w:eastAsia="Times New Roman" w:cs="Times New Roman"/>
              </w:rPr>
              <w:br/>
              <w:t>Physical functioning, pain, and sick leave</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Baseline and followup;</w:t>
            </w:r>
            <w:r w:rsidRPr="00AE0FDD">
              <w:rPr>
                <w:rFonts w:eastAsia="Times New Roman" w:cs="Times New Roman"/>
              </w:rPr>
              <w:br/>
              <w:t>Baseline, 6, 12, 26, and 52 weeks after baseline</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Bishop et al., 2006</w:t>
            </w:r>
            <w:r w:rsidRPr="00AE0FDD">
              <w:rPr>
                <w:rFonts w:ascii="Times New Roman" w:eastAsia="Times New Roman" w:hAnsi="Times New Roman" w:cs="Times New Roman"/>
                <w:noProof/>
                <w:vertAlign w:val="superscript"/>
              </w:rPr>
              <w:t>6</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The goal of this study was to determine whether or not providing both family physicians and their patients with information about clinical practice guidelines in a direct and individualized manner would increase guideline concordance.</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Workers Compensation Board of British Columbia </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Canada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NR (possibly more information in previous article)</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Guideline-concordant and -discordant treatment advice and procedures</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0-4 weeks, 5-12 weeks, &gt;12 weeks </w:t>
            </w:r>
          </w:p>
        </w:tc>
        <w:tc>
          <w:tcPr>
            <w:tcW w:w="1849" w:type="dxa"/>
            <w:shd w:val="clear" w:color="auto" w:fill="auto"/>
            <w:hideMark/>
          </w:tcPr>
          <w:p w:rsidR="00824DC8" w:rsidRPr="00AE0FDD" w:rsidRDefault="00824DC8" w:rsidP="00824DC8">
            <w:pPr>
              <w:pStyle w:val="TableText"/>
              <w:rPr>
                <w:rFonts w:eastAsia="Times New Roman" w:cs="Times New Roman"/>
              </w:rPr>
            </w:pP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Campbell et al., 2004</w:t>
            </w:r>
            <w:r w:rsidRPr="00AE0FDD">
              <w:rPr>
                <w:rFonts w:ascii="Times New Roman" w:eastAsia="Times New Roman" w:hAnsi="Times New Roman" w:cs="Times New Roman"/>
                <w:noProof/>
                <w:vertAlign w:val="superscript"/>
              </w:rPr>
              <w:t>7</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Compare the effectiveness of 2 strategies to promote colorectal cancer preventive behaviors among 587</w:t>
            </w:r>
            <w:r w:rsidRPr="00AE0FDD">
              <w:rPr>
                <w:rFonts w:eastAsia="Times New Roman" w:cs="Times New Roman"/>
              </w:rPr>
              <w:br/>
              <w:t>African American members of 12 rural North Carolina churches.</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United States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Community-based settings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NR (possibly more information in previous article)</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fRCT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Diet – fruit and vegetable consumption </w:t>
            </w:r>
            <w:r w:rsidRPr="00AE0FDD">
              <w:rPr>
                <w:rFonts w:eastAsia="Times New Roman" w:cs="Times New Roman"/>
              </w:rPr>
              <w:br/>
              <w:t>Physical activity</w:t>
            </w:r>
            <w:r w:rsidRPr="00AE0FDD">
              <w:rPr>
                <w:rFonts w:eastAsia="Times New Roman" w:cs="Times New Roman"/>
              </w:rPr>
              <w:br/>
              <w:t>CRC screening</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and 1 year </w:t>
            </w:r>
            <w:r w:rsidR="00E65621">
              <w:rPr>
                <w:rFonts w:eastAsia="Times New Roman" w:cs="Times New Roman"/>
              </w:rPr>
              <w:t>followup</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Carney et al., 2005</w:t>
            </w:r>
            <w:r w:rsidRPr="00AE0FDD">
              <w:rPr>
                <w:rFonts w:ascii="Times New Roman" w:eastAsia="Times New Roman" w:hAnsi="Times New Roman" w:cs="Times New Roman"/>
                <w:noProof/>
                <w:vertAlign w:val="superscript"/>
              </w:rPr>
              <w:t>8</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Tested the impact of two interventions on a population-based sample of NH women who were not receiving routine mammography to determine if adherence to screening could be improved.</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ACS and NCI funding</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United States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Other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Randomized trial</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Adherence to mammography screening</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Baseline and 12 months later</w:t>
            </w:r>
          </w:p>
        </w:tc>
        <w:tc>
          <w:tcPr>
            <w:tcW w:w="1849" w:type="dxa"/>
            <w:shd w:val="clear" w:color="auto" w:fill="auto"/>
            <w:hideMark/>
          </w:tcPr>
          <w:p w:rsidR="00824DC8" w:rsidRPr="00AE0FDD" w:rsidRDefault="00824DC8" w:rsidP="00824DC8">
            <w:pPr>
              <w:pStyle w:val="TableText"/>
              <w:rPr>
                <w:rFonts w:eastAsia="Times New Roman" w:cs="Times New Roman"/>
              </w:rPr>
            </w:pPr>
          </w:p>
        </w:tc>
      </w:tr>
    </w:tbl>
    <w:p w:rsidR="00824DC8" w:rsidRPr="00AE0FDD" w:rsidRDefault="00824DC8" w:rsidP="00824DC8"/>
    <w:p w:rsidR="00824DC8" w:rsidRPr="00AE0FDD" w:rsidRDefault="00824DC8" w:rsidP="00824DC8">
      <w:pPr>
        <w:pStyle w:val="TableTitle"/>
        <w:rPr>
          <w:sz w:val="24"/>
        </w:rPr>
      </w:pPr>
      <w:r w:rsidRPr="00AE0FDD">
        <w:br w:type="page"/>
      </w:r>
      <w:bookmarkStart w:id="3" w:name="_Toc359424015"/>
      <w:r w:rsidRPr="00AE0FDD">
        <w:lastRenderedPageBreak/>
        <w:t>Table F-1. Key question 2 study design details (continued)</w:t>
      </w:r>
      <w:bookmarkEnd w:id="3"/>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33"/>
        <w:gridCol w:w="2312"/>
        <w:gridCol w:w="1387"/>
        <w:gridCol w:w="1849"/>
        <w:gridCol w:w="1017"/>
        <w:gridCol w:w="1479"/>
        <w:gridCol w:w="2034"/>
        <w:gridCol w:w="1849"/>
      </w:tblGrid>
      <w:tr w:rsidR="00824DC8" w:rsidRPr="00AE0FDD" w:rsidTr="00824DC8">
        <w:trPr>
          <w:trHeight w:val="647"/>
        </w:trPr>
        <w:tc>
          <w:tcPr>
            <w:tcW w:w="1033"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312"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Research objective </w:t>
            </w:r>
          </w:p>
        </w:tc>
        <w:tc>
          <w:tcPr>
            <w:tcW w:w="138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Funding Source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Geographic location,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type,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Description </w:t>
            </w:r>
          </w:p>
        </w:tc>
        <w:tc>
          <w:tcPr>
            <w:tcW w:w="101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Study design </w:t>
            </w:r>
          </w:p>
        </w:tc>
        <w:tc>
          <w:tcPr>
            <w:tcW w:w="14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Primary Outcomes</w:t>
            </w:r>
          </w:p>
        </w:tc>
        <w:tc>
          <w:tcPr>
            <w:tcW w:w="203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Measurement intervals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Christakis et al., 2006</w:t>
            </w:r>
            <w:r w:rsidRPr="00AE0FDD">
              <w:rPr>
                <w:rFonts w:ascii="Times New Roman" w:eastAsia="Times New Roman" w:hAnsi="Times New Roman" w:cs="Times New Roman"/>
                <w:noProof/>
                <w:vertAlign w:val="superscript"/>
              </w:rPr>
              <w:t>9</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test the hypothesis that parental activation could occur through directed use of an Internet site before a well-child visit and that this activation would promote the discussion of evidence-based prevention topics with providers and would result in increased parental and physician adoption of preventive measures.</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United States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4 nonteaching clinics in the University of Washington Physician Network</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fRCT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Discussion of My Healthy Child Topics</w:t>
            </w:r>
            <w:r w:rsidRPr="00AE0FDD">
              <w:rPr>
                <w:rFonts w:eastAsia="Times New Roman" w:cs="Times New Roman"/>
              </w:rPr>
              <w:br/>
              <w:t>Implementation of MyHealthy Child Topics</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and then up to 365 days after baseline. </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Davis et al., 2004</w:t>
            </w:r>
            <w:r w:rsidRPr="00AE0FDD">
              <w:rPr>
                <w:rFonts w:ascii="Times New Roman" w:eastAsia="Times New Roman" w:hAnsi="Times New Roman" w:cs="Times New Roman"/>
                <w:noProof/>
                <w:vertAlign w:val="superscript"/>
              </w:rPr>
              <w:t>10</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determine the effectiveness of two dissemination and implementation strategies to implement a national guideline for epilepsy management in primary care settings.</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Unspecified</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Scotland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General practices in Tayside (UK)</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SF-36 general health-related quality-of-life instrument</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baseline and 12 months later</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Eaton et al., 2011</w:t>
            </w:r>
            <w:r w:rsidRPr="00AE0FDD">
              <w:rPr>
                <w:rFonts w:ascii="Times New Roman" w:eastAsia="Times New Roman" w:hAnsi="Times New Roman" w:cs="Times New Roman"/>
                <w:noProof/>
                <w:vertAlign w:val="superscript"/>
              </w:rPr>
              <w:t>11</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determine whether an intervention based on patient activation and a physician decision support tool was more effective than usual care for improving adherence to National Cholesterol Education Program guidelines.</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Unspecified</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Primary care practices</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Percentage of patients screened for hyperlipidemia and treated to their low-density lipoprotein (LDL) and non–high-density lipoprotein (HDL) cholesterol goals</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1 year</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bl>
    <w:p w:rsidR="00824DC8" w:rsidRPr="00AE0FDD" w:rsidRDefault="00824DC8" w:rsidP="00824DC8"/>
    <w:p w:rsidR="00824DC8" w:rsidRPr="00AE0FDD" w:rsidRDefault="00824DC8" w:rsidP="00824DC8">
      <w:pPr>
        <w:pStyle w:val="TableTitle"/>
        <w:rPr>
          <w:sz w:val="24"/>
        </w:rPr>
      </w:pPr>
      <w:r w:rsidRPr="00AE0FDD">
        <w:br w:type="page"/>
      </w:r>
      <w:bookmarkStart w:id="4" w:name="_Toc359424016"/>
      <w:r w:rsidRPr="00AE0FDD">
        <w:lastRenderedPageBreak/>
        <w:t>Table F-1. Key question 2 study design details (continued)</w:t>
      </w:r>
      <w:bookmarkEnd w:id="4"/>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33"/>
        <w:gridCol w:w="2312"/>
        <w:gridCol w:w="1387"/>
        <w:gridCol w:w="1849"/>
        <w:gridCol w:w="1017"/>
        <w:gridCol w:w="1479"/>
        <w:gridCol w:w="2034"/>
        <w:gridCol w:w="1849"/>
      </w:tblGrid>
      <w:tr w:rsidR="00824DC8" w:rsidRPr="00AE0FDD" w:rsidTr="00824DC8">
        <w:trPr>
          <w:trHeight w:val="647"/>
        </w:trPr>
        <w:tc>
          <w:tcPr>
            <w:tcW w:w="1033"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312"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Research objective </w:t>
            </w:r>
          </w:p>
        </w:tc>
        <w:tc>
          <w:tcPr>
            <w:tcW w:w="138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Funding Source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Geographic location,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type,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Description </w:t>
            </w:r>
          </w:p>
        </w:tc>
        <w:tc>
          <w:tcPr>
            <w:tcW w:w="101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Study design </w:t>
            </w:r>
          </w:p>
        </w:tc>
        <w:tc>
          <w:tcPr>
            <w:tcW w:w="14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Primary Outcomes</w:t>
            </w:r>
          </w:p>
        </w:tc>
        <w:tc>
          <w:tcPr>
            <w:tcW w:w="203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Measurement intervals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pPr>
            <w:r w:rsidRPr="00AE0FDD">
              <w:t>Elder et al., 2005;</w:t>
            </w:r>
            <w:r w:rsidRPr="00AE0FDD">
              <w:rPr>
                <w:vertAlign w:val="superscript"/>
              </w:rPr>
              <w:t>12</w:t>
            </w:r>
            <w:r w:rsidRPr="00AE0FDD">
              <w:t xml:space="preserve"> 2006</w:t>
            </w:r>
            <w:r w:rsidRPr="00AE0FDD">
              <w:rPr>
                <w:vertAlign w:val="superscript"/>
              </w:rPr>
              <w:t>42</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The present study examined two innovative lifestyle behavior change approaches to reduce dietary fat and to increase fiber. Analyses emphasized (a) whether personalized counseling via promotora plus tailored print materials used in an interactive format were more effective than tailored materials delivered in a distance learning format, and (b) whether these two innovations were more effective than standard off-the-shelf materials TARGETED (culturally) to a Latino population (controls). </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United States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Community-based settings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Setting comprised 2 contiguous metropolitan statistical areas (MSA) within San Diego County. Latinos comprise 53% and 36%, respectively, of the population within these two areas.</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Percent calories from fat</w:t>
            </w:r>
            <w:r w:rsidRPr="00AE0FDD">
              <w:rPr>
                <w:rFonts w:eastAsia="Times New Roman" w:cs="Times New Roman"/>
              </w:rPr>
              <w:br/>
              <w:t>Number of daily grams of fiber</w:t>
            </w:r>
          </w:p>
          <w:p w:rsidR="00824DC8" w:rsidRPr="00AE0FDD" w:rsidRDefault="00824DC8" w:rsidP="00824DC8">
            <w:pPr>
              <w:pStyle w:val="TableText"/>
              <w:rPr>
                <w:rFonts w:eastAsia="Times New Roman" w:cs="Times New Roman"/>
              </w:rPr>
            </w:pPr>
            <w:r w:rsidRPr="00AE0FDD">
              <w:rPr>
                <w:rFonts w:eastAsia="Times New Roman" w:cs="Times New Roman"/>
              </w:rPr>
              <w:t>Total fat</w:t>
            </w:r>
          </w:p>
          <w:p w:rsidR="00824DC8" w:rsidRPr="00AE0FDD" w:rsidRDefault="00824DC8" w:rsidP="00824DC8">
            <w:pPr>
              <w:pStyle w:val="TableText"/>
              <w:rPr>
                <w:rFonts w:eastAsia="Times New Roman" w:cs="Times New Roman"/>
              </w:rPr>
            </w:pPr>
            <w:r w:rsidRPr="00AE0FDD">
              <w:rPr>
                <w:rFonts w:eastAsia="Times New Roman" w:cs="Times New Roman"/>
              </w:rPr>
              <w:t>Energy</w:t>
            </w:r>
          </w:p>
          <w:p w:rsidR="00824DC8" w:rsidRPr="00AE0FDD" w:rsidRDefault="00824DC8" w:rsidP="00824DC8">
            <w:pPr>
              <w:pStyle w:val="TableText"/>
              <w:rPr>
                <w:rFonts w:eastAsia="Times New Roman" w:cs="Times New Roman"/>
              </w:rPr>
            </w:pPr>
            <w:r w:rsidRPr="00AE0FDD">
              <w:rPr>
                <w:rFonts w:eastAsia="Times New Roman" w:cs="Times New Roman"/>
              </w:rPr>
              <w:t>Total saturated fat</w:t>
            </w:r>
          </w:p>
          <w:p w:rsidR="00824DC8" w:rsidRPr="00AE0FDD" w:rsidRDefault="00824DC8" w:rsidP="00824DC8">
            <w:pPr>
              <w:pStyle w:val="TableText"/>
              <w:rPr>
                <w:rFonts w:eastAsia="Times New Roman" w:cs="Times New Roman"/>
              </w:rPr>
            </w:pPr>
            <w:r w:rsidRPr="00AE0FDD">
              <w:rPr>
                <w:rFonts w:eastAsia="Times New Roman" w:cs="Times New Roman"/>
              </w:rPr>
              <w:t>Soluable dietary fiber</w:t>
            </w:r>
          </w:p>
          <w:p w:rsidR="00824DC8" w:rsidRPr="00AE0FDD" w:rsidRDefault="00824DC8" w:rsidP="00824DC8">
            <w:pPr>
              <w:pStyle w:val="TableText"/>
              <w:rPr>
                <w:rFonts w:eastAsia="Times New Roman" w:cs="Times New Roman"/>
              </w:rPr>
            </w:pPr>
            <w:r w:rsidRPr="00AE0FDD">
              <w:rPr>
                <w:rFonts w:eastAsia="Times New Roman" w:cs="Times New Roman"/>
              </w:rPr>
              <w:t>Insoluatable dietary fiber</w:t>
            </w:r>
          </w:p>
          <w:p w:rsidR="00824DC8" w:rsidRPr="00AE0FDD" w:rsidRDefault="00824DC8" w:rsidP="00824DC8">
            <w:pPr>
              <w:pStyle w:val="TableText"/>
              <w:rPr>
                <w:rFonts w:eastAsia="Times New Roman" w:cs="Times New Roman"/>
              </w:rPr>
            </w:pPr>
            <w:r w:rsidRPr="00AE0FDD">
              <w:rPr>
                <w:rFonts w:eastAsia="Times New Roman" w:cs="Times New Roman"/>
              </w:rPr>
              <w:t>Total carbohydrates</w:t>
            </w:r>
          </w:p>
          <w:p w:rsidR="00824DC8" w:rsidRPr="00AE0FDD" w:rsidRDefault="00824DC8" w:rsidP="00824DC8">
            <w:pPr>
              <w:pStyle w:val="TableText"/>
              <w:rPr>
                <w:rFonts w:eastAsia="Times New Roman" w:cs="Times New Roman"/>
              </w:rPr>
            </w:pPr>
            <w:r w:rsidRPr="00AE0FDD">
              <w:rPr>
                <w:rFonts w:eastAsia="Times New Roman" w:cs="Times New Roman"/>
              </w:rPr>
              <w:t>Glucose</w:t>
            </w:r>
          </w:p>
          <w:p w:rsidR="00824DC8" w:rsidRPr="00AE0FDD" w:rsidRDefault="00824DC8" w:rsidP="00824DC8">
            <w:pPr>
              <w:pStyle w:val="TableText"/>
              <w:rPr>
                <w:rFonts w:eastAsia="Times New Roman" w:cs="Times New Roman"/>
              </w:rPr>
            </w:pPr>
            <w:r w:rsidRPr="00AE0FDD">
              <w:rPr>
                <w:rFonts w:eastAsia="Times New Roman" w:cs="Times New Roman"/>
              </w:rPr>
              <w:t>Fructose</w:t>
            </w:r>
          </w:p>
          <w:p w:rsidR="00824DC8" w:rsidRPr="00AE0FDD" w:rsidRDefault="00824DC8" w:rsidP="00824DC8">
            <w:pPr>
              <w:pStyle w:val="TableText"/>
              <w:rPr>
                <w:rFonts w:eastAsia="Times New Roman" w:cs="Times New Roman"/>
              </w:rPr>
            </w:pPr>
            <w:r w:rsidRPr="00AE0FDD">
              <w:rPr>
                <w:rFonts w:eastAsia="Times New Roman" w:cs="Times New Roman"/>
              </w:rPr>
              <w:t>Sucrose</w:t>
            </w:r>
          </w:p>
          <w:p w:rsidR="00824DC8" w:rsidRPr="00AE0FDD" w:rsidRDefault="00824DC8" w:rsidP="00824DC8">
            <w:pPr>
              <w:pStyle w:val="TableText"/>
              <w:rPr>
                <w:rFonts w:eastAsia="Times New Roman" w:cs="Times New Roman"/>
              </w:rPr>
            </w:pP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12 week, and 12 month </w:t>
            </w:r>
            <w:r w:rsidR="00E65621">
              <w:rPr>
                <w:rFonts w:eastAsia="Times New Roman" w:cs="Times New Roman"/>
              </w:rPr>
              <w:t>followup</w:t>
            </w:r>
          </w:p>
        </w:tc>
        <w:tc>
          <w:tcPr>
            <w:tcW w:w="1849" w:type="dxa"/>
            <w:shd w:val="clear" w:color="auto" w:fill="auto"/>
            <w:hideMark/>
          </w:tcPr>
          <w:p w:rsidR="00824DC8" w:rsidRPr="00AE0FDD" w:rsidRDefault="00824DC8" w:rsidP="00824DC8">
            <w:pPr>
              <w:pStyle w:val="TableText"/>
              <w:rPr>
                <w:rFonts w:eastAsia="Times New Roman" w:cs="Times New Roman"/>
              </w:rPr>
            </w:pP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Feldstein et al., 2006</w:t>
            </w:r>
            <w:r w:rsidRPr="00AE0FDD">
              <w:rPr>
                <w:rFonts w:ascii="Times New Roman" w:eastAsia="Times New Roman" w:hAnsi="Times New Roman" w:cs="Times New Roman"/>
                <w:noProof/>
                <w:vertAlign w:val="superscript"/>
              </w:rPr>
              <w:t>13</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To evaluate methods to increase guideline-recommended osteoporosis care </w:t>
            </w:r>
            <w:r w:rsidR="003502C5">
              <w:rPr>
                <w:rFonts w:eastAsia="Times New Roman" w:cs="Times New Roman"/>
              </w:rPr>
              <w:t>post</w:t>
            </w:r>
            <w:r w:rsidRPr="00AE0FDD">
              <w:rPr>
                <w:rFonts w:eastAsia="Times New Roman" w:cs="Times New Roman"/>
              </w:rPr>
              <w:t>fracture.</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Pharmaceutical</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Non-profit, group-model HMO in the Pacific Northwest with about 454,000 members</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Random-ized trial</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Proportion of study population who received a pharmacological treatment or a bone mineral density measurement within 6 months after the intervention</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6 months post intervention</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bl>
    <w:p w:rsidR="00824DC8" w:rsidRPr="00AE0FDD" w:rsidRDefault="00824DC8" w:rsidP="00824DC8"/>
    <w:p w:rsidR="00824DC8" w:rsidRPr="00AE0FDD" w:rsidRDefault="00824DC8" w:rsidP="00824DC8">
      <w:pPr>
        <w:pStyle w:val="TableTitle"/>
        <w:rPr>
          <w:sz w:val="24"/>
        </w:rPr>
      </w:pPr>
      <w:r w:rsidRPr="00AE0FDD">
        <w:br w:type="page"/>
      </w:r>
      <w:bookmarkStart w:id="5" w:name="_Toc359424017"/>
      <w:r w:rsidRPr="00AE0FDD">
        <w:lastRenderedPageBreak/>
        <w:t>Table F-1. Key question 2 study design details (continued)</w:t>
      </w:r>
      <w:bookmarkEnd w:id="5"/>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33"/>
        <w:gridCol w:w="2312"/>
        <w:gridCol w:w="1387"/>
        <w:gridCol w:w="1849"/>
        <w:gridCol w:w="1017"/>
        <w:gridCol w:w="1479"/>
        <w:gridCol w:w="2034"/>
        <w:gridCol w:w="1849"/>
      </w:tblGrid>
      <w:tr w:rsidR="00824DC8" w:rsidRPr="00AE0FDD" w:rsidTr="00824DC8">
        <w:trPr>
          <w:trHeight w:val="647"/>
        </w:trPr>
        <w:tc>
          <w:tcPr>
            <w:tcW w:w="1033"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312"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Research objective </w:t>
            </w:r>
          </w:p>
        </w:tc>
        <w:tc>
          <w:tcPr>
            <w:tcW w:w="138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Funding Source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Geographic location,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type,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Description </w:t>
            </w:r>
          </w:p>
        </w:tc>
        <w:tc>
          <w:tcPr>
            <w:tcW w:w="101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Study design </w:t>
            </w:r>
          </w:p>
        </w:tc>
        <w:tc>
          <w:tcPr>
            <w:tcW w:w="14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Primary Outcomes</w:t>
            </w:r>
          </w:p>
        </w:tc>
        <w:tc>
          <w:tcPr>
            <w:tcW w:w="203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Measurement intervals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Gattellari et al., 2005</w:t>
            </w:r>
            <w:r w:rsidRPr="00AE0FDD">
              <w:rPr>
                <w:rFonts w:ascii="Times New Roman" w:eastAsia="Times New Roman" w:hAnsi="Times New Roman" w:cs="Times New Roman"/>
                <w:noProof/>
                <w:vertAlign w:val="superscript"/>
              </w:rPr>
              <w:t>14</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compare the impact of 3 information resources about PSA screening and determine the extent to which man</w:t>
            </w:r>
            <w:r w:rsidR="003A53E3">
              <w:rPr>
                <w:rFonts w:eastAsia="Times New Roman" w:cs="Times New Roman"/>
              </w:rPr>
              <w:t>’</w:t>
            </w:r>
            <w:r w:rsidRPr="00AE0FDD">
              <w:rPr>
                <w:rFonts w:eastAsia="Times New Roman" w:cs="Times New Roman"/>
              </w:rPr>
              <w:t xml:space="preserve">s preferences for involvement in decision-making change the impact of the resources. </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Unspecified</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Australia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Community-based settings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Community dwelling sample of men in 29 contiguous postcodes in Sydney, Australia, found in the white-page telephone directory</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Random-ized trial</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Knowledge about prostate cancer</w:t>
            </w:r>
          </w:p>
        </w:tc>
        <w:tc>
          <w:tcPr>
            <w:tcW w:w="2034" w:type="dxa"/>
            <w:shd w:val="clear" w:color="auto" w:fill="auto"/>
            <w:hideMark/>
          </w:tcPr>
          <w:p w:rsidR="00824DC8" w:rsidRPr="00AE0FDD" w:rsidRDefault="00824DC8" w:rsidP="00E65621">
            <w:pPr>
              <w:pStyle w:val="TableText"/>
              <w:rPr>
                <w:rFonts w:eastAsia="Times New Roman" w:cs="Times New Roman"/>
              </w:rPr>
            </w:pPr>
            <w:r w:rsidRPr="00AE0FDD">
              <w:rPr>
                <w:rFonts w:eastAsia="Times New Roman" w:cs="Times New Roman"/>
              </w:rPr>
              <w:t xml:space="preserve">21 days median length between pretest and </w:t>
            </w:r>
            <w:r w:rsidR="003502C5">
              <w:rPr>
                <w:rFonts w:eastAsia="Times New Roman" w:cs="Times New Roman"/>
              </w:rPr>
              <w:t>post</w:t>
            </w:r>
            <w:r w:rsidRPr="00AE0FDD">
              <w:rPr>
                <w:rFonts w:eastAsia="Times New Roman" w:cs="Times New Roman"/>
              </w:rPr>
              <w:t xml:space="preserve">test </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Hagmolen et al., 2008</w:t>
            </w:r>
            <w:r w:rsidRPr="00AE0FDD">
              <w:rPr>
                <w:rFonts w:ascii="Times New Roman" w:eastAsia="Times New Roman" w:hAnsi="Times New Roman" w:cs="Times New Roman"/>
                <w:noProof/>
                <w:vertAlign w:val="superscript"/>
              </w:rPr>
              <w:t>15</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Investigates whether written treatment advice to the GP (via the introduction of a national guideline)--based on symptoms, medication use, lung function, and the severity of AHR--results in an improvement in children</w:t>
            </w:r>
            <w:r w:rsidR="003A53E3">
              <w:rPr>
                <w:rFonts w:eastAsia="Times New Roman" w:cs="Times New Roman"/>
              </w:rPr>
              <w:t>’</w:t>
            </w:r>
            <w:r w:rsidRPr="00AE0FDD">
              <w:rPr>
                <w:rFonts w:eastAsia="Times New Roman" w:cs="Times New Roman"/>
              </w:rPr>
              <w:t xml:space="preserve">s asthma after one year. </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Pharmaceutical</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Netherlands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Centralized health care organization with 18 health care centers</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Change in AHR in children after one year.</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Baseline and 1 year later</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Jain et al., 2006</w:t>
            </w:r>
            <w:r w:rsidRPr="00AE0FDD">
              <w:rPr>
                <w:rFonts w:ascii="Times New Roman" w:eastAsia="Times New Roman" w:hAnsi="Times New Roman" w:cs="Times New Roman"/>
                <w:noProof/>
                <w:vertAlign w:val="superscript"/>
              </w:rPr>
              <w:t>16</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compare the effectiveness of active to passive dissemination of the Canadian clinical practice guidelines (CPGs) for nutrition support for the mechanically ventilated critically ill adult patient.</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Canada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Other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Centralized health care organization with 18 health care centers</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Nutritional adequacy of enteral nutrition</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Baseline and 12 months later</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Both academic and community settings</w:t>
            </w:r>
          </w:p>
        </w:tc>
      </w:tr>
    </w:tbl>
    <w:p w:rsidR="00824DC8" w:rsidRPr="00AE0FDD" w:rsidRDefault="00824DC8" w:rsidP="00824DC8"/>
    <w:p w:rsidR="00824DC8" w:rsidRPr="00AE0FDD" w:rsidRDefault="00824DC8" w:rsidP="00824DC8">
      <w:pPr>
        <w:pStyle w:val="TableTitle"/>
        <w:rPr>
          <w:sz w:val="24"/>
        </w:rPr>
      </w:pPr>
      <w:r w:rsidRPr="00AE0FDD">
        <w:br w:type="page"/>
      </w:r>
      <w:bookmarkStart w:id="6" w:name="_Toc359424018"/>
      <w:r w:rsidRPr="00AE0FDD">
        <w:lastRenderedPageBreak/>
        <w:t>Table F-1. Key question 2 study design details (continued)</w:t>
      </w:r>
      <w:bookmarkEnd w:id="6"/>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33"/>
        <w:gridCol w:w="2312"/>
        <w:gridCol w:w="1387"/>
        <w:gridCol w:w="1849"/>
        <w:gridCol w:w="1017"/>
        <w:gridCol w:w="1479"/>
        <w:gridCol w:w="2034"/>
        <w:gridCol w:w="1849"/>
      </w:tblGrid>
      <w:tr w:rsidR="00824DC8" w:rsidRPr="00AE0FDD" w:rsidTr="00824DC8">
        <w:trPr>
          <w:trHeight w:val="647"/>
        </w:trPr>
        <w:tc>
          <w:tcPr>
            <w:tcW w:w="1033"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312"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Research objective </w:t>
            </w:r>
          </w:p>
        </w:tc>
        <w:tc>
          <w:tcPr>
            <w:tcW w:w="138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Funding Source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Geographic location,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type,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Description </w:t>
            </w:r>
          </w:p>
        </w:tc>
        <w:tc>
          <w:tcPr>
            <w:tcW w:w="101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Study design </w:t>
            </w:r>
          </w:p>
        </w:tc>
        <w:tc>
          <w:tcPr>
            <w:tcW w:w="14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Primary Outcomes</w:t>
            </w:r>
          </w:p>
        </w:tc>
        <w:tc>
          <w:tcPr>
            <w:tcW w:w="203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Measurement intervals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Jousimaa et al., 2002</w:t>
            </w:r>
            <w:r w:rsidRPr="00AE0FDD">
              <w:rPr>
                <w:rFonts w:ascii="Times New Roman" w:eastAsia="Times New Roman" w:hAnsi="Times New Roman" w:cs="Times New Roman"/>
                <w:noProof/>
                <w:vertAlign w:val="superscript"/>
              </w:rPr>
              <w:t>17</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compare the effects of computerized and paper-based versions of guidelines on recently qualified physicians</w:t>
            </w:r>
            <w:r w:rsidR="003A53E3">
              <w:rPr>
                <w:rFonts w:eastAsia="Times New Roman" w:cs="Times New Roman"/>
              </w:rPr>
              <w:t>’</w:t>
            </w:r>
            <w:r w:rsidRPr="00AE0FDD">
              <w:rPr>
                <w:rFonts w:eastAsia="Times New Roman" w:cs="Times New Roman"/>
              </w:rPr>
              <w:t xml:space="preserve"> consultation practices.</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Private trust, foundation, professional organization</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Finland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Primary care clinics</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Physicians</w:t>
            </w:r>
            <w:r w:rsidR="003A53E3">
              <w:rPr>
                <w:rFonts w:eastAsia="Times New Roman" w:cs="Times New Roman"/>
              </w:rPr>
              <w:t>’</w:t>
            </w:r>
            <w:r w:rsidRPr="00AE0FDD">
              <w:rPr>
                <w:rFonts w:eastAsia="Times New Roman" w:cs="Times New Roman"/>
              </w:rPr>
              <w:br/>
              <w:t>compliance with guideline recommendations about laboratory, radiologic, physical, and other examinations;</w:t>
            </w:r>
            <w:r w:rsidRPr="00AE0FDD">
              <w:rPr>
                <w:rFonts w:eastAsia="Times New Roman" w:cs="Times New Roman"/>
              </w:rPr>
              <w:br/>
              <w:t>procedures; nonpharmacologic and pharmacologic treatments; physiotherapy; and referrals</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One month </w:t>
            </w:r>
            <w:r w:rsidR="003502C5">
              <w:rPr>
                <w:rFonts w:eastAsia="Times New Roman" w:cs="Times New Roman"/>
              </w:rPr>
              <w:t>post</w:t>
            </w:r>
            <w:r w:rsidRPr="00AE0FDD">
              <w:rPr>
                <w:rFonts w:eastAsia="Times New Roman" w:cs="Times New Roman"/>
              </w:rPr>
              <w:t>intervention</w:t>
            </w:r>
          </w:p>
        </w:tc>
        <w:tc>
          <w:tcPr>
            <w:tcW w:w="1849" w:type="dxa"/>
            <w:shd w:val="clear" w:color="auto" w:fill="auto"/>
            <w:hideMark/>
          </w:tcPr>
          <w:p w:rsidR="00824DC8" w:rsidRPr="00AE0FDD" w:rsidRDefault="00824DC8" w:rsidP="00824DC8">
            <w:pPr>
              <w:pStyle w:val="TableText"/>
              <w:rPr>
                <w:rFonts w:eastAsia="Times New Roman" w:cs="Times New Roman"/>
              </w:rPr>
            </w:pP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Junghans et al., 2007</w:t>
            </w:r>
            <w:r w:rsidRPr="00AE0FDD">
              <w:rPr>
                <w:rFonts w:ascii="Times New Roman" w:eastAsia="Times New Roman" w:hAnsi="Times New Roman" w:cs="Times New Roman"/>
                <w:noProof/>
                <w:vertAlign w:val="superscript"/>
              </w:rPr>
              <w:t>18</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Determine the effect of patient-specific ratings vs. conventional guidelines on appropriate investigation (test ordering) of angina.</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England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practice in Scotland and England</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Agreement of physicians recommenda-tions with those made by 2 independent expert panels. </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Immediate posttest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Kennedy et al., 2003</w:t>
            </w:r>
            <w:r w:rsidRPr="00AE0FDD">
              <w:rPr>
                <w:rFonts w:ascii="Times New Roman" w:eastAsia="Times New Roman" w:hAnsi="Times New Roman" w:cs="Times New Roman"/>
                <w:noProof/>
                <w:vertAlign w:val="superscript"/>
              </w:rPr>
              <w:t>19</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develop decision aids to provide evidence-based information and formal preference elicitation for women with menorrhagia; and to evaluate their effects on patient outcomes, patient management and cost-effectiveness.</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England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Six hospitals in south-west England</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health status</w:t>
            </w:r>
          </w:p>
        </w:tc>
        <w:tc>
          <w:tcPr>
            <w:tcW w:w="2034" w:type="dxa"/>
            <w:shd w:val="clear" w:color="auto" w:fill="auto"/>
            <w:hideMark/>
          </w:tcPr>
          <w:p w:rsidR="00824DC8" w:rsidRPr="00AE0FDD" w:rsidRDefault="00824DC8" w:rsidP="00E65621">
            <w:pPr>
              <w:pStyle w:val="TableText"/>
              <w:rPr>
                <w:rFonts w:eastAsia="Times New Roman" w:cs="Times New Roman"/>
              </w:rPr>
            </w:pPr>
            <w:r w:rsidRPr="00AE0FDD">
              <w:rPr>
                <w:rFonts w:eastAsia="Times New Roman" w:cs="Times New Roman"/>
              </w:rPr>
              <w:t>Baseline (6-weeks pre</w:t>
            </w:r>
            <w:r w:rsidR="00E65621">
              <w:rPr>
                <w:rFonts w:eastAsia="Times New Roman" w:cs="Times New Roman"/>
              </w:rPr>
              <w:t>c</w:t>
            </w:r>
            <w:r w:rsidRPr="00AE0FDD">
              <w:rPr>
                <w:rFonts w:eastAsia="Times New Roman" w:cs="Times New Roman"/>
              </w:rPr>
              <w:t>onsultation), immediate postconsultation, 6, 12, and 24 months postconsultation.</w:t>
            </w:r>
            <w:r w:rsidRPr="00AE0FDD">
              <w:rPr>
                <w:rFonts w:eastAsia="Times New Roman" w:cs="Times New Roman"/>
              </w:rPr>
              <w:br/>
              <w:t>NOTE: 6-month and 12-month data merged</w:t>
            </w:r>
            <w:r w:rsidRPr="00AE0FDD">
              <w:rPr>
                <w:rFonts w:eastAsia="Times New Roman" w:cs="Times New Roman"/>
              </w:rPr>
              <w:br/>
              <w:t xml:space="preserve">together to form a short-term </w:t>
            </w:r>
            <w:r w:rsidR="00E65621">
              <w:rPr>
                <w:rFonts w:eastAsia="Times New Roman" w:cs="Times New Roman"/>
              </w:rPr>
              <w:t>followup</w:t>
            </w:r>
            <w:r w:rsidRPr="00AE0FDD">
              <w:rPr>
                <w:rFonts w:eastAsia="Times New Roman" w:cs="Times New Roman"/>
              </w:rPr>
              <w:t xml:space="preserve"> dataset.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bl>
    <w:p w:rsidR="00824DC8" w:rsidRPr="00AE0FDD" w:rsidRDefault="00824DC8" w:rsidP="00824DC8"/>
    <w:p w:rsidR="00824DC8" w:rsidRPr="00AE0FDD" w:rsidRDefault="00824DC8" w:rsidP="00824DC8">
      <w:pPr>
        <w:pStyle w:val="TableTitle"/>
        <w:rPr>
          <w:sz w:val="24"/>
        </w:rPr>
      </w:pPr>
      <w:r w:rsidRPr="00AE0FDD">
        <w:br w:type="page"/>
      </w:r>
      <w:bookmarkStart w:id="7" w:name="_Toc359424019"/>
      <w:r w:rsidRPr="00AE0FDD">
        <w:lastRenderedPageBreak/>
        <w:t>Table F-1. Key question 2 study design details (continued)</w:t>
      </w:r>
      <w:bookmarkEnd w:id="7"/>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33"/>
        <w:gridCol w:w="2312"/>
        <w:gridCol w:w="1387"/>
        <w:gridCol w:w="1849"/>
        <w:gridCol w:w="1017"/>
        <w:gridCol w:w="1479"/>
        <w:gridCol w:w="2034"/>
        <w:gridCol w:w="1849"/>
      </w:tblGrid>
      <w:tr w:rsidR="00824DC8" w:rsidRPr="00AE0FDD" w:rsidTr="00824DC8">
        <w:trPr>
          <w:trHeight w:val="647"/>
        </w:trPr>
        <w:tc>
          <w:tcPr>
            <w:tcW w:w="1033"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312"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Research objective </w:t>
            </w:r>
          </w:p>
        </w:tc>
        <w:tc>
          <w:tcPr>
            <w:tcW w:w="138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Funding Source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Geographic location,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type,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Description </w:t>
            </w:r>
          </w:p>
        </w:tc>
        <w:tc>
          <w:tcPr>
            <w:tcW w:w="101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Study design </w:t>
            </w:r>
          </w:p>
        </w:tc>
        <w:tc>
          <w:tcPr>
            <w:tcW w:w="14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Primary Outcomes</w:t>
            </w:r>
          </w:p>
        </w:tc>
        <w:tc>
          <w:tcPr>
            <w:tcW w:w="203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Measurement intervals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King et al., 2007</w:t>
            </w:r>
            <w:r w:rsidRPr="00AE0FDD">
              <w:rPr>
                <w:rFonts w:ascii="Times New Roman" w:eastAsia="Times New Roman" w:hAnsi="Times New Roman" w:cs="Times New Roman"/>
                <w:noProof/>
                <w:vertAlign w:val="superscript"/>
              </w:rPr>
              <w:t>20</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This study determined the 6- and 12-month effectiveness of telephone interventions delivered by health educators or by an automated computer system in promoting</w:t>
            </w:r>
            <w:r w:rsidRPr="00AE0FDD">
              <w:rPr>
                <w:rFonts w:eastAsia="Times New Roman" w:cs="Times New Roman"/>
              </w:rPr>
              <w:br/>
              <w:t>physical activity.</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United States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Community-based settings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Doesn</w:t>
            </w:r>
            <w:r w:rsidR="003A53E3">
              <w:rPr>
                <w:rFonts w:eastAsia="Times New Roman" w:cs="Times New Roman"/>
              </w:rPr>
              <w:t>’</w:t>
            </w:r>
            <w:r w:rsidRPr="00AE0FDD">
              <w:rPr>
                <w:rFonts w:eastAsia="Times New Roman" w:cs="Times New Roman"/>
              </w:rPr>
              <w:t>t provide details about community</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Physical activity </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6, and 12months </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Laprise et al., 2009</w:t>
            </w:r>
            <w:r w:rsidRPr="00AE0FDD">
              <w:rPr>
                <w:rFonts w:ascii="Times New Roman" w:eastAsia="Times New Roman" w:hAnsi="Times New Roman" w:cs="Times New Roman"/>
                <w:noProof/>
                <w:vertAlign w:val="superscript"/>
              </w:rPr>
              <w:t>21</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The main objective was to determine if the PER intervention delivered by the nurse after the CME activity increased GPs</w:t>
            </w:r>
            <w:r w:rsidR="003A53E3">
              <w:rPr>
                <w:rFonts w:eastAsia="Times New Roman" w:cs="Times New Roman"/>
              </w:rPr>
              <w:t>’</w:t>
            </w:r>
            <w:r w:rsidRPr="00AE0FDD">
              <w:rPr>
                <w:rFonts w:eastAsia="Times New Roman" w:cs="Times New Roman"/>
              </w:rPr>
              <w:t xml:space="preserve"> adherence to CPGs</w:t>
            </w:r>
            <w:r w:rsidR="003A53E3">
              <w:rPr>
                <w:rFonts w:eastAsia="Times New Roman" w:cs="Times New Roman"/>
              </w:rPr>
              <w:t>’</w:t>
            </w:r>
            <w:r w:rsidRPr="00AE0FDD">
              <w:rPr>
                <w:rFonts w:eastAsia="Times New Roman" w:cs="Times New Roman"/>
              </w:rPr>
              <w:t xml:space="preserve"> recommendations.</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Pharmaceutical</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Canada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Community-based settings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GPs in 5 regions of Quebec</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GP adherence to CPG recommend-ations</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Baseline, 6 month followup</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Lien et al., 2007,</w:t>
            </w:r>
            <w:r w:rsidRPr="00AE0FDD">
              <w:rPr>
                <w:rFonts w:ascii="Times New Roman" w:eastAsia="Times New Roman" w:hAnsi="Times New Roman" w:cs="Times New Roman"/>
                <w:noProof/>
                <w:vertAlign w:val="superscript"/>
              </w:rPr>
              <w:t>22</w:t>
            </w:r>
            <w:r w:rsidRPr="00AE0FDD">
              <w:rPr>
                <w:rFonts w:eastAsia="Times New Roman" w:cs="Times New Roman"/>
              </w:rPr>
              <w:br/>
              <w:t>Svetkey et al., 2003,</w:t>
            </w:r>
            <w:r w:rsidRPr="00AE0FDD">
              <w:rPr>
                <w:rFonts w:ascii="Times New Roman" w:eastAsia="Times New Roman" w:hAnsi="Times New Roman" w:cs="Times New Roman"/>
                <w:noProof/>
                <w:vertAlign w:val="superscript"/>
              </w:rPr>
              <w:t>23</w:t>
            </w:r>
            <w:r w:rsidRPr="00AE0FDD">
              <w:rPr>
                <w:rFonts w:eastAsia="Times New Roman" w:cs="Times New Roman"/>
              </w:rPr>
              <w:br/>
              <w:t>Young et al., 2009</w:t>
            </w:r>
            <w:r w:rsidRPr="00AE0FDD">
              <w:rPr>
                <w:rFonts w:ascii="Times New Roman" w:eastAsia="Times New Roman" w:hAnsi="Times New Roman" w:cs="Times New Roman"/>
                <w:noProof/>
                <w:vertAlign w:val="superscript"/>
              </w:rPr>
              <w:t>24</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This article describes the impact of PREMIER behavioral interventions on BP, lipids, and insulin resistance in subgroups defined by the presence or absence of MetSyn.</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United States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Participating institutions include the NHLBI Project Office, the Coordinating Center and four clinical centers (Johns Hopkins University; Pennington Biomedical Research Center; Duke University Medical Center; and a clinical center also located at the Kaiser Permanente Center for Health Research.</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6 month change in systolic blood pressure, weight reduction, improved fitness, lower sodium intake, meet health goals.</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Baseline, 3 month, 6 month, 12 month, 18 month</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Different data collected at different time points</w:t>
            </w:r>
          </w:p>
        </w:tc>
      </w:tr>
    </w:tbl>
    <w:p w:rsidR="00824DC8" w:rsidRPr="00AE0FDD" w:rsidRDefault="00824DC8" w:rsidP="00824DC8"/>
    <w:p w:rsidR="00824DC8" w:rsidRPr="00AE0FDD" w:rsidRDefault="00824DC8" w:rsidP="00824DC8">
      <w:pPr>
        <w:pStyle w:val="TableTitle"/>
        <w:rPr>
          <w:sz w:val="24"/>
        </w:rPr>
      </w:pPr>
      <w:r w:rsidRPr="00AE0FDD">
        <w:br w:type="page"/>
      </w:r>
      <w:bookmarkStart w:id="8" w:name="_Toc359424020"/>
      <w:r w:rsidRPr="00AE0FDD">
        <w:lastRenderedPageBreak/>
        <w:t>Table F-1. Key question 2 study design details (continued)</w:t>
      </w:r>
      <w:bookmarkEnd w:id="8"/>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33"/>
        <w:gridCol w:w="2312"/>
        <w:gridCol w:w="1387"/>
        <w:gridCol w:w="1849"/>
        <w:gridCol w:w="1017"/>
        <w:gridCol w:w="1479"/>
        <w:gridCol w:w="2034"/>
        <w:gridCol w:w="1849"/>
      </w:tblGrid>
      <w:tr w:rsidR="00824DC8" w:rsidRPr="00AE0FDD" w:rsidTr="00824DC8">
        <w:trPr>
          <w:trHeight w:val="647"/>
        </w:trPr>
        <w:tc>
          <w:tcPr>
            <w:tcW w:w="1033"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312"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Research objective </w:t>
            </w:r>
          </w:p>
        </w:tc>
        <w:tc>
          <w:tcPr>
            <w:tcW w:w="138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Funding Source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Geographic location,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type,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Description </w:t>
            </w:r>
          </w:p>
        </w:tc>
        <w:tc>
          <w:tcPr>
            <w:tcW w:w="101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Study design </w:t>
            </w:r>
          </w:p>
        </w:tc>
        <w:tc>
          <w:tcPr>
            <w:tcW w:w="14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Primary Outcomes</w:t>
            </w:r>
          </w:p>
        </w:tc>
        <w:tc>
          <w:tcPr>
            <w:tcW w:w="203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Measurement intervals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Marcus et al., 2009</w:t>
            </w:r>
            <w:r w:rsidRPr="00AE0FDD">
              <w:rPr>
                <w:rFonts w:ascii="Times New Roman" w:eastAsia="Times New Roman" w:hAnsi="Times New Roman" w:cs="Times New Roman"/>
                <w:noProof/>
                <w:vertAlign w:val="superscript"/>
              </w:rPr>
              <w:t>25</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determine whether one of 2 delivery channels (telephone and print) was more effective in promoting physical activity.</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United States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Other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NR</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Physical activity recall, fitness data, stage of change</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Baseline, 6 months and 12 months</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Maxwell et al., 2010</w:t>
            </w:r>
            <w:r w:rsidRPr="00AE0FDD">
              <w:rPr>
                <w:rFonts w:ascii="Times New Roman" w:eastAsia="Times New Roman" w:hAnsi="Times New Roman" w:cs="Times New Roman"/>
                <w:noProof/>
                <w:vertAlign w:val="superscript"/>
              </w:rPr>
              <w:t>26</w:t>
            </w:r>
          </w:p>
        </w:tc>
        <w:tc>
          <w:tcPr>
            <w:tcW w:w="2312" w:type="dxa"/>
            <w:shd w:val="clear" w:color="auto" w:fill="auto"/>
            <w:hideMark/>
          </w:tcPr>
          <w:p w:rsidR="00824DC8" w:rsidRPr="00AE0FDD" w:rsidRDefault="00166B9E" w:rsidP="00824DC8">
            <w:pPr>
              <w:pStyle w:val="TableText"/>
              <w:rPr>
                <w:rFonts w:eastAsia="Times New Roman" w:cs="Times New Roman"/>
              </w:rPr>
            </w:pPr>
            <w:r>
              <w:rPr>
                <w:rFonts w:eastAsia="Times New Roman" w:cs="Times New Roman"/>
              </w:rPr>
              <w:t>To develop a Multi</w:t>
            </w:r>
            <w:r w:rsidR="00824DC8" w:rsidRPr="00AE0FDD">
              <w:rPr>
                <w:rFonts w:eastAsia="Times New Roman" w:cs="Times New Roman"/>
              </w:rPr>
              <w:t>component intervention that would increase colorectal cancer screening among an Asian American population.</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Foundation or non-profit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United States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Community-based settings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Small groups met at community organizations in California (may be a smaller area but no details)</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Self-reported CRC Screening rates</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6 month </w:t>
            </w:r>
            <w:r w:rsidR="00E65621">
              <w:rPr>
                <w:rFonts w:eastAsia="Times New Roman" w:cs="Times New Roman"/>
              </w:rPr>
              <w:t>followup</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Murtaugh et al., 2005</w:t>
            </w:r>
            <w:r w:rsidRPr="00AE0FDD">
              <w:rPr>
                <w:rFonts w:ascii="Times New Roman" w:eastAsia="Times New Roman" w:hAnsi="Times New Roman" w:cs="Times New Roman"/>
                <w:noProof/>
                <w:vertAlign w:val="superscript"/>
              </w:rPr>
              <w:t>27</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To test the effectiveness of two interventions designed to improve the adoption of evidence-based practices by home health nurses caring for heart failure (HF) patients. </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United States- though not explicitly stated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RN clinical visits as part of a large, urban, nonprofit home health agency</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Practice of Evidence-based care (recording key assessment items and instructions to patients, instructing patients with key educational elements)</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RN note within 45 days after initial home health RN assessment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Authors talk about US Medicare rules but never specify study in US, though authors are from NYC, infer it was done in NYC; and it looks like the authors abstracted 1 note/pt, but not sure.</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Paradis et al., 2011</w:t>
            </w:r>
            <w:r w:rsidRPr="00AE0FDD">
              <w:rPr>
                <w:rFonts w:ascii="Times New Roman" w:eastAsia="Times New Roman" w:hAnsi="Times New Roman" w:cs="Times New Roman"/>
                <w:noProof/>
                <w:vertAlign w:val="superscript"/>
              </w:rPr>
              <w:t>28</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test the feasibility, impact, and acceptance of incorporating a DVD of newborn anticipatory guidance into routine well-child care.</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Professional organization and a foundation </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Academic health care institutions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Large hospital-based primary care pediatric practice</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Random-ized trial</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Parent knowledge of infant development; self-efficacy with infant care skills; problem-solving competence</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2 weeks and 2 months </w:t>
            </w:r>
            <w:r w:rsidR="003502C5">
              <w:rPr>
                <w:rFonts w:eastAsia="Times New Roman" w:cs="Times New Roman"/>
              </w:rPr>
              <w:t>post</w:t>
            </w:r>
            <w:r w:rsidRPr="00AE0FDD">
              <w:rPr>
                <w:rFonts w:eastAsia="Times New Roman" w:cs="Times New Roman"/>
              </w:rPr>
              <w:t xml:space="preserve">intervention </w:t>
            </w:r>
          </w:p>
        </w:tc>
        <w:tc>
          <w:tcPr>
            <w:tcW w:w="1849" w:type="dxa"/>
            <w:shd w:val="clear" w:color="auto" w:fill="auto"/>
            <w:hideMark/>
          </w:tcPr>
          <w:p w:rsidR="00824DC8" w:rsidRPr="00AE0FDD" w:rsidRDefault="00824DC8" w:rsidP="00824DC8">
            <w:pPr>
              <w:pStyle w:val="TableText"/>
              <w:rPr>
                <w:rFonts w:eastAsia="Times New Roman" w:cs="Times New Roman"/>
              </w:rPr>
            </w:pPr>
          </w:p>
        </w:tc>
      </w:tr>
    </w:tbl>
    <w:p w:rsidR="00824DC8" w:rsidRPr="00AE0FDD" w:rsidRDefault="00824DC8" w:rsidP="00824DC8"/>
    <w:p w:rsidR="00824DC8" w:rsidRPr="00AE0FDD" w:rsidRDefault="00824DC8" w:rsidP="00824DC8">
      <w:pPr>
        <w:pStyle w:val="TableTitle"/>
        <w:rPr>
          <w:sz w:val="24"/>
        </w:rPr>
      </w:pPr>
      <w:r w:rsidRPr="00AE0FDD">
        <w:br w:type="page"/>
      </w:r>
      <w:bookmarkStart w:id="9" w:name="_Toc359424021"/>
      <w:r w:rsidRPr="00AE0FDD">
        <w:lastRenderedPageBreak/>
        <w:t>Table F-1. Key question 2 study design details (continued)</w:t>
      </w:r>
      <w:bookmarkEnd w:id="9"/>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33"/>
        <w:gridCol w:w="2312"/>
        <w:gridCol w:w="1387"/>
        <w:gridCol w:w="1849"/>
        <w:gridCol w:w="1017"/>
        <w:gridCol w:w="1479"/>
        <w:gridCol w:w="2034"/>
        <w:gridCol w:w="1849"/>
      </w:tblGrid>
      <w:tr w:rsidR="00824DC8" w:rsidRPr="00AE0FDD" w:rsidTr="00824DC8">
        <w:trPr>
          <w:trHeight w:val="647"/>
        </w:trPr>
        <w:tc>
          <w:tcPr>
            <w:tcW w:w="1033"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312"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Research objective </w:t>
            </w:r>
          </w:p>
        </w:tc>
        <w:tc>
          <w:tcPr>
            <w:tcW w:w="138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Funding Source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Geographic location,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type,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Description </w:t>
            </w:r>
          </w:p>
        </w:tc>
        <w:tc>
          <w:tcPr>
            <w:tcW w:w="101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Study design </w:t>
            </w:r>
          </w:p>
        </w:tc>
        <w:tc>
          <w:tcPr>
            <w:tcW w:w="14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Primary Outcomes</w:t>
            </w:r>
          </w:p>
        </w:tc>
        <w:tc>
          <w:tcPr>
            <w:tcW w:w="203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Measurement intervals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Partin et al., 2004</w:t>
            </w:r>
            <w:r w:rsidRPr="00AE0FDD">
              <w:rPr>
                <w:rFonts w:ascii="Times New Roman" w:eastAsia="Times New Roman" w:hAnsi="Times New Roman" w:cs="Times New Roman"/>
                <w:noProof/>
                <w:vertAlign w:val="superscript"/>
              </w:rPr>
              <w:t>29</w:t>
            </w:r>
          </w:p>
        </w:tc>
        <w:tc>
          <w:tcPr>
            <w:tcW w:w="2312" w:type="dxa"/>
            <w:shd w:val="clear" w:color="auto" w:fill="auto"/>
            <w:hideMark/>
          </w:tcPr>
          <w:p w:rsidR="00824DC8" w:rsidRPr="00AE0FDD" w:rsidRDefault="00824DC8" w:rsidP="003A53E3">
            <w:pPr>
              <w:pStyle w:val="TableText"/>
              <w:rPr>
                <w:rFonts w:eastAsia="Times New Roman" w:cs="Times New Roman"/>
              </w:rPr>
            </w:pPr>
            <w:r w:rsidRPr="00AE0FDD">
              <w:rPr>
                <w:rFonts w:eastAsia="Times New Roman" w:cs="Times New Roman"/>
              </w:rPr>
              <w:t>The primary objective of this study was to assess the relative effectiveness of the video and a mailed pamphlet intervention for increasing patient CaP screening knowledge and decisionmaking participation.</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United States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Veteran Affairs medical facilities in the Midwest</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Prostate cancer screening knowledge</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1 week post </w:t>
            </w:r>
          </w:p>
        </w:tc>
        <w:tc>
          <w:tcPr>
            <w:tcW w:w="1849" w:type="dxa"/>
            <w:shd w:val="clear" w:color="auto" w:fill="auto"/>
            <w:hideMark/>
          </w:tcPr>
          <w:p w:rsidR="00824DC8" w:rsidRPr="00AE0FDD" w:rsidRDefault="00824DC8" w:rsidP="00824DC8">
            <w:pPr>
              <w:pStyle w:val="TableText"/>
              <w:rPr>
                <w:rFonts w:eastAsia="Times New Roman" w:cs="Times New Roman"/>
              </w:rPr>
            </w:pP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Rahme et al., 2005</w:t>
            </w:r>
            <w:r w:rsidRPr="00AE0FDD">
              <w:rPr>
                <w:rFonts w:ascii="Times New Roman" w:eastAsia="Times New Roman" w:hAnsi="Times New Roman" w:cs="Times New Roman"/>
                <w:noProof/>
                <w:vertAlign w:val="superscript"/>
              </w:rPr>
              <w:t>30</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Examined whether a continuing medical education intervention increased general practitioners</w:t>
            </w:r>
            <w:r w:rsidR="003A53E3">
              <w:rPr>
                <w:rFonts w:eastAsia="Times New Roman" w:cs="Times New Roman"/>
              </w:rPr>
              <w:t>’</w:t>
            </w:r>
            <w:r w:rsidRPr="00AE0FDD">
              <w:rPr>
                <w:rFonts w:eastAsia="Times New Roman" w:cs="Times New Roman"/>
              </w:rPr>
              <w:t xml:space="preserve"> ability to select the proper pharmacological treatment for patients with osteoarthritis.</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Pharmaceutical</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Canada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General practitioners from 8 small towns of relatively small population sizes (30K-50K)</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Dispensed prescriptions (prescription adequacy)</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135 to 1 day </w:t>
            </w:r>
            <w:r w:rsidR="00E65621">
              <w:rPr>
                <w:rFonts w:eastAsia="Times New Roman" w:cs="Times New Roman"/>
              </w:rPr>
              <w:t>pre</w:t>
            </w:r>
            <w:r w:rsidRPr="00AE0FDD">
              <w:rPr>
                <w:rFonts w:eastAsia="Times New Roman" w:cs="Times New Roman"/>
              </w:rPr>
              <w:t>intervention; 1 to 136 days post intervention</w:t>
            </w:r>
          </w:p>
        </w:tc>
        <w:tc>
          <w:tcPr>
            <w:tcW w:w="1849" w:type="dxa"/>
            <w:shd w:val="clear" w:color="auto" w:fill="auto"/>
            <w:hideMark/>
          </w:tcPr>
          <w:p w:rsidR="00824DC8" w:rsidRPr="00AE0FDD" w:rsidRDefault="00824DC8" w:rsidP="00824DC8">
            <w:pPr>
              <w:pStyle w:val="TableText"/>
              <w:rPr>
                <w:rFonts w:eastAsia="Times New Roman" w:cs="Times New Roman"/>
              </w:rPr>
            </w:pP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Rebbeck et al., 2006</w:t>
            </w:r>
            <w:r w:rsidRPr="00AE0FDD">
              <w:rPr>
                <w:rFonts w:ascii="Times New Roman" w:eastAsia="Times New Roman" w:hAnsi="Times New Roman" w:cs="Times New Roman"/>
                <w:noProof/>
                <w:vertAlign w:val="superscript"/>
              </w:rPr>
              <w:t>31</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evaluate the effect of an active dissemination strategy that included education by opinion leaders compared with a passive dissemination strategy that consisted of dissemination of the guidelines only via mail.</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Australia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Physiotherapy clinics</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Patient outcomes:</w:t>
            </w:r>
            <w:r w:rsidRPr="00AE0FDD">
              <w:rPr>
                <w:rFonts w:eastAsia="Times New Roman" w:cs="Times New Roman"/>
              </w:rPr>
              <w:br/>
              <w:t>disability, disability due to whiplash, change in symptoms (global perceived effort), patient satisfaction with care</w:t>
            </w:r>
            <w:r w:rsidRPr="00AE0FDD">
              <w:rPr>
                <w:rFonts w:eastAsia="Times New Roman" w:cs="Times New Roman"/>
              </w:rPr>
              <w:br/>
            </w:r>
            <w:r w:rsidRPr="00AE0FDD">
              <w:rPr>
                <w:rFonts w:eastAsia="Times New Roman" w:cs="Times New Roman"/>
              </w:rPr>
              <w:br/>
              <w:t>Physiotherapist outcomes:</w:t>
            </w:r>
            <w:r w:rsidRPr="00AE0FDD">
              <w:rPr>
                <w:rFonts w:eastAsia="Times New Roman" w:cs="Times New Roman"/>
              </w:rPr>
              <w:br/>
              <w:t>knowledge, clinical practice based on guidelines, satisfaction with guidelines</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Patient outcomes: Baseline, 1.5 months, 3 months, 6 months, and 12 months. </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Physiotherapist outcomes: baseline and 12 months</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bl>
    <w:p w:rsidR="00824DC8" w:rsidRPr="00AE0FDD" w:rsidRDefault="00824DC8" w:rsidP="00824DC8">
      <w:pPr>
        <w:pStyle w:val="TableTitle"/>
        <w:rPr>
          <w:sz w:val="24"/>
        </w:rPr>
      </w:pPr>
      <w:bookmarkStart w:id="10" w:name="_Toc359424022"/>
      <w:r w:rsidRPr="00AE0FDD">
        <w:lastRenderedPageBreak/>
        <w:t>Table F-1. Key question 2 study design details (continued)</w:t>
      </w:r>
      <w:bookmarkEnd w:id="10"/>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33"/>
        <w:gridCol w:w="2312"/>
        <w:gridCol w:w="1387"/>
        <w:gridCol w:w="1849"/>
        <w:gridCol w:w="1017"/>
        <w:gridCol w:w="1479"/>
        <w:gridCol w:w="2034"/>
        <w:gridCol w:w="1849"/>
      </w:tblGrid>
      <w:tr w:rsidR="00824DC8" w:rsidRPr="00AE0FDD" w:rsidTr="00824DC8">
        <w:trPr>
          <w:trHeight w:val="647"/>
        </w:trPr>
        <w:tc>
          <w:tcPr>
            <w:tcW w:w="1033"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312"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Research objective </w:t>
            </w:r>
          </w:p>
        </w:tc>
        <w:tc>
          <w:tcPr>
            <w:tcW w:w="138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Funding Source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Geographic location,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type,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Description </w:t>
            </w:r>
          </w:p>
        </w:tc>
        <w:tc>
          <w:tcPr>
            <w:tcW w:w="101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Study design </w:t>
            </w:r>
          </w:p>
        </w:tc>
        <w:tc>
          <w:tcPr>
            <w:tcW w:w="14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Primary Outcomes</w:t>
            </w:r>
          </w:p>
        </w:tc>
        <w:tc>
          <w:tcPr>
            <w:tcW w:w="203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Measurement intervals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Rimer et al., 2001</w:t>
            </w:r>
            <w:r w:rsidRPr="00AE0FDD">
              <w:rPr>
                <w:rFonts w:ascii="Times New Roman" w:eastAsia="Times New Roman" w:hAnsi="Times New Roman" w:cs="Times New Roman"/>
                <w:noProof/>
                <w:vertAlign w:val="superscript"/>
              </w:rPr>
              <w:t>32</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compare tailored print materials +/-tailored telephone counseling to usual care for promoting mammography screening.</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United States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Blue Cross Blue Shield in North Carolina</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Main outcome was accuracy of risk perception; knowledge, and adherence to yearly screening mammography</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Yearly</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20"/>
        </w:trPr>
        <w:tc>
          <w:tcPr>
            <w:tcW w:w="1033"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Rycroft-Malone</w:t>
            </w:r>
          </w:p>
          <w:p w:rsidR="00824DC8" w:rsidRPr="00AE0FDD" w:rsidRDefault="00824DC8" w:rsidP="00824DC8">
            <w:pPr>
              <w:pStyle w:val="TableText"/>
              <w:rPr>
                <w:rFonts w:eastAsia="Times New Roman" w:cs="Times New Roman"/>
              </w:rPr>
            </w:pPr>
            <w:r w:rsidRPr="00AE0FDD">
              <w:rPr>
                <w:rFonts w:eastAsia="Times New Roman" w:cs="Times New Roman"/>
              </w:rPr>
              <w:t>2012</w:t>
            </w:r>
            <w:r w:rsidRPr="00AE0FDD">
              <w:rPr>
                <w:rFonts w:ascii="Times New Roman" w:eastAsia="Times New Roman" w:hAnsi="Times New Roman" w:cs="Times New Roman"/>
                <w:noProof/>
                <w:vertAlign w:val="superscript"/>
              </w:rPr>
              <w:t>33</w:t>
            </w:r>
          </w:p>
        </w:tc>
        <w:tc>
          <w:tcPr>
            <w:tcW w:w="2312"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To evaluate the effectiveness of three strategies for the implementation of recommendations about peri-operative fasting.</w:t>
            </w:r>
          </w:p>
        </w:tc>
        <w:tc>
          <w:tcPr>
            <w:tcW w:w="138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Foundation or non-profit</w:t>
            </w:r>
          </w:p>
        </w:tc>
        <w:tc>
          <w:tcPr>
            <w:tcW w:w="184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United Kingdom (including England, Northern Ireland, Wales, and Scotland)</w:t>
            </w:r>
          </w:p>
        </w:tc>
        <w:tc>
          <w:tcPr>
            <w:tcW w:w="1017"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cRCT</w:t>
            </w:r>
          </w:p>
        </w:tc>
        <w:tc>
          <w:tcPr>
            <w:tcW w:w="1479"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Acute care National Health Service (NHS) Trusts across the UK conducting elective surgery</w:t>
            </w:r>
          </w:p>
        </w:tc>
        <w:tc>
          <w:tcPr>
            <w:tcW w:w="2034" w:type="dxa"/>
            <w:shd w:val="clear" w:color="auto" w:fill="auto"/>
          </w:tcPr>
          <w:p w:rsidR="00824DC8" w:rsidRPr="00AE0FDD" w:rsidRDefault="00824DC8" w:rsidP="00824DC8">
            <w:pPr>
              <w:pStyle w:val="TableText"/>
              <w:rPr>
                <w:rFonts w:eastAsia="Times New Roman" w:cs="Times New Roman"/>
              </w:rPr>
            </w:pPr>
            <w:r w:rsidRPr="00AE0FDD">
              <w:rPr>
                <w:rFonts w:eastAsia="Times New Roman" w:cs="Times New Roman"/>
              </w:rPr>
              <w:t xml:space="preserve">4 times </w:t>
            </w:r>
            <w:r w:rsidR="00E65621">
              <w:rPr>
                <w:rFonts w:eastAsia="Times New Roman" w:cs="Times New Roman"/>
              </w:rPr>
              <w:t>pre</w:t>
            </w:r>
            <w:r w:rsidRPr="00AE0FDD">
              <w:rPr>
                <w:rFonts w:eastAsia="Times New Roman" w:cs="Times New Roman"/>
              </w:rPr>
              <w:t>intervention</w:t>
            </w:r>
            <w:r w:rsidR="002E2496">
              <w:rPr>
                <w:rFonts w:eastAsia="Times New Roman" w:cs="Times New Roman"/>
              </w:rPr>
              <w:t xml:space="preserve"> </w:t>
            </w:r>
            <w:r w:rsidRPr="00AE0FDD">
              <w:rPr>
                <w:rFonts w:eastAsia="Times New Roman" w:cs="Times New Roman"/>
              </w:rPr>
              <w:t xml:space="preserve">(6, 4, and 2 months </w:t>
            </w:r>
            <w:r w:rsidR="00E65621">
              <w:rPr>
                <w:rFonts w:eastAsia="Times New Roman" w:cs="Times New Roman"/>
              </w:rPr>
              <w:t>pre</w:t>
            </w:r>
            <w:r w:rsidRPr="00AE0FDD">
              <w:rPr>
                <w:rFonts w:eastAsia="Times New Roman" w:cs="Times New Roman"/>
              </w:rPr>
              <w:t xml:space="preserve">intervention) and 4 times </w:t>
            </w:r>
            <w:r w:rsidR="003502C5">
              <w:rPr>
                <w:rFonts w:eastAsia="Times New Roman" w:cs="Times New Roman"/>
              </w:rPr>
              <w:t>post</w:t>
            </w:r>
            <w:r w:rsidRPr="00AE0FDD">
              <w:rPr>
                <w:rFonts w:eastAsia="Times New Roman" w:cs="Times New Roman"/>
              </w:rPr>
              <w:t xml:space="preserve">intervention (2, 4, and 6 months </w:t>
            </w:r>
            <w:r w:rsidR="003502C5">
              <w:rPr>
                <w:rFonts w:eastAsia="Times New Roman" w:cs="Times New Roman"/>
              </w:rPr>
              <w:t>post</w:t>
            </w:r>
            <w:r w:rsidRPr="00AE0FDD">
              <w:rPr>
                <w:rFonts w:eastAsia="Times New Roman" w:cs="Times New Roman"/>
              </w:rPr>
              <w:t>intervention)</w:t>
            </w:r>
          </w:p>
        </w:tc>
        <w:tc>
          <w:tcPr>
            <w:tcW w:w="1849" w:type="dxa"/>
            <w:shd w:val="clear" w:color="auto" w:fill="auto"/>
          </w:tcPr>
          <w:p w:rsidR="00824DC8" w:rsidRPr="00AE0FDD" w:rsidRDefault="00824DC8" w:rsidP="00824DC8">
            <w:pPr>
              <w:pStyle w:val="TableText"/>
              <w:rPr>
                <w:rFonts w:eastAsia="Times New Roman" w:cs="Times New Roman"/>
              </w:rPr>
            </w:pP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Simon et al., 2005</w:t>
            </w:r>
            <w:r w:rsidRPr="00AE0FDD">
              <w:rPr>
                <w:rFonts w:ascii="Times New Roman" w:eastAsia="Times New Roman" w:hAnsi="Times New Roman" w:cs="Times New Roman"/>
                <w:noProof/>
                <w:vertAlign w:val="superscript"/>
              </w:rPr>
              <w:t>34</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compare group versus individual academic detailing to increase diuretic or beta blocker use in hypertension.</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Geographically separated HMO practices</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Change in guideline adherence (the proportion of patients with incident hypertension receiving a diuretic or beta blocker)</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1-year </w:t>
            </w:r>
            <w:r w:rsidR="00E65621">
              <w:rPr>
                <w:rFonts w:eastAsia="Times New Roman" w:cs="Times New Roman"/>
              </w:rPr>
              <w:t>followup</w:t>
            </w:r>
            <w:r w:rsidRPr="00AE0FDD">
              <w:rPr>
                <w:rFonts w:eastAsia="Times New Roman" w:cs="Times New Roman"/>
              </w:rPr>
              <w:t xml:space="preserve">, 2-year </w:t>
            </w:r>
            <w:r w:rsidR="00E65621">
              <w:rPr>
                <w:rFonts w:eastAsia="Times New Roman" w:cs="Times New Roman"/>
              </w:rPr>
              <w:t>followup</w:t>
            </w:r>
          </w:p>
        </w:tc>
        <w:tc>
          <w:tcPr>
            <w:tcW w:w="1849" w:type="dxa"/>
            <w:shd w:val="clear" w:color="auto" w:fill="auto"/>
            <w:hideMark/>
          </w:tcPr>
          <w:p w:rsidR="00824DC8" w:rsidRPr="00AE0FDD" w:rsidRDefault="00824DC8" w:rsidP="00824DC8">
            <w:pPr>
              <w:pStyle w:val="TableText"/>
              <w:rPr>
                <w:rFonts w:eastAsia="Times New Roman" w:cs="Times New Roman"/>
              </w:rPr>
            </w:pP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Soler et al., 2010</w:t>
            </w:r>
            <w:r w:rsidRPr="00AE0FDD">
              <w:rPr>
                <w:rFonts w:ascii="Times New Roman" w:eastAsia="Times New Roman" w:hAnsi="Times New Roman" w:cs="Times New Roman"/>
                <w:noProof/>
                <w:vertAlign w:val="superscript"/>
              </w:rPr>
              <w:t>35</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determine if dissemination of guidelines plus training and use of a portable-device to perform spirometry tests led to improved diagnosis and categorization of COPD, improved management of COPD, and reduction in other diagnostic interventions.</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Multiple </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Spain</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General practices in Spain</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Improved diagnosis, severity classification and management of COPD patients in primary care.</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Data collected starting 45 days post training and continued for 3 months</w:t>
            </w:r>
          </w:p>
        </w:tc>
        <w:tc>
          <w:tcPr>
            <w:tcW w:w="1849" w:type="dxa"/>
            <w:shd w:val="clear" w:color="auto" w:fill="auto"/>
            <w:hideMark/>
          </w:tcPr>
          <w:p w:rsidR="00824DC8" w:rsidRPr="00AE0FDD" w:rsidRDefault="00824DC8" w:rsidP="00824DC8">
            <w:pPr>
              <w:pStyle w:val="TableText"/>
              <w:rPr>
                <w:rFonts w:eastAsia="Times New Roman" w:cs="Times New Roman"/>
              </w:rPr>
            </w:pPr>
          </w:p>
        </w:tc>
      </w:tr>
    </w:tbl>
    <w:p w:rsidR="00824DC8" w:rsidRPr="00AE0FDD" w:rsidRDefault="00824DC8" w:rsidP="00824DC8"/>
    <w:p w:rsidR="00824DC8" w:rsidRPr="00AE0FDD" w:rsidRDefault="00824DC8" w:rsidP="00824DC8">
      <w:pPr>
        <w:pStyle w:val="TableTitle"/>
        <w:rPr>
          <w:sz w:val="24"/>
        </w:rPr>
      </w:pPr>
      <w:r w:rsidRPr="00AE0FDD">
        <w:br w:type="page"/>
      </w:r>
      <w:bookmarkStart w:id="11" w:name="_Toc359424023"/>
      <w:r w:rsidRPr="00AE0FDD">
        <w:lastRenderedPageBreak/>
        <w:t>Table F-1. Key question 2 study design details (continued)</w:t>
      </w:r>
      <w:bookmarkEnd w:id="11"/>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33"/>
        <w:gridCol w:w="2312"/>
        <w:gridCol w:w="1387"/>
        <w:gridCol w:w="1849"/>
        <w:gridCol w:w="1017"/>
        <w:gridCol w:w="1479"/>
        <w:gridCol w:w="132"/>
        <w:gridCol w:w="1902"/>
        <w:gridCol w:w="1849"/>
      </w:tblGrid>
      <w:tr w:rsidR="00824DC8" w:rsidRPr="00AE0FDD" w:rsidTr="00824DC8">
        <w:trPr>
          <w:trHeight w:val="647"/>
        </w:trPr>
        <w:tc>
          <w:tcPr>
            <w:tcW w:w="1033"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312"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Research objective </w:t>
            </w:r>
          </w:p>
        </w:tc>
        <w:tc>
          <w:tcPr>
            <w:tcW w:w="138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Funding Source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Geographic location,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type,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Description </w:t>
            </w:r>
          </w:p>
        </w:tc>
        <w:tc>
          <w:tcPr>
            <w:tcW w:w="101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Study design </w:t>
            </w:r>
          </w:p>
        </w:tc>
        <w:tc>
          <w:tcPr>
            <w:tcW w:w="1611" w:type="dxa"/>
            <w:gridSpan w:val="2"/>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Primary Outcomes</w:t>
            </w:r>
          </w:p>
        </w:tc>
        <w:tc>
          <w:tcPr>
            <w:tcW w:w="1902"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Measurement intervals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Sullivan et al., 2010</w:t>
            </w:r>
            <w:r w:rsidRPr="00AE0FDD">
              <w:rPr>
                <w:rFonts w:ascii="Times New Roman" w:eastAsia="Times New Roman" w:hAnsi="Times New Roman" w:cs="Times New Roman"/>
                <w:noProof/>
                <w:vertAlign w:val="superscript"/>
              </w:rPr>
              <w:t>36</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determine if an interactive web-based train</w:t>
            </w:r>
            <w:r w:rsidR="003A53E3">
              <w:rPr>
                <w:rFonts w:eastAsia="Times New Roman" w:cs="Times New Roman"/>
              </w:rPr>
              <w:t>ing focusing on shared decision</w:t>
            </w:r>
            <w:r w:rsidRPr="00AE0FDD">
              <w:rPr>
                <w:rFonts w:eastAsia="Times New Roman" w:cs="Times New Roman"/>
              </w:rPr>
              <w:t>making for chronic opioid therapy improves knowledge and competence compared with exposure to practice guidelines.</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Pharmaceutical</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Other</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All academic hospitals except for one non-academic, urban hospital</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Residents</w:t>
            </w:r>
            <w:r w:rsidR="003A53E3">
              <w:rPr>
                <w:rFonts w:eastAsia="Times New Roman" w:cs="Times New Roman"/>
              </w:rPr>
              <w:t>’</w:t>
            </w:r>
            <w:r w:rsidRPr="00AE0FDD">
              <w:rPr>
                <w:rFonts w:eastAsia="Times New Roman" w:cs="Times New Roman"/>
              </w:rPr>
              <w:t xml:space="preserve"> knowledge, competence, and satisfaction with managing opioids for CNCP</w:t>
            </w:r>
          </w:p>
        </w:tc>
        <w:tc>
          <w:tcPr>
            <w:tcW w:w="2034" w:type="dxa"/>
            <w:gridSpan w:val="2"/>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Baseline, immediate posttest, 60-day posttest</w:t>
            </w:r>
          </w:p>
        </w:tc>
        <w:tc>
          <w:tcPr>
            <w:tcW w:w="1849" w:type="dxa"/>
            <w:shd w:val="clear" w:color="auto" w:fill="auto"/>
            <w:hideMark/>
          </w:tcPr>
          <w:p w:rsidR="00824DC8" w:rsidRPr="00AE0FDD" w:rsidRDefault="00824DC8" w:rsidP="00824DC8">
            <w:pPr>
              <w:pStyle w:val="TableText"/>
              <w:rPr>
                <w:rFonts w:eastAsia="Times New Roman" w:cs="Times New Roman"/>
              </w:rPr>
            </w:pP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Watson et al., 2002</w:t>
            </w:r>
            <w:r w:rsidRPr="00AE0FDD">
              <w:rPr>
                <w:rFonts w:ascii="Times New Roman" w:eastAsia="Times New Roman" w:hAnsi="Times New Roman" w:cs="Times New Roman"/>
                <w:noProof/>
                <w:vertAlign w:val="superscript"/>
              </w:rPr>
              <w:t>37</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compare the effectiveness and efficiency of two guideline dissemination strategies in community pharmacy settings.</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Scotland</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Community-based settings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All eligible pharmacies (n=121) in the Grampian region of Scotland</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cRCT</w:t>
            </w:r>
          </w:p>
        </w:tc>
        <w:tc>
          <w:tcPr>
            <w:tcW w:w="1611" w:type="dxa"/>
            <w:gridSpan w:val="2"/>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1. proportion of visits resulting in an appropriate sale or non-sale of an anti-fungal product (based upon the guideline recommendations) 2.pharmacists knowledge of the treatment of vaginal candidiasis </w:t>
            </w:r>
          </w:p>
        </w:tc>
        <w:tc>
          <w:tcPr>
            <w:tcW w:w="190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Baseline, immediate posttest timing of posttest not specified</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Wetter et al., 2006</w:t>
            </w:r>
            <w:r w:rsidRPr="00AE0FDD">
              <w:rPr>
                <w:rFonts w:ascii="Times New Roman" w:eastAsia="Times New Roman" w:hAnsi="Times New Roman" w:cs="Times New Roman"/>
                <w:noProof/>
                <w:vertAlign w:val="superscript"/>
              </w:rPr>
              <w:t>38</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evaluate 1) paid media approaches for increasing the utilization of the CIS Spanish-language smoking cessation counseling services, and 2) the efficacy of an enhanced counseling intervention for helping Spanish-speaking smokers quit.</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United States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Community-based settings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At home over the phone</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RCT</w:t>
            </w:r>
          </w:p>
        </w:tc>
        <w:tc>
          <w:tcPr>
            <w:tcW w:w="1611" w:type="dxa"/>
            <w:gridSpan w:val="2"/>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Smoking abstinence</w:t>
            </w:r>
          </w:p>
        </w:tc>
        <w:tc>
          <w:tcPr>
            <w:tcW w:w="190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Baseline, 5-week </w:t>
            </w:r>
            <w:r w:rsidR="00E65621">
              <w:rPr>
                <w:rFonts w:eastAsia="Times New Roman" w:cs="Times New Roman"/>
              </w:rPr>
              <w:t>followup</w:t>
            </w:r>
            <w:r w:rsidRPr="00AE0FDD">
              <w:rPr>
                <w:rFonts w:eastAsia="Times New Roman" w:cs="Times New Roman"/>
              </w:rPr>
              <w:t xml:space="preserve">, 12-week </w:t>
            </w:r>
            <w:r w:rsidR="00E65621">
              <w:rPr>
                <w:rFonts w:eastAsia="Times New Roman" w:cs="Times New Roman"/>
              </w:rPr>
              <w:t>followup</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Wolters et al., 2005</w:t>
            </w:r>
            <w:r w:rsidRPr="00AE0FDD">
              <w:rPr>
                <w:rFonts w:ascii="Times New Roman" w:eastAsia="Times New Roman" w:hAnsi="Times New Roman" w:cs="Times New Roman"/>
                <w:noProof/>
                <w:vertAlign w:val="superscript"/>
              </w:rPr>
              <w:t>39</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xml:space="preserve">To determine the effect of a distance learning program on general practice management of men with lower urinary tract symptoms. </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Academic</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Netherlands</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 in the Netherlands</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cRCT</w:t>
            </w:r>
          </w:p>
        </w:tc>
        <w:tc>
          <w:tcPr>
            <w:tcW w:w="1611" w:type="dxa"/>
            <w:gridSpan w:val="2"/>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of PSA requests</w:t>
            </w:r>
            <w:r w:rsidRPr="00AE0FDD">
              <w:rPr>
                <w:rFonts w:eastAsia="Times New Roman" w:cs="Times New Roman"/>
              </w:rPr>
              <w:br/>
              <w:t>Medication prescribed</w:t>
            </w:r>
            <w:r w:rsidRPr="00AE0FDD">
              <w:rPr>
                <w:rFonts w:eastAsia="Times New Roman" w:cs="Times New Roman"/>
              </w:rPr>
              <w:br/>
              <w:t>Referral rate to a urologist</w:t>
            </w:r>
          </w:p>
        </w:tc>
        <w:tc>
          <w:tcPr>
            <w:tcW w:w="190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Baseline</w:t>
            </w:r>
            <w:r w:rsidRPr="00AE0FDD">
              <w:rPr>
                <w:rFonts w:eastAsia="Times New Roman" w:cs="Times New Roman"/>
              </w:rPr>
              <w:br/>
              <w:t>Up to 1 year post intervention</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 </w:t>
            </w:r>
          </w:p>
        </w:tc>
      </w:tr>
    </w:tbl>
    <w:p w:rsidR="00824DC8" w:rsidRPr="00AE0FDD" w:rsidRDefault="00824DC8" w:rsidP="00824DC8"/>
    <w:p w:rsidR="00824DC8" w:rsidRPr="00AE0FDD" w:rsidRDefault="00824DC8" w:rsidP="00824DC8">
      <w:pPr>
        <w:pStyle w:val="TableTitle"/>
        <w:rPr>
          <w:sz w:val="24"/>
        </w:rPr>
      </w:pPr>
      <w:r w:rsidRPr="00AE0FDD">
        <w:br w:type="page"/>
      </w:r>
      <w:bookmarkStart w:id="12" w:name="_Toc359424024"/>
      <w:r w:rsidRPr="00AE0FDD">
        <w:lastRenderedPageBreak/>
        <w:t>Table F-1. Key question 2 study design details (continued)</w:t>
      </w:r>
      <w:bookmarkEnd w:id="12"/>
    </w:p>
    <w:tbl>
      <w:tblPr>
        <w:tblW w:w="12960" w:type="dxa"/>
        <w:tblBorders>
          <w:top w:val="single" w:sz="12" w:space="0" w:color="auto"/>
          <w:bottom w:val="single" w:sz="12" w:space="0" w:color="auto"/>
          <w:insideH w:val="single" w:sz="8" w:space="0" w:color="auto"/>
        </w:tblBorders>
        <w:tblLayout w:type="fixed"/>
        <w:tblCellMar>
          <w:left w:w="29" w:type="dxa"/>
          <w:right w:w="29" w:type="dxa"/>
        </w:tblCellMar>
        <w:tblLook w:val="04A0"/>
      </w:tblPr>
      <w:tblGrid>
        <w:gridCol w:w="1033"/>
        <w:gridCol w:w="2312"/>
        <w:gridCol w:w="1387"/>
        <w:gridCol w:w="1849"/>
        <w:gridCol w:w="1017"/>
        <w:gridCol w:w="1479"/>
        <w:gridCol w:w="2034"/>
        <w:gridCol w:w="1849"/>
      </w:tblGrid>
      <w:tr w:rsidR="00824DC8" w:rsidRPr="00AE0FDD" w:rsidTr="00824DC8">
        <w:trPr>
          <w:trHeight w:val="647"/>
        </w:trPr>
        <w:tc>
          <w:tcPr>
            <w:tcW w:w="1033"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Author,</w:t>
            </w:r>
          </w:p>
          <w:p w:rsidR="00824DC8" w:rsidRPr="00AE0FDD" w:rsidRDefault="00824DC8" w:rsidP="00824DC8">
            <w:pPr>
              <w:pStyle w:val="TableText"/>
              <w:rPr>
                <w:rFonts w:eastAsia="Times New Roman" w:cs="Times New Roman"/>
                <w:b/>
              </w:rPr>
            </w:pPr>
            <w:r w:rsidRPr="00AE0FDD">
              <w:rPr>
                <w:rFonts w:eastAsia="Times New Roman" w:cs="Times New Roman"/>
                <w:b/>
              </w:rPr>
              <w:t>Year</w:t>
            </w:r>
          </w:p>
        </w:tc>
        <w:tc>
          <w:tcPr>
            <w:tcW w:w="2312"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Research objective </w:t>
            </w:r>
          </w:p>
        </w:tc>
        <w:tc>
          <w:tcPr>
            <w:tcW w:w="138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Funding Source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Geographic location,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type, </w:t>
            </w:r>
          </w:p>
          <w:p w:rsidR="00824DC8" w:rsidRPr="00AE0FDD" w:rsidRDefault="00824DC8" w:rsidP="00824DC8">
            <w:pPr>
              <w:pStyle w:val="TableText"/>
              <w:rPr>
                <w:rFonts w:eastAsia="Times New Roman" w:cs="Times New Roman"/>
                <w:b/>
              </w:rPr>
            </w:pPr>
            <w:r w:rsidRPr="00AE0FDD">
              <w:rPr>
                <w:rFonts w:eastAsia="Times New Roman" w:cs="Times New Roman"/>
                <w:b/>
              </w:rPr>
              <w:t xml:space="preserve">Setting Description </w:t>
            </w:r>
          </w:p>
        </w:tc>
        <w:tc>
          <w:tcPr>
            <w:tcW w:w="1017"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Study design </w:t>
            </w:r>
          </w:p>
        </w:tc>
        <w:tc>
          <w:tcPr>
            <w:tcW w:w="147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Primary Outcomes</w:t>
            </w:r>
          </w:p>
        </w:tc>
        <w:tc>
          <w:tcPr>
            <w:tcW w:w="2034"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 xml:space="preserve">Measurement intervals </w:t>
            </w:r>
          </w:p>
        </w:tc>
        <w:tc>
          <w:tcPr>
            <w:tcW w:w="1849" w:type="dxa"/>
            <w:shd w:val="clear" w:color="auto" w:fill="auto"/>
            <w:vAlign w:val="bottom"/>
            <w:hideMark/>
          </w:tcPr>
          <w:p w:rsidR="00824DC8" w:rsidRPr="00AE0FDD" w:rsidRDefault="00824DC8" w:rsidP="00824DC8">
            <w:pPr>
              <w:pStyle w:val="TableText"/>
              <w:rPr>
                <w:rFonts w:eastAsia="Times New Roman" w:cs="Times New Roman"/>
                <w:b/>
              </w:rPr>
            </w:pPr>
            <w:r w:rsidRPr="00AE0FDD">
              <w:rPr>
                <w:rFonts w:eastAsia="Times New Roman" w:cs="Times New Roman"/>
                <w:b/>
              </w:rPr>
              <w:t>Other Notes</w:t>
            </w:r>
          </w:p>
        </w:tc>
      </w:tr>
      <w:tr w:rsidR="00824DC8" w:rsidRPr="00AE0FDD" w:rsidTr="00824DC8">
        <w:trPr>
          <w:trHeight w:val="20"/>
        </w:trPr>
        <w:tc>
          <w:tcPr>
            <w:tcW w:w="1033"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Wright et al., 2008</w:t>
            </w:r>
            <w:r w:rsidRPr="00AE0FDD">
              <w:rPr>
                <w:rFonts w:ascii="Times New Roman" w:eastAsia="Times New Roman" w:hAnsi="Times New Roman" w:cs="Times New Roman"/>
                <w:noProof/>
                <w:vertAlign w:val="superscript"/>
              </w:rPr>
              <w:t>40</w:t>
            </w:r>
          </w:p>
        </w:tc>
        <w:tc>
          <w:tcPr>
            <w:tcW w:w="2312"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To examine the effectiveness of local and expert opinion leaders on improving lymph node assessment for patients with stage II colon cancer.</w:t>
            </w:r>
          </w:p>
        </w:tc>
        <w:tc>
          <w:tcPr>
            <w:tcW w:w="138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Government, foundation, and academic</w:t>
            </w:r>
          </w:p>
        </w:tc>
        <w:tc>
          <w:tcPr>
            <w:tcW w:w="184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Canada</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Clinical (In- and Out-Patient)</w:t>
            </w:r>
          </w:p>
          <w:p w:rsidR="00824DC8" w:rsidRPr="00AE0FDD" w:rsidRDefault="00824DC8" w:rsidP="00824DC8">
            <w:pPr>
              <w:pStyle w:val="TableText"/>
              <w:rPr>
                <w:rFonts w:eastAsia="Times New Roman" w:cs="Times New Roman"/>
              </w:rPr>
            </w:pPr>
          </w:p>
          <w:p w:rsidR="00824DC8" w:rsidRPr="00AE0FDD" w:rsidRDefault="00824DC8" w:rsidP="00824DC8">
            <w:pPr>
              <w:pStyle w:val="TableText"/>
              <w:rPr>
                <w:rFonts w:eastAsia="Times New Roman" w:cs="Times New Roman"/>
              </w:rPr>
            </w:pPr>
            <w:r w:rsidRPr="00AE0FDD">
              <w:rPr>
                <w:rFonts w:eastAsia="Times New Roman" w:cs="Times New Roman"/>
              </w:rPr>
              <w:t>Academic and non-academic hospitals in Ontario</w:t>
            </w:r>
          </w:p>
        </w:tc>
        <w:tc>
          <w:tcPr>
            <w:tcW w:w="1017"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cRCT</w:t>
            </w:r>
          </w:p>
        </w:tc>
        <w:tc>
          <w:tcPr>
            <w:tcW w:w="1479"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Mean # of lymph nodes assessed in patients with stage II colon cancer; 2) the proportion of cases staged with a minimum of 12 lymph nodes</w:t>
            </w:r>
          </w:p>
        </w:tc>
        <w:tc>
          <w:tcPr>
            <w:tcW w:w="2034" w:type="dxa"/>
            <w:shd w:val="clear" w:color="auto" w:fill="auto"/>
            <w:hideMark/>
          </w:tcPr>
          <w:p w:rsidR="00824DC8" w:rsidRPr="00AE0FDD" w:rsidRDefault="00824DC8" w:rsidP="00824DC8">
            <w:pPr>
              <w:pStyle w:val="TableText"/>
              <w:rPr>
                <w:rFonts w:eastAsia="Times New Roman" w:cs="Times New Roman"/>
              </w:rPr>
            </w:pPr>
            <w:r w:rsidRPr="00AE0FDD">
              <w:rPr>
                <w:rFonts w:eastAsia="Times New Roman" w:cs="Times New Roman"/>
              </w:rPr>
              <w:t>360 days before intervention, 360 days after intervention</w:t>
            </w:r>
          </w:p>
        </w:tc>
        <w:tc>
          <w:tcPr>
            <w:tcW w:w="1849" w:type="dxa"/>
            <w:shd w:val="clear" w:color="auto" w:fill="auto"/>
            <w:hideMark/>
          </w:tcPr>
          <w:p w:rsidR="00824DC8" w:rsidRPr="00AE0FDD" w:rsidRDefault="00824DC8" w:rsidP="00824DC8">
            <w:pPr>
              <w:pStyle w:val="TableText"/>
              <w:rPr>
                <w:rFonts w:eastAsia="Times New Roman" w:cs="Times New Roman"/>
              </w:rPr>
            </w:pPr>
          </w:p>
        </w:tc>
      </w:tr>
    </w:tbl>
    <w:p w:rsidR="00824DC8" w:rsidRPr="00AE0FDD" w:rsidRDefault="00824DC8" w:rsidP="00824DC8">
      <w:pPr>
        <w:pStyle w:val="TableNote"/>
      </w:pPr>
      <w:r w:rsidRPr="00AE0FDD">
        <w:t xml:space="preserve">Abbreviations: CaP = Cancer of the Prostate; CIS=Computer Information Service; CNCP = chronic non-cancer pain; COPD = Chronic obstructive pulmonary disease; cRCT = clustered randomized controlled trial; HMO = health maintenance organization; PSA = </w:t>
      </w:r>
      <w:r w:rsidRPr="00AE0FDD">
        <w:rPr>
          <w:rStyle w:val="st1"/>
        </w:rPr>
        <w:t xml:space="preserve">Prostate-specific antigen; </w:t>
      </w:r>
      <w:r w:rsidRPr="00AE0FDD">
        <w:t>RCT = randomized controlled trial; U.S. = United States; USA = United States of America.</w:t>
      </w:r>
      <w:bookmarkEnd w:id="0"/>
    </w:p>
    <w:sectPr w:rsidR="00824DC8" w:rsidRPr="00AE0FDD" w:rsidSect="00470A29">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AB7" w:rsidRDefault="002A5AB7">
      <w:r>
        <w:separator/>
      </w:r>
    </w:p>
  </w:endnote>
  <w:endnote w:type="continuationSeparator" w:id="0">
    <w:p w:rsidR="002A5AB7" w:rsidRDefault="002A5A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Bold">
    <w:panose1 w:val="020B07040202020202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416" w:rsidRPr="00C14416" w:rsidRDefault="00C14416">
    <w:pPr>
      <w:pStyle w:val="Footer"/>
      <w:jc w:val="center"/>
      <w:rPr>
        <w:rFonts w:ascii="Times New Roman" w:hAnsi="Times New Roman"/>
        <w:sz w:val="24"/>
        <w:szCs w:val="24"/>
      </w:rPr>
    </w:pPr>
    <w:r w:rsidRPr="00C14416">
      <w:rPr>
        <w:rFonts w:ascii="Times New Roman" w:hAnsi="Times New Roman"/>
        <w:sz w:val="24"/>
        <w:szCs w:val="24"/>
      </w:rPr>
      <w:t>F-</w:t>
    </w:r>
    <w:sdt>
      <w:sdtPr>
        <w:rPr>
          <w:rFonts w:ascii="Times New Roman" w:hAnsi="Times New Roman"/>
          <w:sz w:val="24"/>
          <w:szCs w:val="24"/>
        </w:rPr>
        <w:id w:val="3426295"/>
        <w:docPartObj>
          <w:docPartGallery w:val="Page Numbers (Bottom of Page)"/>
          <w:docPartUnique/>
        </w:docPartObj>
      </w:sdtPr>
      <w:sdtContent>
        <w:r w:rsidRPr="00C14416">
          <w:rPr>
            <w:rFonts w:ascii="Times New Roman" w:hAnsi="Times New Roman"/>
            <w:sz w:val="24"/>
            <w:szCs w:val="24"/>
          </w:rPr>
          <w:fldChar w:fldCharType="begin"/>
        </w:r>
        <w:r w:rsidRPr="00C14416">
          <w:rPr>
            <w:rFonts w:ascii="Times New Roman" w:hAnsi="Times New Roman"/>
            <w:sz w:val="24"/>
            <w:szCs w:val="24"/>
          </w:rPr>
          <w:instrText xml:space="preserve"> PAGE   \* MERGEFORMAT </w:instrText>
        </w:r>
        <w:r w:rsidRPr="00C14416">
          <w:rPr>
            <w:rFonts w:ascii="Times New Roman" w:hAnsi="Times New Roman"/>
            <w:sz w:val="24"/>
            <w:szCs w:val="24"/>
          </w:rPr>
          <w:fldChar w:fldCharType="separate"/>
        </w:r>
        <w:r w:rsidR="000108FB">
          <w:rPr>
            <w:rFonts w:ascii="Times New Roman" w:hAnsi="Times New Roman"/>
            <w:noProof/>
            <w:sz w:val="24"/>
            <w:szCs w:val="24"/>
          </w:rPr>
          <w:t>1</w:t>
        </w:r>
        <w:r w:rsidRPr="00C14416">
          <w:rPr>
            <w:rFonts w:ascii="Times New Roman" w:hAnsi="Times New Roman"/>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AB7" w:rsidRDefault="002A5AB7">
      <w:r>
        <w:separator/>
      </w:r>
    </w:p>
  </w:footnote>
  <w:footnote w:type="continuationSeparator" w:id="0">
    <w:p w:rsidR="002A5AB7" w:rsidRDefault="002A5A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CFBA4"/>
    <w:lvl w:ilvl="0">
      <w:start w:val="1"/>
      <w:numFmt w:val="decimal"/>
      <w:lvlText w:val="%1."/>
      <w:lvlJc w:val="left"/>
      <w:pPr>
        <w:tabs>
          <w:tab w:val="num" w:pos="1800"/>
        </w:tabs>
        <w:ind w:left="1800" w:hanging="360"/>
      </w:pPr>
    </w:lvl>
  </w:abstractNum>
  <w:abstractNum w:abstractNumId="1">
    <w:nsid w:val="FFFFFF7D"/>
    <w:multiLevelType w:val="singleLevel"/>
    <w:tmpl w:val="E38C1F3E"/>
    <w:lvl w:ilvl="0">
      <w:start w:val="1"/>
      <w:numFmt w:val="decimal"/>
      <w:lvlText w:val="%1."/>
      <w:lvlJc w:val="left"/>
      <w:pPr>
        <w:tabs>
          <w:tab w:val="num" w:pos="1440"/>
        </w:tabs>
        <w:ind w:left="1440" w:hanging="360"/>
      </w:pPr>
    </w:lvl>
  </w:abstractNum>
  <w:abstractNum w:abstractNumId="2">
    <w:nsid w:val="FFFFFF7E"/>
    <w:multiLevelType w:val="singleLevel"/>
    <w:tmpl w:val="CE60EA9C"/>
    <w:lvl w:ilvl="0">
      <w:start w:val="1"/>
      <w:numFmt w:val="decimal"/>
      <w:lvlText w:val="%1."/>
      <w:lvlJc w:val="left"/>
      <w:pPr>
        <w:tabs>
          <w:tab w:val="num" w:pos="1080"/>
        </w:tabs>
        <w:ind w:left="1080" w:hanging="360"/>
      </w:pPr>
    </w:lvl>
  </w:abstractNum>
  <w:abstractNum w:abstractNumId="3">
    <w:nsid w:val="FFFFFF7F"/>
    <w:multiLevelType w:val="singleLevel"/>
    <w:tmpl w:val="0994CE70"/>
    <w:lvl w:ilvl="0">
      <w:start w:val="1"/>
      <w:numFmt w:val="decimal"/>
      <w:lvlText w:val="%1."/>
      <w:lvlJc w:val="left"/>
      <w:pPr>
        <w:tabs>
          <w:tab w:val="num" w:pos="720"/>
        </w:tabs>
        <w:ind w:left="720" w:hanging="360"/>
      </w:pPr>
    </w:lvl>
  </w:abstractNum>
  <w:abstractNum w:abstractNumId="4">
    <w:nsid w:val="FFFFFF80"/>
    <w:multiLevelType w:val="singleLevel"/>
    <w:tmpl w:val="BFE095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1C869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6AA3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9C11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12CAF0"/>
    <w:lvl w:ilvl="0">
      <w:start w:val="1"/>
      <w:numFmt w:val="decimal"/>
      <w:lvlText w:val="%1."/>
      <w:lvlJc w:val="left"/>
      <w:pPr>
        <w:tabs>
          <w:tab w:val="num" w:pos="360"/>
        </w:tabs>
        <w:ind w:left="360" w:hanging="360"/>
      </w:pPr>
    </w:lvl>
  </w:abstractNum>
  <w:abstractNum w:abstractNumId="9">
    <w:nsid w:val="FFFFFF89"/>
    <w:multiLevelType w:val="singleLevel"/>
    <w:tmpl w:val="E954F1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225514"/>
    <w:multiLevelType w:val="hybridMultilevel"/>
    <w:tmpl w:val="6018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370BD3"/>
    <w:multiLevelType w:val="hybridMultilevel"/>
    <w:tmpl w:val="28B639B6"/>
    <w:lvl w:ilvl="0" w:tplc="5E10EF1A">
      <w:start w:val="1"/>
      <w:numFmt w:val="bullet"/>
      <w:pStyle w:val="bullets-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B1F4A25"/>
    <w:multiLevelType w:val="hybridMultilevel"/>
    <w:tmpl w:val="89CCCF92"/>
    <w:lvl w:ilvl="0" w:tplc="93B61B1E">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noProof w:val="0"/>
        <w:vanish w:val="0"/>
        <w:spacing w:val="0"/>
        <w:kern w:val="0"/>
        <w:position w:val="0"/>
        <w:sz w:val="18"/>
        <w:u w:val="none"/>
        <w:vertAlign w:val="baseline"/>
        <w:em w:val="none"/>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nsid w:val="1DB55D57"/>
    <w:multiLevelType w:val="hybridMultilevel"/>
    <w:tmpl w:val="DCA68B44"/>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nsid w:val="21421E83"/>
    <w:multiLevelType w:val="hybridMultilevel"/>
    <w:tmpl w:val="98ACAA0C"/>
    <w:lvl w:ilvl="0" w:tplc="FFF2A7E0">
      <w:start w:val="1"/>
      <w:numFmt w:val="decimal"/>
      <w:pStyle w:val="Studies2"/>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1C83658"/>
    <w:multiLevelType w:val="hybridMultilevel"/>
    <w:tmpl w:val="BF826C08"/>
    <w:lvl w:ilvl="0" w:tplc="C562E8B4">
      <w:start w:val="1"/>
      <w:numFmt w:val="bullet"/>
      <w:pStyle w:val="HeadingAbullets"/>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8">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E2C0D90"/>
    <w:multiLevelType w:val="hybridMultilevel"/>
    <w:tmpl w:val="BC9417C6"/>
    <w:lvl w:ilvl="0" w:tplc="81ECC354">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0F01A1"/>
    <w:multiLevelType w:val="hybridMultilevel"/>
    <w:tmpl w:val="652013A0"/>
    <w:lvl w:ilvl="0" w:tplc="DB4CA730">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8D3E02"/>
    <w:multiLevelType w:val="hybridMultilevel"/>
    <w:tmpl w:val="29642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38F3C98"/>
    <w:multiLevelType w:val="hybridMultilevel"/>
    <w:tmpl w:val="32122FA8"/>
    <w:lvl w:ilvl="0" w:tplc="04090003">
      <w:start w:val="1"/>
      <w:numFmt w:val="bullet"/>
      <w:lvlText w:val="o"/>
      <w:lvlJc w:val="left"/>
      <w:pPr>
        <w:ind w:left="720" w:hanging="360"/>
      </w:pPr>
      <w:rPr>
        <w:rFonts w:ascii="Courier New" w:hAnsi="Courier New" w:cs="Courier New" w:hint="default"/>
      </w:rPr>
    </w:lvl>
    <w:lvl w:ilvl="1" w:tplc="BB565B8A">
      <w:start w:val="1"/>
      <w:numFmt w:val="bullet"/>
      <w:pStyle w:val="bullet-4"/>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13C59"/>
    <w:multiLevelType w:val="hybridMultilevel"/>
    <w:tmpl w:val="02C0D934"/>
    <w:lvl w:ilvl="0" w:tplc="452C20E8">
      <w:start w:val="1"/>
      <w:numFmt w:val="bullet"/>
      <w:pStyle w:val="text-bullets3"/>
      <w:lvlText w:val="○"/>
      <w:lvlJc w:val="left"/>
      <w:pPr>
        <w:ind w:left="1440" w:hanging="360"/>
      </w:pPr>
      <w:rPr>
        <w:rFonts w:ascii="Courier New" w:hAnsi="Courier New" w:hint="default"/>
        <w:color w:val="auto"/>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6CB24F7"/>
    <w:multiLevelType w:val="hybridMultilevel"/>
    <w:tmpl w:val="CD8E6496"/>
    <w:lvl w:ilvl="0" w:tplc="04090001">
      <w:start w:val="1"/>
      <w:numFmt w:val="bullet"/>
      <w:lvlText w:val=""/>
      <w:lvlJc w:val="left"/>
      <w:pPr>
        <w:ind w:left="392" w:hanging="360"/>
      </w:pPr>
      <w:rPr>
        <w:rFonts w:ascii="Symbol" w:hAnsi="Symbol" w:hint="default"/>
      </w:rPr>
    </w:lvl>
    <w:lvl w:ilvl="1" w:tplc="F0629658">
      <w:start w:val="1"/>
      <w:numFmt w:val="bullet"/>
      <w:pStyle w:val="tablebullets-2"/>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5">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E8F0F1E"/>
    <w:multiLevelType w:val="hybridMultilevel"/>
    <w:tmpl w:val="5DDC3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6F6083"/>
    <w:multiLevelType w:val="hybridMultilevel"/>
    <w:tmpl w:val="19C29C62"/>
    <w:lvl w:ilvl="0" w:tplc="0180ED72">
      <w:start w:val="1"/>
      <w:numFmt w:val="bullet"/>
      <w:pStyle w:val="Bullet1"/>
      <w:lvlText w:val=""/>
      <w:lvlJc w:val="left"/>
      <w:pPr>
        <w:ind w:left="720" w:hanging="360"/>
      </w:pPr>
      <w:rPr>
        <w:rFonts w:ascii="Symbol" w:hAnsi="Symbol" w:hint="default"/>
      </w:rPr>
    </w:lvl>
    <w:lvl w:ilvl="1" w:tplc="17DCDC2A">
      <w:start w:val="1"/>
      <w:numFmt w:val="bullet"/>
      <w:pStyle w:val="Bullet2"/>
      <w:lvlText w:val=""/>
      <w:lvlJc w:val="left"/>
      <w:pPr>
        <w:ind w:left="1440" w:hanging="360"/>
      </w:pPr>
      <w:rPr>
        <w:rFonts w:ascii="Symbol" w:hAnsi="Symbol"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4617B1"/>
    <w:multiLevelType w:val="hybridMultilevel"/>
    <w:tmpl w:val="4880BF38"/>
    <w:lvl w:ilvl="0" w:tplc="5BBCBF7E">
      <w:start w:val="1"/>
      <w:numFmt w:val="bullet"/>
      <w:pStyle w:val="KeyQuestion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365632"/>
    <w:multiLevelType w:val="hybridMultilevel"/>
    <w:tmpl w:val="E76A612E"/>
    <w:lvl w:ilvl="0" w:tplc="8F6484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5C78E2"/>
    <w:multiLevelType w:val="hybridMultilevel"/>
    <w:tmpl w:val="97B6A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5"/>
  </w:num>
  <w:num w:numId="3">
    <w:abstractNumId w:val="25"/>
  </w:num>
  <w:num w:numId="4">
    <w:abstractNumId w:val="29"/>
  </w:num>
  <w:num w:numId="5">
    <w:abstractNumId w:val="20"/>
  </w:num>
  <w:num w:numId="6">
    <w:abstractNumId w:val="11"/>
  </w:num>
  <w:num w:numId="7">
    <w:abstractNumId w:val="23"/>
  </w:num>
  <w:num w:numId="8">
    <w:abstractNumId w:val="13"/>
  </w:num>
  <w:num w:numId="9">
    <w:abstractNumId w:val="18"/>
  </w:num>
  <w:num w:numId="10">
    <w:abstractNumId w:val="14"/>
  </w:num>
  <w:num w:numId="11">
    <w:abstractNumId w:val="17"/>
  </w:num>
  <w:num w:numId="12">
    <w:abstractNumId w:val="22"/>
  </w:num>
  <w:num w:numId="13">
    <w:abstractNumId w:val="26"/>
  </w:num>
  <w:num w:numId="14">
    <w:abstractNumId w:val="31"/>
  </w:num>
  <w:num w:numId="15">
    <w:abstractNumId w:val="12"/>
  </w:num>
  <w:num w:numId="16">
    <w:abstractNumId w:val="24"/>
  </w:num>
  <w:num w:numId="17">
    <w:abstractNumId w:val="16"/>
  </w:num>
  <w:num w:numId="18">
    <w:abstractNumId w:val="9"/>
  </w:num>
  <w:num w:numId="19">
    <w:abstractNumId w:val="19"/>
  </w:num>
  <w:num w:numId="20">
    <w:abstractNumId w:val="10"/>
  </w:num>
  <w:num w:numId="21">
    <w:abstractNumId w:val="21"/>
  </w:num>
  <w:num w:numId="22">
    <w:abstractNumId w:val="30"/>
  </w:num>
  <w:num w:numId="23">
    <w:abstractNumId w:val="27"/>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activeWritingStyle w:appName="MSWord" w:lang="en-US" w:vendorID="64" w:dllVersion="131078" w:nlCheck="1" w:checkStyle="0"/>
  <w:activeWritingStyle w:appName="MSWord" w:lang="fr-FR" w:vendorID="64" w:dllVersion="131078" w:nlCheck="1" w:checkStyle="1"/>
  <w:activeWritingStyle w:appName="MSWord" w:lang="en-CA" w:vendorID="64" w:dllVersion="131078" w:nlCheck="1" w:checkStyle="1"/>
  <w:stylePaneFormatFilter w:val="1024"/>
  <w:stylePaneSortMethod w:val="0000"/>
  <w:defaultTabStop w:val="720"/>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AHRQ EPC EndNote styl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drzd2z2tzd5z9te00ropvf2md2wpvw0rd9rr&quot;&gt;CEDT RCT Working database-recover&lt;record-ids&gt;&lt;item&gt;619&lt;/item&gt;&lt;item&gt;749&lt;/item&gt;&lt;item&gt;769&lt;/item&gt;&lt;item&gt;808&lt;/item&gt;&lt;item&gt;811&lt;/item&gt;&lt;item&gt;822&lt;/item&gt;&lt;item&gt;878&lt;/item&gt;&lt;item&gt;1067&lt;/item&gt;&lt;item&gt;1152&lt;/item&gt;&lt;item&gt;1274&lt;/item&gt;&lt;item&gt;1314&lt;/item&gt;&lt;item&gt;1538&lt;/item&gt;&lt;item&gt;1850&lt;/item&gt;&lt;item&gt;2110&lt;/item&gt;&lt;item&gt;2187&lt;/item&gt;&lt;item&gt;2256&lt;/item&gt;&lt;item&gt;2417&lt;/item&gt;&lt;item&gt;2499&lt;/item&gt;&lt;item&gt;3161&lt;/item&gt;&lt;item&gt;3183&lt;/item&gt;&lt;item&gt;3482&lt;/item&gt;&lt;item&gt;3543&lt;/item&gt;&lt;item&gt;3642&lt;/item&gt;&lt;item&gt;3865&lt;/item&gt;&lt;item&gt;3983&lt;/item&gt;&lt;item&gt;4047&lt;/item&gt;&lt;item&gt;4068&lt;/item&gt;&lt;item&gt;4912&lt;/item&gt;&lt;item&gt;4913&lt;/item&gt;&lt;item&gt;4960&lt;/item&gt;&lt;item&gt;5106&lt;/item&gt;&lt;item&gt;5155&lt;/item&gt;&lt;item&gt;5182&lt;/item&gt;&lt;item&gt;5261&lt;/item&gt;&lt;item&gt;5348&lt;/item&gt;&lt;item&gt;5399&lt;/item&gt;&lt;item&gt;5440&lt;/item&gt;&lt;item&gt;5444&lt;/item&gt;&lt;item&gt;5511&lt;/item&gt;&lt;item&gt;5515&lt;/item&gt;&lt;item&gt;5617&lt;/item&gt;&lt;item&gt;5649&lt;/item&gt;&lt;item&gt;5715&lt;/item&gt;&lt;item&gt;5815&lt;/item&gt;&lt;item&gt;5816&lt;/item&gt;&lt;item&gt;5922&lt;/item&gt;&lt;item&gt;5923&lt;/item&gt;&lt;item&gt;5977&lt;/item&gt;&lt;item&gt;5979&lt;/item&gt;&lt;item&gt;5980&lt;/item&gt;&lt;item&gt;5983&lt;/item&gt;&lt;item&gt;5984&lt;/item&gt;&lt;item&gt;5986&lt;/item&gt;&lt;item&gt;5989&lt;/item&gt;&lt;item&gt;5992&lt;/item&gt;&lt;item&gt;5993&lt;/item&gt;&lt;item&gt;5999&lt;/item&gt;&lt;item&gt;6003&lt;/item&gt;&lt;item&gt;6025&lt;/item&gt;&lt;item&gt;6028&lt;/item&gt;&lt;item&gt;6035&lt;/item&gt;&lt;item&gt;6037&lt;/item&gt;&lt;item&gt;6053&lt;/item&gt;&lt;item&gt;6054&lt;/item&gt;&lt;item&gt;6062&lt;/item&gt;&lt;item&gt;6063&lt;/item&gt;&lt;item&gt;6069&lt;/item&gt;&lt;item&gt;6070&lt;/item&gt;&lt;item&gt;6072&lt;/item&gt;&lt;item&gt;6073&lt;/item&gt;&lt;item&gt;6074&lt;/item&gt;&lt;item&gt;6075&lt;/item&gt;&lt;item&gt;6076&lt;/item&gt;&lt;item&gt;6077&lt;/item&gt;&lt;item&gt;6078&lt;/item&gt;&lt;item&gt;6079&lt;/item&gt;&lt;item&gt;6082&lt;/item&gt;&lt;item&gt;6083&lt;/item&gt;&lt;item&gt;6084&lt;/item&gt;&lt;item&gt;6085&lt;/item&gt;&lt;item&gt;6086&lt;/item&gt;&lt;item&gt;6087&lt;/item&gt;&lt;item&gt;6088&lt;/item&gt;&lt;item&gt;6089&lt;/item&gt;&lt;item&gt;6090&lt;/item&gt;&lt;item&gt;6091&lt;/item&gt;&lt;item&gt;6092&lt;/item&gt;&lt;item&gt;6093&lt;/item&gt;&lt;item&gt;6094&lt;/item&gt;&lt;item&gt;6095&lt;/item&gt;&lt;item&gt;6096&lt;/item&gt;&lt;item&gt;6097&lt;/item&gt;&lt;item&gt;6098&lt;/item&gt;&lt;item&gt;6100&lt;/item&gt;&lt;item&gt;6101&lt;/item&gt;&lt;item&gt;6103&lt;/item&gt;&lt;item&gt;6105&lt;/item&gt;&lt;item&gt;6106&lt;/item&gt;&lt;item&gt;6107&lt;/item&gt;&lt;item&gt;6108&lt;/item&gt;&lt;item&gt;6109&lt;/item&gt;&lt;item&gt;6110&lt;/item&gt;&lt;item&gt;6111&lt;/item&gt;&lt;item&gt;6112&lt;/item&gt;&lt;item&gt;6114&lt;/item&gt;&lt;item&gt;6115&lt;/item&gt;&lt;item&gt;6116&lt;/item&gt;&lt;item&gt;6117&lt;/item&gt;&lt;item&gt;6119&lt;/item&gt;&lt;item&gt;6120&lt;/item&gt;&lt;item&gt;6121&lt;/item&gt;&lt;item&gt;6123&lt;/item&gt;&lt;item&gt;6125&lt;/item&gt;&lt;item&gt;6126&lt;/item&gt;&lt;item&gt;6128&lt;/item&gt;&lt;item&gt;6129&lt;/item&gt;&lt;item&gt;6130&lt;/item&gt;&lt;item&gt;6131&lt;/item&gt;&lt;item&gt;6132&lt;/item&gt;&lt;item&gt;6133&lt;/item&gt;&lt;item&gt;6134&lt;/item&gt;&lt;item&gt;6135&lt;/item&gt;&lt;item&gt;6136&lt;/item&gt;&lt;item&gt;6137&lt;/item&gt;&lt;item&gt;6138&lt;/item&gt;&lt;item&gt;6139&lt;/item&gt;&lt;item&gt;6141&lt;/item&gt;&lt;item&gt;6142&lt;/item&gt;&lt;item&gt;6163&lt;/item&gt;&lt;item&gt;6164&lt;/item&gt;&lt;item&gt;6165&lt;/item&gt;&lt;item&gt;6166&lt;/item&gt;&lt;item&gt;6167&lt;/item&gt;&lt;item&gt;6168&lt;/item&gt;&lt;item&gt;6169&lt;/item&gt;&lt;item&gt;6170&lt;/item&gt;&lt;item&gt;6171&lt;/item&gt;&lt;item&gt;6172&lt;/item&gt;&lt;item&gt;6173&lt;/item&gt;&lt;item&gt;6174&lt;/item&gt;&lt;item&gt;6175&lt;/item&gt;&lt;item&gt;6176&lt;/item&gt;&lt;item&gt;6177&lt;/item&gt;&lt;item&gt;6178&lt;/item&gt;&lt;item&gt;6179&lt;/item&gt;&lt;item&gt;6180&lt;/item&gt;&lt;item&gt;6181&lt;/item&gt;&lt;item&gt;6183&lt;/item&gt;&lt;item&gt;6184&lt;/item&gt;&lt;item&gt;6185&lt;/item&gt;&lt;item&gt;6186&lt;/item&gt;&lt;item&gt;6187&lt;/item&gt;&lt;item&gt;6188&lt;/item&gt;&lt;item&gt;6189&lt;/item&gt;&lt;item&gt;6190&lt;/item&gt;&lt;item&gt;6191&lt;/item&gt;&lt;item&gt;6192&lt;/item&gt;&lt;item&gt;6193&lt;/item&gt;&lt;item&gt;6197&lt;/item&gt;&lt;item&gt;6198&lt;/item&gt;&lt;item&gt;6199&lt;/item&gt;&lt;item&gt;6272&lt;/item&gt;&lt;item&gt;6287&lt;/item&gt;&lt;item&gt;6765&lt;/item&gt;&lt;item&gt;6873&lt;/item&gt;&lt;item&gt;6875&lt;/item&gt;&lt;item&gt;6876&lt;/item&gt;&lt;item&gt;6877&lt;/item&gt;&lt;item&gt;6878&lt;/item&gt;&lt;item&gt;6879&lt;/item&gt;&lt;item&gt;6880&lt;/item&gt;&lt;item&gt;6881&lt;/item&gt;&lt;item&gt;6883&lt;/item&gt;&lt;item&gt;6884&lt;/item&gt;&lt;item&gt;6885&lt;/item&gt;&lt;/record-ids&gt;&lt;/item&gt;&lt;/Libraries&gt;"/>
  </w:docVars>
  <w:rsids>
    <w:rsidRoot w:val="00A35D8B"/>
    <w:rsid w:val="000108FB"/>
    <w:rsid w:val="00013B02"/>
    <w:rsid w:val="00021BF0"/>
    <w:rsid w:val="00052E60"/>
    <w:rsid w:val="00054824"/>
    <w:rsid w:val="00057E1C"/>
    <w:rsid w:val="00082E67"/>
    <w:rsid w:val="000A478F"/>
    <w:rsid w:val="000A55A3"/>
    <w:rsid w:val="000B0495"/>
    <w:rsid w:val="000F28A6"/>
    <w:rsid w:val="001146AA"/>
    <w:rsid w:val="0013095B"/>
    <w:rsid w:val="001319DD"/>
    <w:rsid w:val="001364E9"/>
    <w:rsid w:val="00140A6D"/>
    <w:rsid w:val="00141584"/>
    <w:rsid w:val="00161D31"/>
    <w:rsid w:val="00166B9E"/>
    <w:rsid w:val="00171BE2"/>
    <w:rsid w:val="00174B2E"/>
    <w:rsid w:val="00184251"/>
    <w:rsid w:val="001862A0"/>
    <w:rsid w:val="001A661B"/>
    <w:rsid w:val="001B0CCE"/>
    <w:rsid w:val="001C789E"/>
    <w:rsid w:val="001C7FE1"/>
    <w:rsid w:val="001D2FC8"/>
    <w:rsid w:val="00212C2B"/>
    <w:rsid w:val="00220412"/>
    <w:rsid w:val="002246CF"/>
    <w:rsid w:val="00225147"/>
    <w:rsid w:val="002319FE"/>
    <w:rsid w:val="00231EAD"/>
    <w:rsid w:val="00234C7B"/>
    <w:rsid w:val="00237D91"/>
    <w:rsid w:val="00250FD7"/>
    <w:rsid w:val="00256BB9"/>
    <w:rsid w:val="002758D8"/>
    <w:rsid w:val="002810B6"/>
    <w:rsid w:val="0029117E"/>
    <w:rsid w:val="002A5AB7"/>
    <w:rsid w:val="002D0C76"/>
    <w:rsid w:val="002D7A55"/>
    <w:rsid w:val="002E2496"/>
    <w:rsid w:val="00300521"/>
    <w:rsid w:val="00302370"/>
    <w:rsid w:val="00305821"/>
    <w:rsid w:val="003259F4"/>
    <w:rsid w:val="00326319"/>
    <w:rsid w:val="0033659A"/>
    <w:rsid w:val="00336E8E"/>
    <w:rsid w:val="00341689"/>
    <w:rsid w:val="00345CE3"/>
    <w:rsid w:val="003502C5"/>
    <w:rsid w:val="003A53E3"/>
    <w:rsid w:val="003D6288"/>
    <w:rsid w:val="003E23DC"/>
    <w:rsid w:val="00414291"/>
    <w:rsid w:val="004154A0"/>
    <w:rsid w:val="00416CB4"/>
    <w:rsid w:val="004202F9"/>
    <w:rsid w:val="00426B8F"/>
    <w:rsid w:val="00443AB8"/>
    <w:rsid w:val="00470A29"/>
    <w:rsid w:val="0047526A"/>
    <w:rsid w:val="004A4521"/>
    <w:rsid w:val="004D738A"/>
    <w:rsid w:val="004E61C2"/>
    <w:rsid w:val="004F0EE5"/>
    <w:rsid w:val="004F47AB"/>
    <w:rsid w:val="004F702E"/>
    <w:rsid w:val="004F7FB5"/>
    <w:rsid w:val="00506BAB"/>
    <w:rsid w:val="00507094"/>
    <w:rsid w:val="00510077"/>
    <w:rsid w:val="00510B1A"/>
    <w:rsid w:val="005208DE"/>
    <w:rsid w:val="00523DF4"/>
    <w:rsid w:val="00524454"/>
    <w:rsid w:val="0053145B"/>
    <w:rsid w:val="00532ECA"/>
    <w:rsid w:val="00544F61"/>
    <w:rsid w:val="00551BA4"/>
    <w:rsid w:val="005808D7"/>
    <w:rsid w:val="00586A43"/>
    <w:rsid w:val="005B3042"/>
    <w:rsid w:val="005B4662"/>
    <w:rsid w:val="005B5433"/>
    <w:rsid w:val="005E0589"/>
    <w:rsid w:val="005E0896"/>
    <w:rsid w:val="005E2041"/>
    <w:rsid w:val="005E496C"/>
    <w:rsid w:val="00600D04"/>
    <w:rsid w:val="00606A6E"/>
    <w:rsid w:val="00611CBA"/>
    <w:rsid w:val="00624667"/>
    <w:rsid w:val="006303C8"/>
    <w:rsid w:val="00631DD7"/>
    <w:rsid w:val="00632EA8"/>
    <w:rsid w:val="00642F97"/>
    <w:rsid w:val="00645307"/>
    <w:rsid w:val="0066121C"/>
    <w:rsid w:val="00672FC5"/>
    <w:rsid w:val="006767EB"/>
    <w:rsid w:val="00680180"/>
    <w:rsid w:val="00683536"/>
    <w:rsid w:val="006841F3"/>
    <w:rsid w:val="006A38D0"/>
    <w:rsid w:val="006B036E"/>
    <w:rsid w:val="006B45AB"/>
    <w:rsid w:val="006C0CA8"/>
    <w:rsid w:val="006D04EB"/>
    <w:rsid w:val="006D45AE"/>
    <w:rsid w:val="006D5FC6"/>
    <w:rsid w:val="006E7149"/>
    <w:rsid w:val="00707357"/>
    <w:rsid w:val="0072019A"/>
    <w:rsid w:val="00721807"/>
    <w:rsid w:val="0073152D"/>
    <w:rsid w:val="007413AA"/>
    <w:rsid w:val="007751ED"/>
    <w:rsid w:val="00792E7B"/>
    <w:rsid w:val="007C0FA9"/>
    <w:rsid w:val="007D0DE1"/>
    <w:rsid w:val="007D3B54"/>
    <w:rsid w:val="007E215D"/>
    <w:rsid w:val="00824DC8"/>
    <w:rsid w:val="00834FB3"/>
    <w:rsid w:val="00835B3F"/>
    <w:rsid w:val="00844C9A"/>
    <w:rsid w:val="0084602E"/>
    <w:rsid w:val="00871574"/>
    <w:rsid w:val="008766FE"/>
    <w:rsid w:val="008809FF"/>
    <w:rsid w:val="0088284D"/>
    <w:rsid w:val="0088380B"/>
    <w:rsid w:val="0089489A"/>
    <w:rsid w:val="00895AC3"/>
    <w:rsid w:val="008A0469"/>
    <w:rsid w:val="008C0E94"/>
    <w:rsid w:val="00913391"/>
    <w:rsid w:val="009220E3"/>
    <w:rsid w:val="009246A3"/>
    <w:rsid w:val="00935BBC"/>
    <w:rsid w:val="0095207C"/>
    <w:rsid w:val="00955E2F"/>
    <w:rsid w:val="00960E4A"/>
    <w:rsid w:val="009655B5"/>
    <w:rsid w:val="00975383"/>
    <w:rsid w:val="009806BB"/>
    <w:rsid w:val="009811F1"/>
    <w:rsid w:val="00994947"/>
    <w:rsid w:val="009A0B83"/>
    <w:rsid w:val="009D4FD0"/>
    <w:rsid w:val="009D7107"/>
    <w:rsid w:val="009F3CB6"/>
    <w:rsid w:val="00A017B4"/>
    <w:rsid w:val="00A10582"/>
    <w:rsid w:val="00A13BB9"/>
    <w:rsid w:val="00A3169D"/>
    <w:rsid w:val="00A352BC"/>
    <w:rsid w:val="00A35D8B"/>
    <w:rsid w:val="00A57513"/>
    <w:rsid w:val="00A619FD"/>
    <w:rsid w:val="00A73915"/>
    <w:rsid w:val="00A75614"/>
    <w:rsid w:val="00A867B4"/>
    <w:rsid w:val="00A91DD7"/>
    <w:rsid w:val="00AA61D3"/>
    <w:rsid w:val="00AB170F"/>
    <w:rsid w:val="00AB5DFB"/>
    <w:rsid w:val="00AC3582"/>
    <w:rsid w:val="00AC4F74"/>
    <w:rsid w:val="00AC75CE"/>
    <w:rsid w:val="00AD68AF"/>
    <w:rsid w:val="00AE7042"/>
    <w:rsid w:val="00AF37C9"/>
    <w:rsid w:val="00AF4DA4"/>
    <w:rsid w:val="00B0001F"/>
    <w:rsid w:val="00B14C3F"/>
    <w:rsid w:val="00B32A20"/>
    <w:rsid w:val="00B45347"/>
    <w:rsid w:val="00B52170"/>
    <w:rsid w:val="00B706CB"/>
    <w:rsid w:val="00B72EFF"/>
    <w:rsid w:val="00B82ABB"/>
    <w:rsid w:val="00B85438"/>
    <w:rsid w:val="00B90330"/>
    <w:rsid w:val="00B9080F"/>
    <w:rsid w:val="00B9605B"/>
    <w:rsid w:val="00BA4430"/>
    <w:rsid w:val="00BB02AB"/>
    <w:rsid w:val="00BE39B5"/>
    <w:rsid w:val="00BF0EAF"/>
    <w:rsid w:val="00BF1A35"/>
    <w:rsid w:val="00BF7A7A"/>
    <w:rsid w:val="00C04A3C"/>
    <w:rsid w:val="00C14416"/>
    <w:rsid w:val="00C31D3E"/>
    <w:rsid w:val="00C33564"/>
    <w:rsid w:val="00C33FAB"/>
    <w:rsid w:val="00C51671"/>
    <w:rsid w:val="00C667EF"/>
    <w:rsid w:val="00C77E4E"/>
    <w:rsid w:val="00C82223"/>
    <w:rsid w:val="00C87C21"/>
    <w:rsid w:val="00C91C1B"/>
    <w:rsid w:val="00C96BFC"/>
    <w:rsid w:val="00CA2BF7"/>
    <w:rsid w:val="00CA38E0"/>
    <w:rsid w:val="00CA4349"/>
    <w:rsid w:val="00CA70FB"/>
    <w:rsid w:val="00CC14A5"/>
    <w:rsid w:val="00CD1D77"/>
    <w:rsid w:val="00CE0E97"/>
    <w:rsid w:val="00CF0091"/>
    <w:rsid w:val="00CF32A3"/>
    <w:rsid w:val="00D02914"/>
    <w:rsid w:val="00D048D7"/>
    <w:rsid w:val="00D04DC4"/>
    <w:rsid w:val="00D303AD"/>
    <w:rsid w:val="00D430E8"/>
    <w:rsid w:val="00D47AE6"/>
    <w:rsid w:val="00D507C3"/>
    <w:rsid w:val="00D52E55"/>
    <w:rsid w:val="00D556A0"/>
    <w:rsid w:val="00D628D8"/>
    <w:rsid w:val="00D64AC3"/>
    <w:rsid w:val="00D75EA6"/>
    <w:rsid w:val="00D818C5"/>
    <w:rsid w:val="00D90348"/>
    <w:rsid w:val="00DA4313"/>
    <w:rsid w:val="00DB30EA"/>
    <w:rsid w:val="00DC4DDB"/>
    <w:rsid w:val="00DD0201"/>
    <w:rsid w:val="00DE2571"/>
    <w:rsid w:val="00DF3A26"/>
    <w:rsid w:val="00E00CEA"/>
    <w:rsid w:val="00E0562D"/>
    <w:rsid w:val="00E13D41"/>
    <w:rsid w:val="00E151EE"/>
    <w:rsid w:val="00E36542"/>
    <w:rsid w:val="00E422E7"/>
    <w:rsid w:val="00E65621"/>
    <w:rsid w:val="00E80086"/>
    <w:rsid w:val="00E84594"/>
    <w:rsid w:val="00E9702D"/>
    <w:rsid w:val="00EB4BD1"/>
    <w:rsid w:val="00EC6DE6"/>
    <w:rsid w:val="00ED6401"/>
    <w:rsid w:val="00EE0ABC"/>
    <w:rsid w:val="00EE4C8F"/>
    <w:rsid w:val="00F16881"/>
    <w:rsid w:val="00F200C8"/>
    <w:rsid w:val="00F31143"/>
    <w:rsid w:val="00F31A14"/>
    <w:rsid w:val="00F3508A"/>
    <w:rsid w:val="00F468E3"/>
    <w:rsid w:val="00F5271F"/>
    <w:rsid w:val="00F740C6"/>
    <w:rsid w:val="00F76622"/>
    <w:rsid w:val="00F84DBC"/>
    <w:rsid w:val="00FB4CDB"/>
    <w:rsid w:val="00FB6A78"/>
    <w:rsid w:val="00FC3706"/>
    <w:rsid w:val="00FD27A8"/>
    <w:rsid w:val="00FE2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8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A35D8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35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35D8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35D8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A35D8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35D8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35D8B"/>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A35D8B"/>
    <w:pPr>
      <w:spacing w:line="276" w:lineRule="auto"/>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A35D8B"/>
    <w:pPr>
      <w:spacing w:line="276" w:lineRule="auto"/>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35D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35D8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35D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5D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5D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5D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35D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35D8B"/>
    <w:rPr>
      <w:rFonts w:asciiTheme="majorHAnsi" w:eastAsiaTheme="majorEastAsia" w:hAnsiTheme="majorHAnsi" w:cstheme="majorBidi"/>
      <w:i/>
      <w:iCs/>
      <w:spacing w:val="5"/>
      <w:sz w:val="20"/>
      <w:szCs w:val="20"/>
    </w:rPr>
  </w:style>
  <w:style w:type="paragraph" w:customStyle="1" w:styleId="ParagraphIndent">
    <w:name w:val="ParagraphIndent"/>
    <w:qFormat/>
    <w:rsid w:val="00A35D8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A35D8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A35D8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35D8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A35D8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A35D8B"/>
    <w:pPr>
      <w:spacing w:before="100" w:beforeAutospacing="1" w:after="100" w:afterAutospacing="1"/>
    </w:pPr>
    <w:rPr>
      <w:rFonts w:ascii="Times New Roman" w:hAnsi="Times New Roman"/>
      <w:szCs w:val="24"/>
    </w:rPr>
  </w:style>
  <w:style w:type="paragraph" w:customStyle="1" w:styleId="PageNumber">
    <w:name w:val="PageNumber"/>
    <w:qFormat/>
    <w:rsid w:val="00A35D8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A35D8B"/>
    <w:pPr>
      <w:keepNext/>
      <w:spacing w:before="240" w:after="60" w:line="240" w:lineRule="auto"/>
    </w:pPr>
    <w:rPr>
      <w:rFonts w:ascii="Arial" w:eastAsia="Calibri" w:hAnsi="Arial" w:cs="Arial"/>
      <w:b/>
      <w:sz w:val="32"/>
      <w:szCs w:val="32"/>
    </w:rPr>
  </w:style>
  <w:style w:type="table" w:customStyle="1" w:styleId="AHRQ1">
    <w:name w:val="AHRQ1"/>
    <w:basedOn w:val="TableGrid"/>
    <w:rsid w:val="00A35D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35D8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A35D8B"/>
    <w:rPr>
      <w:rFonts w:ascii="Times New Roman" w:hAnsi="Times New Roman"/>
      <w:szCs w:val="24"/>
      <w:lang w:val="en-CA"/>
    </w:rPr>
  </w:style>
  <w:style w:type="paragraph" w:styleId="TOC2">
    <w:name w:val="toc 2"/>
    <w:basedOn w:val="Normal"/>
    <w:next w:val="Normal"/>
    <w:autoRedefine/>
    <w:uiPriority w:val="39"/>
    <w:rsid w:val="00AA61D3"/>
    <w:pPr>
      <w:tabs>
        <w:tab w:val="right" w:leader="dot" w:pos="9350"/>
      </w:tabs>
      <w:ind w:left="360"/>
    </w:pPr>
    <w:rPr>
      <w:rFonts w:ascii="Times New Roman" w:hAnsi="Times New Roman"/>
      <w:szCs w:val="24"/>
      <w:lang w:val="en-CA"/>
    </w:rPr>
  </w:style>
  <w:style w:type="paragraph" w:customStyle="1" w:styleId="ChapterHeading">
    <w:name w:val="ChapterHeading"/>
    <w:qFormat/>
    <w:rsid w:val="00A35D8B"/>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A35D8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35D8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A35D8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35D8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35D8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rsid w:val="00A35D8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35D8B"/>
    <w:rPr>
      <w:rFonts w:ascii="Calibri" w:eastAsia="Calibri" w:hAnsi="Calibri" w:cs="Times New Roman"/>
    </w:rPr>
  </w:style>
  <w:style w:type="paragraph" w:customStyle="1" w:styleId="Level5Heading">
    <w:name w:val="Level5Heading"/>
    <w:qFormat/>
    <w:rsid w:val="00A35D8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35D8B"/>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rsid w:val="00A35D8B"/>
    <w:rPr>
      <w:rFonts w:ascii="Tahoma" w:hAnsi="Tahoma" w:cs="Tahoma"/>
      <w:sz w:val="16"/>
      <w:szCs w:val="16"/>
    </w:rPr>
  </w:style>
  <w:style w:type="character" w:customStyle="1" w:styleId="BalloonTextChar">
    <w:name w:val="Balloon Text Char"/>
    <w:basedOn w:val="DefaultParagraphFont"/>
    <w:link w:val="BalloonText"/>
    <w:uiPriority w:val="99"/>
    <w:semiHidden/>
    <w:rsid w:val="00A35D8B"/>
    <w:rPr>
      <w:rFonts w:ascii="Tahoma" w:eastAsia="Times New Roman" w:hAnsi="Tahoma" w:cs="Tahoma"/>
      <w:sz w:val="16"/>
      <w:szCs w:val="16"/>
    </w:rPr>
  </w:style>
  <w:style w:type="character" w:styleId="CommentReference">
    <w:name w:val="annotation reference"/>
    <w:semiHidden/>
    <w:rsid w:val="00A35D8B"/>
    <w:rPr>
      <w:rFonts w:cs="Times New Roman"/>
      <w:sz w:val="16"/>
      <w:szCs w:val="16"/>
    </w:rPr>
  </w:style>
  <w:style w:type="paragraph" w:styleId="CommentText">
    <w:name w:val="annotation text"/>
    <w:basedOn w:val="Normal"/>
    <w:link w:val="CommentTextChar"/>
    <w:rsid w:val="00A35D8B"/>
    <w:pPr>
      <w:spacing w:before="240" w:after="60"/>
    </w:pPr>
    <w:rPr>
      <w:rFonts w:ascii="Calibri" w:eastAsia="Calibri" w:hAnsi="Calibri"/>
      <w:sz w:val="20"/>
    </w:rPr>
  </w:style>
  <w:style w:type="character" w:customStyle="1" w:styleId="CommentTextChar">
    <w:name w:val="Comment Text Char"/>
    <w:basedOn w:val="DefaultParagraphFont"/>
    <w:link w:val="CommentText"/>
    <w:rsid w:val="00A35D8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A35D8B"/>
    <w:rPr>
      <w:b/>
      <w:bCs/>
    </w:rPr>
  </w:style>
  <w:style w:type="character" w:customStyle="1" w:styleId="CommentSubjectChar">
    <w:name w:val="Comment Subject Char"/>
    <w:basedOn w:val="CommentTextChar"/>
    <w:link w:val="CommentSubject"/>
    <w:uiPriority w:val="99"/>
    <w:semiHidden/>
    <w:rsid w:val="00A35D8B"/>
    <w:rPr>
      <w:rFonts w:ascii="Calibri" w:eastAsia="Calibri" w:hAnsi="Calibri" w:cs="Times New Roman"/>
      <w:b/>
      <w:bCs/>
      <w:sz w:val="20"/>
      <w:szCs w:val="20"/>
    </w:rPr>
  </w:style>
  <w:style w:type="paragraph" w:customStyle="1" w:styleId="PreparedForText">
    <w:name w:val="PreparedForText"/>
    <w:qFormat/>
    <w:rsid w:val="00A35D8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35D8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35D8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35D8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35D8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35D8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35D8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35D8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35D8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35D8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autoRedefine/>
    <w:qFormat/>
    <w:rsid w:val="00A35D8B"/>
    <w:pPr>
      <w:spacing w:after="0" w:line="240" w:lineRule="auto"/>
    </w:pPr>
    <w:rPr>
      <w:rFonts w:ascii="Arial" w:eastAsia="Calibri" w:hAnsi="Arial" w:cs="Arial"/>
      <w:b/>
      <w:bCs/>
      <w:sz w:val="18"/>
      <w:szCs w:val="18"/>
    </w:rPr>
  </w:style>
  <w:style w:type="paragraph" w:customStyle="1" w:styleId="TableSubhead">
    <w:name w:val="TableSubhead"/>
    <w:qFormat/>
    <w:rsid w:val="00A35D8B"/>
    <w:pPr>
      <w:spacing w:after="0" w:line="240" w:lineRule="auto"/>
    </w:pPr>
    <w:rPr>
      <w:rFonts w:ascii="Arial" w:eastAsia="Calibri" w:hAnsi="Arial" w:cs="Arial"/>
      <w:b/>
      <w:i/>
      <w:sz w:val="18"/>
      <w:szCs w:val="18"/>
    </w:rPr>
  </w:style>
  <w:style w:type="paragraph" w:customStyle="1" w:styleId="TableText">
    <w:name w:val="TableText"/>
    <w:qFormat/>
    <w:rsid w:val="00A35D8B"/>
    <w:pPr>
      <w:spacing w:after="0" w:line="240" w:lineRule="auto"/>
    </w:pPr>
    <w:rPr>
      <w:rFonts w:ascii="Arial" w:eastAsia="Calibri" w:hAnsi="Arial" w:cs="Arial"/>
      <w:sz w:val="18"/>
      <w:szCs w:val="18"/>
    </w:rPr>
  </w:style>
  <w:style w:type="paragraph" w:styleId="Footer">
    <w:name w:val="footer"/>
    <w:basedOn w:val="Normal"/>
    <w:link w:val="FooterChar"/>
    <w:uiPriority w:val="99"/>
    <w:rsid w:val="00A35D8B"/>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35D8B"/>
    <w:rPr>
      <w:rFonts w:ascii="Calibri" w:eastAsia="Calibri" w:hAnsi="Calibri" w:cs="Times New Roman"/>
    </w:rPr>
  </w:style>
  <w:style w:type="paragraph" w:customStyle="1" w:styleId="Level6Heading">
    <w:name w:val="Level6Heading"/>
    <w:qFormat/>
    <w:rsid w:val="00A35D8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35D8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35D8B"/>
    <w:pPr>
      <w:keepNext/>
      <w:spacing w:after="0" w:line="240" w:lineRule="auto"/>
    </w:pPr>
    <w:rPr>
      <w:rFonts w:ascii="Times New Roman" w:eastAsia="Times New Roman" w:hAnsi="Times New Roman" w:cs="Times New Roman"/>
      <w:bCs/>
      <w:i/>
      <w:sz w:val="24"/>
      <w:szCs w:val="24"/>
    </w:rPr>
  </w:style>
  <w:style w:type="paragraph" w:customStyle="1" w:styleId="Bullet1">
    <w:name w:val="Bullet1"/>
    <w:basedOn w:val="Normal"/>
    <w:qFormat/>
    <w:rsid w:val="00A35D8B"/>
    <w:pPr>
      <w:numPr>
        <w:numId w:val="1"/>
      </w:numPr>
    </w:pPr>
    <w:rPr>
      <w:rFonts w:ascii="Times New Roman" w:eastAsia="Calibri" w:hAnsi="Times New Roman"/>
      <w:szCs w:val="24"/>
    </w:rPr>
  </w:style>
  <w:style w:type="paragraph" w:customStyle="1" w:styleId="Bullet2">
    <w:name w:val="Bullet2"/>
    <w:qFormat/>
    <w:rsid w:val="00A35D8B"/>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35D8B"/>
    <w:pPr>
      <w:spacing w:after="0" w:line="240" w:lineRule="auto"/>
      <w:jc w:val="center"/>
    </w:pPr>
    <w:rPr>
      <w:rFonts w:ascii="Arial" w:eastAsia="Calibri" w:hAnsi="Arial" w:cs="Arial"/>
      <w:sz w:val="18"/>
      <w:szCs w:val="18"/>
    </w:rPr>
  </w:style>
  <w:style w:type="paragraph" w:customStyle="1" w:styleId="TableLeftText">
    <w:name w:val="TableLeftText"/>
    <w:qFormat/>
    <w:rsid w:val="00A35D8B"/>
    <w:pPr>
      <w:spacing w:after="0" w:line="240" w:lineRule="auto"/>
    </w:pPr>
    <w:rPr>
      <w:rFonts w:ascii="Arial" w:eastAsia="Calibri" w:hAnsi="Arial" w:cs="Arial"/>
      <w:sz w:val="18"/>
      <w:szCs w:val="18"/>
    </w:rPr>
  </w:style>
  <w:style w:type="paragraph" w:customStyle="1" w:styleId="TableBoldText">
    <w:name w:val="TableBoldText"/>
    <w:qFormat/>
    <w:rsid w:val="00A35D8B"/>
    <w:pPr>
      <w:spacing w:after="0" w:line="240" w:lineRule="auto"/>
    </w:pPr>
    <w:rPr>
      <w:rFonts w:ascii="Arial" w:eastAsia="Calibri" w:hAnsi="Arial" w:cs="Arial"/>
      <w:b/>
      <w:sz w:val="18"/>
      <w:szCs w:val="18"/>
    </w:rPr>
  </w:style>
  <w:style w:type="paragraph" w:customStyle="1" w:styleId="Studies1">
    <w:name w:val="Studies1"/>
    <w:qFormat/>
    <w:rsid w:val="00A35D8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35D8B"/>
    <w:pPr>
      <w:keepLines/>
      <w:numPr>
        <w:numId w:val="2"/>
      </w:numPr>
      <w:spacing w:before="120" w:after="120" w:line="240" w:lineRule="auto"/>
      <w:ind w:hanging="720"/>
    </w:pPr>
    <w:rPr>
      <w:rFonts w:ascii="Times New Roman" w:eastAsia="Calibri" w:hAnsi="Times New Roman" w:cs="Times New Roman"/>
      <w:color w:val="000000"/>
      <w:sz w:val="24"/>
      <w:szCs w:val="24"/>
    </w:rPr>
  </w:style>
  <w:style w:type="paragraph" w:customStyle="1" w:styleId="NumberedList">
    <w:name w:val="NumberedList"/>
    <w:basedOn w:val="Bullet1"/>
    <w:qFormat/>
    <w:rsid w:val="00A35D8B"/>
    <w:pPr>
      <w:numPr>
        <w:numId w:val="3"/>
      </w:numPr>
    </w:pPr>
  </w:style>
  <w:style w:type="paragraph" w:customStyle="1" w:styleId="ReportSubtitle">
    <w:name w:val="ReportSubtitle"/>
    <w:qFormat/>
    <w:rsid w:val="00A35D8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35D8B"/>
    <w:pPr>
      <w:keepNext/>
      <w:spacing w:before="120" w:after="0" w:line="240" w:lineRule="auto"/>
    </w:pPr>
    <w:rPr>
      <w:rFonts w:ascii="Arial" w:eastAsia="Calibri" w:hAnsi="Arial" w:cs="Arial"/>
      <w:b/>
      <w:sz w:val="24"/>
      <w:szCs w:val="32"/>
    </w:rPr>
  </w:style>
  <w:style w:type="character" w:styleId="Hyperlink">
    <w:name w:val="Hyperlink"/>
    <w:uiPriority w:val="99"/>
    <w:rsid w:val="00A35D8B"/>
    <w:rPr>
      <w:rFonts w:cs="Times New Roman"/>
      <w:color w:val="0000FF"/>
      <w:u w:val="single"/>
    </w:rPr>
  </w:style>
  <w:style w:type="paragraph" w:customStyle="1" w:styleId="BodyText">
    <w:name w:val="BodyText"/>
    <w:basedOn w:val="Normal"/>
    <w:link w:val="BodyTextChar"/>
    <w:rsid w:val="00A35D8B"/>
    <w:pPr>
      <w:spacing w:after="120"/>
    </w:pPr>
    <w:rPr>
      <w:rFonts w:ascii="Times New Roman" w:hAnsi="Times New Roman"/>
      <w:szCs w:val="24"/>
    </w:rPr>
  </w:style>
  <w:style w:type="character" w:customStyle="1" w:styleId="BodyTextChar">
    <w:name w:val="BodyText Char"/>
    <w:link w:val="BodyText"/>
    <w:locked/>
    <w:rsid w:val="00A35D8B"/>
    <w:rPr>
      <w:rFonts w:ascii="Times New Roman" w:eastAsia="Times New Roman" w:hAnsi="Times New Roman" w:cs="Times New Roman"/>
      <w:sz w:val="24"/>
      <w:szCs w:val="24"/>
    </w:rPr>
  </w:style>
  <w:style w:type="paragraph" w:customStyle="1" w:styleId="TitlePageReportNumber">
    <w:name w:val="Title Page Report Number"/>
    <w:basedOn w:val="Normal"/>
    <w:rsid w:val="00A35D8B"/>
    <w:rPr>
      <w:rFonts w:ascii="Arial" w:eastAsia="Calibri" w:hAnsi="Arial"/>
      <w:b/>
      <w:sz w:val="28"/>
    </w:rPr>
  </w:style>
  <w:style w:type="paragraph" w:customStyle="1" w:styleId="Default">
    <w:name w:val="Default"/>
    <w:rsid w:val="00A35D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stractText">
    <w:name w:val="Abstract Text"/>
    <w:basedOn w:val="ParagraphNoIndent"/>
    <w:uiPriority w:val="99"/>
    <w:rsid w:val="00A35D8B"/>
    <w:pPr>
      <w:spacing w:after="120"/>
    </w:pPr>
  </w:style>
  <w:style w:type="paragraph" w:customStyle="1" w:styleId="KeyQuestionbullets">
    <w:name w:val="KeyQuestion bullets"/>
    <w:basedOn w:val="Normal"/>
    <w:uiPriority w:val="99"/>
    <w:rsid w:val="00A35D8B"/>
    <w:pPr>
      <w:numPr>
        <w:numId w:val="4"/>
      </w:numPr>
    </w:pPr>
    <w:rPr>
      <w:rFonts w:ascii="Arial" w:hAnsi="Arial"/>
      <w:bCs/>
      <w:sz w:val="28"/>
      <w:szCs w:val="24"/>
    </w:rPr>
  </w:style>
  <w:style w:type="paragraph" w:styleId="Revision">
    <w:name w:val="Revision"/>
    <w:hidden/>
    <w:uiPriority w:val="99"/>
    <w:semiHidden/>
    <w:rsid w:val="00A35D8B"/>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A35D8B"/>
    <w:pPr>
      <w:ind w:left="720"/>
      <w:contextualSpacing/>
    </w:pPr>
  </w:style>
  <w:style w:type="paragraph" w:customStyle="1" w:styleId="BulletBlank">
    <w:name w:val="BulletBlank"/>
    <w:basedOn w:val="Bullet1"/>
    <w:qFormat/>
    <w:rsid w:val="00A35D8B"/>
    <w:pPr>
      <w:numPr>
        <w:numId w:val="0"/>
      </w:numPr>
    </w:pPr>
  </w:style>
  <w:style w:type="paragraph" w:customStyle="1" w:styleId="TableBullets">
    <w:name w:val="TableBullets"/>
    <w:basedOn w:val="Normal"/>
    <w:uiPriority w:val="99"/>
    <w:rsid w:val="00A35D8B"/>
    <w:pPr>
      <w:numPr>
        <w:numId w:val="5"/>
      </w:numPr>
      <w:ind w:left="360"/>
    </w:pPr>
    <w:rPr>
      <w:rFonts w:ascii="Arial" w:eastAsia="Calibri" w:hAnsi="Arial" w:cs="Arial"/>
      <w:sz w:val="18"/>
      <w:szCs w:val="18"/>
    </w:rPr>
  </w:style>
  <w:style w:type="paragraph" w:customStyle="1" w:styleId="FigureTitle">
    <w:name w:val="FigureTitle"/>
    <w:basedOn w:val="TableTitle"/>
    <w:qFormat/>
    <w:rsid w:val="00A35D8B"/>
    <w:rPr>
      <w:lang w:val="fr-FR"/>
    </w:rPr>
  </w:style>
  <w:style w:type="paragraph" w:customStyle="1" w:styleId="bullets-1">
    <w:name w:val="bullets - 1"/>
    <w:uiPriority w:val="99"/>
    <w:rsid w:val="00A35D8B"/>
    <w:pPr>
      <w:numPr>
        <w:numId w:val="6"/>
      </w:numPr>
      <w:spacing w:after="0" w:line="240" w:lineRule="auto"/>
      <w:ind w:left="720"/>
    </w:pPr>
    <w:rPr>
      <w:rFonts w:ascii="Times New Roman" w:eastAsia="MS Mincho" w:hAnsi="Times New Roman" w:cs="Arial"/>
      <w:bCs/>
      <w:sz w:val="24"/>
      <w:szCs w:val="24"/>
    </w:rPr>
  </w:style>
  <w:style w:type="paragraph" w:customStyle="1" w:styleId="TableBold">
    <w:name w:val="TableBold"/>
    <w:basedOn w:val="TableLeftText"/>
    <w:uiPriority w:val="99"/>
    <w:rsid w:val="00A35D8B"/>
    <w:rPr>
      <w:rFonts w:eastAsia="Times New Roman"/>
    </w:rPr>
  </w:style>
  <w:style w:type="paragraph" w:customStyle="1" w:styleId="TableText0">
    <w:name w:val="Table Text"/>
    <w:link w:val="TableTextChar"/>
    <w:qFormat/>
    <w:rsid w:val="00A35D8B"/>
    <w:pPr>
      <w:spacing w:after="0" w:line="240" w:lineRule="auto"/>
    </w:pPr>
    <w:rPr>
      <w:rFonts w:ascii="Arial" w:eastAsia="Calibri" w:hAnsi="Arial" w:cs="Times New Roman"/>
    </w:rPr>
  </w:style>
  <w:style w:type="character" w:customStyle="1" w:styleId="TableTextChar">
    <w:name w:val="Table Text Char"/>
    <w:link w:val="TableText0"/>
    <w:locked/>
    <w:rsid w:val="00A35D8B"/>
    <w:rPr>
      <w:rFonts w:ascii="Arial" w:eastAsia="Calibri" w:hAnsi="Arial" w:cs="Times New Roman"/>
    </w:rPr>
  </w:style>
  <w:style w:type="paragraph" w:customStyle="1" w:styleId="text-bullets3">
    <w:name w:val="text - bullets 3"/>
    <w:basedOn w:val="Normal"/>
    <w:uiPriority w:val="99"/>
    <w:rsid w:val="00A35D8B"/>
    <w:pPr>
      <w:widowControl w:val="0"/>
      <w:numPr>
        <w:numId w:val="7"/>
      </w:numPr>
      <w:ind w:left="1080"/>
    </w:pPr>
    <w:rPr>
      <w:rFonts w:ascii="Times New Roman" w:hAnsi="Times New Roman"/>
      <w:szCs w:val="24"/>
    </w:rPr>
  </w:style>
  <w:style w:type="character" w:styleId="Emphasis">
    <w:name w:val="Emphasis"/>
    <w:uiPriority w:val="20"/>
    <w:qFormat/>
    <w:rsid w:val="00A35D8B"/>
    <w:rPr>
      <w:i/>
      <w:iCs/>
    </w:rPr>
  </w:style>
  <w:style w:type="paragraph" w:customStyle="1" w:styleId="ES-Level1Heading">
    <w:name w:val="ES-Level1Heading"/>
    <w:basedOn w:val="Level1Heading"/>
    <w:qFormat/>
    <w:rsid w:val="00A35D8B"/>
  </w:style>
  <w:style w:type="paragraph" w:customStyle="1" w:styleId="ES-Level2Heading">
    <w:name w:val="ES-Level2Heading"/>
    <w:basedOn w:val="Level2Heading"/>
    <w:qFormat/>
    <w:rsid w:val="00A35D8B"/>
  </w:style>
  <w:style w:type="paragraph" w:customStyle="1" w:styleId="TableHeaderRox">
    <w:name w:val="TableHeaderRox"/>
    <w:basedOn w:val="Normal"/>
    <w:qFormat/>
    <w:rsid w:val="00A35D8B"/>
    <w:rPr>
      <w:rFonts w:ascii="Arial" w:hAnsi="Arial"/>
      <w:b/>
      <w:sz w:val="18"/>
    </w:rPr>
  </w:style>
  <w:style w:type="paragraph" w:customStyle="1" w:styleId="ES-KeyQuestion">
    <w:name w:val="ES-KeyQuestion"/>
    <w:basedOn w:val="Normal"/>
    <w:qFormat/>
    <w:rsid w:val="00A35D8B"/>
  </w:style>
  <w:style w:type="paragraph" w:styleId="TOC3">
    <w:name w:val="toc 3"/>
    <w:basedOn w:val="Normal"/>
    <w:next w:val="Normal"/>
    <w:autoRedefine/>
    <w:uiPriority w:val="39"/>
    <w:rsid w:val="00DF3A26"/>
    <w:pPr>
      <w:tabs>
        <w:tab w:val="right" w:leader="dot" w:pos="9350"/>
      </w:tabs>
    </w:pPr>
  </w:style>
  <w:style w:type="paragraph" w:styleId="TOC5">
    <w:name w:val="toc 5"/>
    <w:basedOn w:val="Normal"/>
    <w:next w:val="Normal"/>
    <w:autoRedefine/>
    <w:uiPriority w:val="39"/>
    <w:rsid w:val="00A35D8B"/>
    <w:pPr>
      <w:tabs>
        <w:tab w:val="right" w:leader="dot" w:pos="9350"/>
      </w:tabs>
      <w:ind w:left="1260" w:hanging="1260"/>
    </w:pPr>
    <w:rPr>
      <w:noProof/>
    </w:rPr>
  </w:style>
  <w:style w:type="character" w:styleId="PageNumber0">
    <w:name w:val="page number"/>
    <w:rsid w:val="00A35D8B"/>
    <w:rPr>
      <w:rFonts w:ascii="Times New Roman" w:hAnsi="Times New Roman"/>
      <w:b w:val="0"/>
      <w:sz w:val="24"/>
    </w:rPr>
  </w:style>
  <w:style w:type="paragraph" w:styleId="BodyText0">
    <w:name w:val="Body Text"/>
    <w:basedOn w:val="Normal"/>
    <w:link w:val="BodyTextChar0"/>
    <w:uiPriority w:val="99"/>
    <w:semiHidden/>
    <w:unhideWhenUsed/>
    <w:rsid w:val="00A35D8B"/>
    <w:pPr>
      <w:spacing w:after="120"/>
    </w:pPr>
  </w:style>
  <w:style w:type="character" w:customStyle="1" w:styleId="BodyTextChar0">
    <w:name w:val="Body Text Char"/>
    <w:basedOn w:val="DefaultParagraphFont"/>
    <w:link w:val="BodyText0"/>
    <w:uiPriority w:val="99"/>
    <w:semiHidden/>
    <w:rsid w:val="00A35D8B"/>
    <w:rPr>
      <w:rFonts w:ascii="Times" w:eastAsia="Times New Roman" w:hAnsi="Times" w:cs="Times New Roman"/>
      <w:sz w:val="24"/>
      <w:szCs w:val="20"/>
    </w:rPr>
  </w:style>
  <w:style w:type="paragraph" w:styleId="BodyTextFirstIndent">
    <w:name w:val="Body Text First Indent"/>
    <w:basedOn w:val="BodyText0"/>
    <w:link w:val="BodyTextFirstIndentChar"/>
    <w:uiPriority w:val="99"/>
    <w:rsid w:val="00A35D8B"/>
    <w:pPr>
      <w:spacing w:after="0"/>
      <w:ind w:firstLine="360"/>
    </w:pPr>
    <w:rPr>
      <w:rFonts w:ascii="Times New Roman" w:hAnsi="Times New Roman"/>
    </w:rPr>
  </w:style>
  <w:style w:type="character" w:customStyle="1" w:styleId="BodyTextFirstIndentChar">
    <w:name w:val="Body Text First Indent Char"/>
    <w:basedOn w:val="BodyTextChar0"/>
    <w:link w:val="BodyTextFirstIndent"/>
    <w:uiPriority w:val="99"/>
    <w:rsid w:val="00A35D8B"/>
    <w:rPr>
      <w:rFonts w:ascii="Times New Roman" w:eastAsia="Times New Roman" w:hAnsi="Times New Roman" w:cs="Times New Roman"/>
      <w:sz w:val="24"/>
      <w:szCs w:val="20"/>
    </w:rPr>
  </w:style>
  <w:style w:type="paragraph" w:customStyle="1" w:styleId="instructionsbullets">
    <w:name w:val="instructions bullets"/>
    <w:basedOn w:val="Normal"/>
    <w:rsid w:val="00A35D8B"/>
    <w:pPr>
      <w:numPr>
        <w:numId w:val="9"/>
      </w:numPr>
      <w:shd w:val="clear" w:color="auto" w:fill="FFFFFF"/>
      <w:spacing w:before="120" w:after="120"/>
      <w:ind w:left="770"/>
      <w:contextualSpacing/>
    </w:pPr>
    <w:rPr>
      <w:rFonts w:ascii="Arial" w:hAnsi="Arial" w:cs="Arial"/>
      <w:sz w:val="20"/>
    </w:rPr>
  </w:style>
  <w:style w:type="paragraph" w:customStyle="1" w:styleId="Bullet-1">
    <w:name w:val="Bullet-1"/>
    <w:basedOn w:val="NoSpacing"/>
    <w:qFormat/>
    <w:rsid w:val="00A35D8B"/>
    <w:pPr>
      <w:numPr>
        <w:numId w:val="8"/>
      </w:numPr>
      <w:spacing w:before="60" w:after="60"/>
      <w:ind w:left="1080"/>
      <w:outlineLvl w:val="1"/>
    </w:pPr>
    <w:rPr>
      <w:rFonts w:ascii="Arial" w:eastAsia="Times New Roman" w:hAnsi="Arial" w:cs="Times New Roman"/>
      <w:szCs w:val="24"/>
    </w:rPr>
  </w:style>
  <w:style w:type="paragraph" w:styleId="NoSpacing">
    <w:name w:val="No Spacing"/>
    <w:uiPriority w:val="1"/>
    <w:qFormat/>
    <w:rsid w:val="00A35D8B"/>
    <w:pPr>
      <w:spacing w:after="0" w:line="240" w:lineRule="auto"/>
    </w:pPr>
    <w:rPr>
      <w:rFonts w:ascii="Calibri" w:eastAsia="Calibri" w:hAnsi="Calibri" w:cs="Arial"/>
    </w:rPr>
  </w:style>
  <w:style w:type="paragraph" w:customStyle="1" w:styleId="Bullet-2">
    <w:name w:val="Bullet-2"/>
    <w:basedOn w:val="NoSpacing"/>
    <w:qFormat/>
    <w:rsid w:val="00A35D8B"/>
    <w:pPr>
      <w:numPr>
        <w:ilvl w:val="2"/>
        <w:numId w:val="10"/>
      </w:numPr>
    </w:pPr>
    <w:rPr>
      <w:rFonts w:ascii="Arial" w:eastAsia="Times New Roman" w:hAnsi="Arial"/>
      <w:sz w:val="20"/>
      <w:szCs w:val="20"/>
    </w:rPr>
  </w:style>
  <w:style w:type="paragraph" w:customStyle="1" w:styleId="Bullet-3">
    <w:name w:val="Bullet-3"/>
    <w:basedOn w:val="Bullet-2"/>
    <w:qFormat/>
    <w:rsid w:val="00A35D8B"/>
    <w:pPr>
      <w:numPr>
        <w:ilvl w:val="3"/>
        <w:numId w:val="11"/>
      </w:numPr>
      <w:ind w:left="720" w:hanging="319"/>
    </w:pPr>
  </w:style>
  <w:style w:type="paragraph" w:customStyle="1" w:styleId="NOTE">
    <w:name w:val="NOTE:"/>
    <w:basedOn w:val="Normal"/>
    <w:qFormat/>
    <w:rsid w:val="00A35D8B"/>
    <w:pPr>
      <w:spacing w:before="120" w:after="120"/>
      <w:jc w:val="center"/>
    </w:pPr>
    <w:rPr>
      <w:rFonts w:ascii="Arial" w:hAnsi="Arial" w:cs="Arial"/>
      <w:b/>
      <w:sz w:val="20"/>
      <w:szCs w:val="18"/>
    </w:rPr>
  </w:style>
  <w:style w:type="paragraph" w:customStyle="1" w:styleId="Bullet-1-blank">
    <w:name w:val="Bullet-1-blank"/>
    <w:basedOn w:val="Bullet-1"/>
    <w:qFormat/>
    <w:rsid w:val="00A35D8B"/>
    <w:pPr>
      <w:numPr>
        <w:numId w:val="0"/>
      </w:numPr>
      <w:ind w:left="720" w:hanging="360"/>
    </w:pPr>
    <w:rPr>
      <w:rFonts w:ascii="Times New Roman" w:hAnsi="Times New Roman"/>
      <w:sz w:val="24"/>
    </w:rPr>
  </w:style>
  <w:style w:type="character" w:customStyle="1" w:styleId="apple-style-span">
    <w:name w:val="apple-style-span"/>
    <w:basedOn w:val="DefaultParagraphFont"/>
    <w:rsid w:val="00A35D8B"/>
  </w:style>
  <w:style w:type="paragraph" w:customStyle="1" w:styleId="TableTextRef">
    <w:name w:val="Table Text Ref"/>
    <w:qFormat/>
    <w:rsid w:val="00A35D8B"/>
    <w:pPr>
      <w:spacing w:before="120" w:after="0" w:line="240" w:lineRule="auto"/>
    </w:pPr>
    <w:rPr>
      <w:rFonts w:ascii="Arial" w:eastAsia="Times New Roman" w:hAnsi="Arial" w:cs="Arial"/>
      <w:sz w:val="20"/>
      <w:szCs w:val="20"/>
    </w:rPr>
  </w:style>
  <w:style w:type="paragraph" w:customStyle="1" w:styleId="NOTEText">
    <w:name w:val="NOTE: Text"/>
    <w:basedOn w:val="NOTE"/>
    <w:qFormat/>
    <w:rsid w:val="00A35D8B"/>
    <w:pPr>
      <w:ind w:firstLine="720"/>
      <w:jc w:val="left"/>
    </w:pPr>
    <w:rPr>
      <w:b w:val="0"/>
    </w:rPr>
  </w:style>
  <w:style w:type="paragraph" w:customStyle="1" w:styleId="bullet-4">
    <w:name w:val="bullet-4"/>
    <w:basedOn w:val="Bullet-1"/>
    <w:qFormat/>
    <w:rsid w:val="00A35D8B"/>
    <w:pPr>
      <w:keepNext/>
      <w:numPr>
        <w:ilvl w:val="1"/>
        <w:numId w:val="12"/>
      </w:numPr>
      <w:spacing w:before="0" w:after="0"/>
      <w:ind w:left="1062"/>
    </w:pPr>
    <w:rPr>
      <w:rFonts w:cs="Arial"/>
      <w:sz w:val="20"/>
      <w:szCs w:val="20"/>
    </w:rPr>
  </w:style>
  <w:style w:type="paragraph" w:customStyle="1" w:styleId="background">
    <w:name w:val="background"/>
    <w:basedOn w:val="Normal"/>
    <w:link w:val="backgroundChar"/>
    <w:rsid w:val="00A35D8B"/>
    <w:pPr>
      <w:shd w:val="clear" w:color="auto" w:fill="FFFFFF"/>
      <w:spacing w:after="120"/>
    </w:pPr>
    <w:rPr>
      <w:rFonts w:ascii="Times New Roman" w:eastAsia="Calibri" w:hAnsi="Times New Roman"/>
      <w:szCs w:val="19"/>
    </w:rPr>
  </w:style>
  <w:style w:type="character" w:customStyle="1" w:styleId="backgroundChar">
    <w:name w:val="background Char"/>
    <w:link w:val="background"/>
    <w:rsid w:val="00A35D8B"/>
    <w:rPr>
      <w:rFonts w:ascii="Times New Roman" w:eastAsia="Calibri" w:hAnsi="Times New Roman" w:cs="Times New Roman"/>
      <w:sz w:val="24"/>
      <w:szCs w:val="19"/>
      <w:shd w:val="clear" w:color="auto" w:fill="FFFFFF"/>
    </w:rPr>
  </w:style>
  <w:style w:type="paragraph" w:customStyle="1" w:styleId="indentedbullets">
    <w:name w:val="indented bullets"/>
    <w:basedOn w:val="Normal"/>
    <w:rsid w:val="00A35D8B"/>
    <w:pPr>
      <w:numPr>
        <w:numId w:val="13"/>
      </w:numPr>
      <w:shd w:val="clear" w:color="auto" w:fill="FFFFFF"/>
    </w:pPr>
    <w:rPr>
      <w:rFonts w:ascii="Times New Roman" w:eastAsia="Calibri" w:hAnsi="Times New Roman" w:cs="Arial"/>
    </w:rPr>
  </w:style>
  <w:style w:type="paragraph" w:customStyle="1" w:styleId="KQstem">
    <w:name w:val="KQ stem"/>
    <w:basedOn w:val="Normal"/>
    <w:link w:val="KQstemChar"/>
    <w:rsid w:val="00A35D8B"/>
    <w:pPr>
      <w:shd w:val="clear" w:color="auto" w:fill="FFFFFF"/>
      <w:ind w:left="360" w:hanging="360"/>
    </w:pPr>
    <w:rPr>
      <w:rFonts w:ascii="Times New Roman" w:eastAsia="Calibri" w:hAnsi="Times New Roman"/>
    </w:rPr>
  </w:style>
  <w:style w:type="character" w:customStyle="1" w:styleId="KQstemChar">
    <w:name w:val="KQ stem Char"/>
    <w:link w:val="KQstem"/>
    <w:rsid w:val="00A35D8B"/>
    <w:rPr>
      <w:rFonts w:ascii="Times New Roman" w:eastAsia="Calibri" w:hAnsi="Times New Roman" w:cs="Times New Roman"/>
      <w:sz w:val="24"/>
      <w:szCs w:val="20"/>
      <w:shd w:val="clear" w:color="auto" w:fill="FFFFFF"/>
    </w:rPr>
  </w:style>
  <w:style w:type="paragraph" w:customStyle="1" w:styleId="kqstembullets">
    <w:name w:val="kq stem bullets"/>
    <w:basedOn w:val="KQstem"/>
    <w:qFormat/>
    <w:rsid w:val="00A35D8B"/>
    <w:pPr>
      <w:ind w:left="720"/>
    </w:pPr>
    <w:rPr>
      <w:szCs w:val="24"/>
    </w:rPr>
  </w:style>
  <w:style w:type="paragraph" w:customStyle="1" w:styleId="TableTitle0">
    <w:name w:val="Table Title"/>
    <w:basedOn w:val="Normal"/>
    <w:link w:val="TableTitleChar"/>
    <w:rsid w:val="00A35D8B"/>
    <w:pPr>
      <w:spacing w:before="120"/>
    </w:pPr>
    <w:rPr>
      <w:rFonts w:ascii="Arial" w:eastAsia="Calibri" w:hAnsi="Arial"/>
      <w:b/>
      <w:sz w:val="20"/>
      <w:szCs w:val="22"/>
    </w:rPr>
  </w:style>
  <w:style w:type="character" w:customStyle="1" w:styleId="TableTitleChar">
    <w:name w:val="Table Title Char"/>
    <w:link w:val="TableTitle0"/>
    <w:locked/>
    <w:rsid w:val="00A35D8B"/>
    <w:rPr>
      <w:rFonts w:ascii="Arial" w:eastAsia="Calibri" w:hAnsi="Arial" w:cs="Times New Roman"/>
      <w:b/>
      <w:sz w:val="20"/>
    </w:rPr>
  </w:style>
  <w:style w:type="paragraph" w:styleId="Caption">
    <w:name w:val="caption"/>
    <w:basedOn w:val="Normal"/>
    <w:next w:val="Normal"/>
    <w:uiPriority w:val="35"/>
    <w:unhideWhenUsed/>
    <w:qFormat/>
    <w:rsid w:val="00A35D8B"/>
    <w:rPr>
      <w:b/>
      <w:bCs/>
      <w:sz w:val="20"/>
    </w:rPr>
  </w:style>
  <w:style w:type="paragraph" w:customStyle="1" w:styleId="HeadingI">
    <w:name w:val="Heading I"/>
    <w:basedOn w:val="Normal"/>
    <w:uiPriority w:val="99"/>
    <w:rsid w:val="00A35D8B"/>
    <w:pPr>
      <w:keepNext/>
      <w:keepLines/>
      <w:widowControl w:val="0"/>
      <w:tabs>
        <w:tab w:val="left" w:pos="450"/>
      </w:tabs>
      <w:spacing w:before="240"/>
      <w:ind w:left="450" w:hanging="450"/>
    </w:pPr>
    <w:rPr>
      <w:rFonts w:ascii="Times New Roman" w:hAnsi="Times New Roman"/>
      <w:b/>
      <w:szCs w:val="28"/>
    </w:rPr>
  </w:style>
  <w:style w:type="paragraph" w:customStyle="1" w:styleId="HeadingA">
    <w:name w:val="Heading A"/>
    <w:basedOn w:val="Normal"/>
    <w:uiPriority w:val="99"/>
    <w:rsid w:val="00A35D8B"/>
    <w:pPr>
      <w:tabs>
        <w:tab w:val="left" w:pos="1080"/>
      </w:tabs>
      <w:spacing w:before="240"/>
      <w:ind w:left="1080" w:hanging="360"/>
    </w:pPr>
    <w:rPr>
      <w:rFonts w:ascii="Times New Roman" w:hAnsi="Times New Roman"/>
      <w:b/>
    </w:rPr>
  </w:style>
  <w:style w:type="paragraph" w:customStyle="1" w:styleId="Tabletext1">
    <w:name w:val="Table text"/>
    <w:basedOn w:val="Normal"/>
    <w:qFormat/>
    <w:rsid w:val="00A35D8B"/>
    <w:rPr>
      <w:rFonts w:ascii="Arial" w:hAnsi="Arial"/>
      <w:iCs/>
      <w:color w:val="000000"/>
      <w:sz w:val="18"/>
    </w:rPr>
  </w:style>
  <w:style w:type="paragraph" w:customStyle="1" w:styleId="TableTextBold">
    <w:name w:val="Table Text Bold"/>
    <w:link w:val="TableTextBoldChar"/>
    <w:rsid w:val="00A35D8B"/>
    <w:pPr>
      <w:spacing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locked/>
    <w:rsid w:val="00A35D8B"/>
    <w:rPr>
      <w:rFonts w:ascii="Arial Bold" w:eastAsia="Times New Roman" w:hAnsi="Arial Bold" w:cs="Times New Roman"/>
      <w:b/>
      <w:sz w:val="18"/>
      <w:szCs w:val="18"/>
    </w:rPr>
  </w:style>
  <w:style w:type="paragraph" w:customStyle="1" w:styleId="Tablebullet">
    <w:name w:val="Table bullet"/>
    <w:link w:val="TablebulletChar"/>
    <w:qFormat/>
    <w:rsid w:val="00A35D8B"/>
    <w:pPr>
      <w:numPr>
        <w:numId w:val="15"/>
      </w:numPr>
      <w:tabs>
        <w:tab w:val="left" w:pos="252"/>
      </w:tabs>
      <w:spacing w:after="0" w:line="240" w:lineRule="auto"/>
      <w:ind w:left="252" w:hanging="252"/>
    </w:pPr>
    <w:rPr>
      <w:rFonts w:ascii="Arial" w:eastAsia="Times New Roman" w:hAnsi="Arial" w:cs="Times New Roman"/>
      <w:noProof/>
      <w:sz w:val="18"/>
      <w:szCs w:val="20"/>
    </w:rPr>
  </w:style>
  <w:style w:type="character" w:customStyle="1" w:styleId="TablebulletChar">
    <w:name w:val="Table bullet Char"/>
    <w:link w:val="Tablebullet"/>
    <w:locked/>
    <w:rsid w:val="00A35D8B"/>
    <w:rPr>
      <w:rFonts w:ascii="Arial" w:eastAsia="Times New Roman" w:hAnsi="Arial" w:cs="Times New Roman"/>
      <w:noProof/>
      <w:sz w:val="18"/>
      <w:szCs w:val="20"/>
    </w:rPr>
  </w:style>
  <w:style w:type="paragraph" w:customStyle="1" w:styleId="tablebullets0">
    <w:name w:val="table bullets"/>
    <w:basedOn w:val="Tablebullet"/>
    <w:qFormat/>
    <w:rsid w:val="00A35D8B"/>
  </w:style>
  <w:style w:type="paragraph" w:customStyle="1" w:styleId="tablebullets-2">
    <w:name w:val="table bullets-2"/>
    <w:basedOn w:val="tablebullets0"/>
    <w:qFormat/>
    <w:rsid w:val="00A35D8B"/>
    <w:pPr>
      <w:numPr>
        <w:ilvl w:val="1"/>
        <w:numId w:val="16"/>
      </w:numPr>
      <w:tabs>
        <w:tab w:val="num" w:pos="360"/>
      </w:tabs>
      <w:ind w:left="663" w:hanging="274"/>
    </w:pPr>
  </w:style>
  <w:style w:type="paragraph" w:customStyle="1" w:styleId="Tabletextbold0">
    <w:name w:val="Table text bold"/>
    <w:basedOn w:val="Tabletext1"/>
    <w:qFormat/>
    <w:rsid w:val="00A35D8B"/>
    <w:rPr>
      <w:b/>
    </w:rPr>
  </w:style>
  <w:style w:type="paragraph" w:customStyle="1" w:styleId="references">
    <w:name w:val="references"/>
    <w:basedOn w:val="Normal"/>
    <w:rsid w:val="00A35D8B"/>
    <w:pPr>
      <w:shd w:val="clear" w:color="auto" w:fill="FFFFFF"/>
      <w:spacing w:before="60"/>
      <w:ind w:left="550" w:hanging="550"/>
    </w:pPr>
    <w:rPr>
      <w:rFonts w:ascii="Times New Roman" w:hAnsi="Times New Roman"/>
    </w:rPr>
  </w:style>
  <w:style w:type="paragraph" w:customStyle="1" w:styleId="HeadingAtext">
    <w:name w:val="Heading A text"/>
    <w:basedOn w:val="Normal"/>
    <w:qFormat/>
    <w:rsid w:val="00A35D8B"/>
    <w:pPr>
      <w:spacing w:before="120" w:after="120"/>
      <w:ind w:left="1080"/>
    </w:pPr>
    <w:rPr>
      <w:rFonts w:ascii="Times New Roman" w:hAnsi="Times New Roman" w:cs="Arial"/>
    </w:rPr>
  </w:style>
  <w:style w:type="paragraph" w:customStyle="1" w:styleId="Tabletitle1">
    <w:name w:val="Table title"/>
    <w:basedOn w:val="HeadingA"/>
    <w:qFormat/>
    <w:rsid w:val="00A35D8B"/>
    <w:pPr>
      <w:tabs>
        <w:tab w:val="clear" w:pos="1080"/>
      </w:tabs>
      <w:spacing w:before="120"/>
      <w:ind w:left="0" w:firstLine="0"/>
    </w:pPr>
    <w:rPr>
      <w:rFonts w:ascii="Arial" w:hAnsi="Arial"/>
      <w:sz w:val="20"/>
    </w:rPr>
  </w:style>
  <w:style w:type="paragraph" w:customStyle="1" w:styleId="Tabletextheaderrow">
    <w:name w:val="Table text header row"/>
    <w:basedOn w:val="Normal"/>
    <w:qFormat/>
    <w:rsid w:val="00A35D8B"/>
    <w:rPr>
      <w:rFonts w:ascii="Arial" w:hAnsi="Arial" w:cs="Arial"/>
      <w:b/>
      <w:bCs/>
      <w:sz w:val="18"/>
      <w:szCs w:val="18"/>
    </w:rPr>
  </w:style>
  <w:style w:type="paragraph" w:customStyle="1" w:styleId="HeadingAbullets">
    <w:name w:val="Heading A bullets"/>
    <w:basedOn w:val="HeadingAtext"/>
    <w:qFormat/>
    <w:rsid w:val="00A35D8B"/>
    <w:pPr>
      <w:numPr>
        <w:numId w:val="17"/>
      </w:numPr>
      <w:tabs>
        <w:tab w:val="left" w:pos="1620"/>
      </w:tabs>
      <w:spacing w:before="0" w:after="0"/>
      <w:ind w:left="1526"/>
    </w:pPr>
  </w:style>
  <w:style w:type="paragraph" w:customStyle="1" w:styleId="Cov-Author">
    <w:name w:val="Cov-Author"/>
    <w:basedOn w:val="Normal"/>
    <w:rsid w:val="00A35D8B"/>
    <w:pPr>
      <w:jc w:val="right"/>
    </w:pPr>
    <w:rPr>
      <w:rFonts w:ascii="Arial Black" w:hAnsi="Arial Black"/>
    </w:rPr>
  </w:style>
  <w:style w:type="paragraph" w:styleId="PlainText">
    <w:name w:val="Plain Text"/>
    <w:basedOn w:val="Normal"/>
    <w:link w:val="PlainTextChar"/>
    <w:uiPriority w:val="99"/>
    <w:unhideWhenUsed/>
    <w:rsid w:val="00A35D8B"/>
    <w:rPr>
      <w:rFonts w:ascii="Consolas" w:eastAsia="Calibri" w:hAnsi="Consolas"/>
      <w:sz w:val="21"/>
      <w:szCs w:val="21"/>
    </w:rPr>
  </w:style>
  <w:style w:type="character" w:customStyle="1" w:styleId="PlainTextChar">
    <w:name w:val="Plain Text Char"/>
    <w:basedOn w:val="DefaultParagraphFont"/>
    <w:link w:val="PlainText"/>
    <w:uiPriority w:val="99"/>
    <w:rsid w:val="00A35D8B"/>
    <w:rPr>
      <w:rFonts w:ascii="Consolas" w:eastAsia="Calibri" w:hAnsi="Consolas" w:cs="Times New Roman"/>
      <w:sz w:val="21"/>
      <w:szCs w:val="21"/>
    </w:rPr>
  </w:style>
  <w:style w:type="paragraph" w:styleId="ListBullet">
    <w:name w:val="List Bullet"/>
    <w:basedOn w:val="Normal"/>
    <w:uiPriority w:val="99"/>
    <w:unhideWhenUsed/>
    <w:rsid w:val="00A35D8B"/>
    <w:pPr>
      <w:numPr>
        <w:numId w:val="18"/>
      </w:numPr>
      <w:contextualSpacing/>
    </w:pPr>
  </w:style>
  <w:style w:type="paragraph" w:customStyle="1" w:styleId="TableTextParaSpace">
    <w:name w:val="TableTextParaSpace"/>
    <w:basedOn w:val="Normal"/>
    <w:qFormat/>
    <w:rsid w:val="00A35D8B"/>
    <w:pPr>
      <w:spacing w:before="120"/>
    </w:pPr>
    <w:rPr>
      <w:rFonts w:ascii="Arial" w:hAnsi="Arial" w:cs="Arial"/>
      <w:bCs/>
      <w:color w:val="000000"/>
      <w:sz w:val="18"/>
    </w:rPr>
  </w:style>
  <w:style w:type="character" w:customStyle="1" w:styleId="FootnoteTextChar">
    <w:name w:val="Footnote Text Char"/>
    <w:basedOn w:val="DefaultParagraphFont"/>
    <w:link w:val="FootnoteText"/>
    <w:uiPriority w:val="99"/>
    <w:semiHidden/>
    <w:rsid w:val="00A35D8B"/>
    <w:rPr>
      <w:rFonts w:ascii="Times New Roman" w:eastAsia="Times New Roman" w:hAnsi="Times New Roman"/>
    </w:rPr>
  </w:style>
  <w:style w:type="paragraph" w:styleId="FootnoteText">
    <w:name w:val="footnote text"/>
    <w:basedOn w:val="Normal"/>
    <w:link w:val="FootnoteTextChar"/>
    <w:uiPriority w:val="99"/>
    <w:semiHidden/>
    <w:unhideWhenUsed/>
    <w:rsid w:val="00A35D8B"/>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A35D8B"/>
    <w:rPr>
      <w:rFonts w:ascii="Times" w:eastAsia="Times New Roman" w:hAnsi="Times" w:cs="Times New Roman"/>
      <w:sz w:val="20"/>
      <w:szCs w:val="20"/>
    </w:rPr>
  </w:style>
  <w:style w:type="paragraph" w:customStyle="1" w:styleId="TableHeaders">
    <w:name w:val="Table Headers"/>
    <w:basedOn w:val="Normal"/>
    <w:qFormat/>
    <w:rsid w:val="00A35D8B"/>
    <w:rPr>
      <w:rFonts w:ascii="Arial" w:eastAsia="Calibri" w:hAnsi="Arial"/>
      <w:b/>
      <w:sz w:val="18"/>
      <w:szCs w:val="22"/>
    </w:rPr>
  </w:style>
  <w:style w:type="character" w:customStyle="1" w:styleId="st1">
    <w:name w:val="st1"/>
    <w:basedOn w:val="DefaultParagraphFont"/>
    <w:rsid w:val="00A35D8B"/>
  </w:style>
  <w:style w:type="character" w:customStyle="1" w:styleId="st">
    <w:name w:val="st"/>
    <w:basedOn w:val="DefaultParagraphFont"/>
    <w:rsid w:val="00A35D8B"/>
  </w:style>
  <w:style w:type="paragraph" w:customStyle="1" w:styleId="TableBullet0">
    <w:name w:val="TableBullet"/>
    <w:basedOn w:val="TableTextParaSpace"/>
    <w:qFormat/>
    <w:rsid w:val="00A35D8B"/>
    <w:pPr>
      <w:numPr>
        <w:numId w:val="19"/>
      </w:numPr>
      <w:spacing w:before="0"/>
      <w:ind w:left="214" w:hanging="180"/>
    </w:pPr>
    <w:rPr>
      <w:noProof/>
      <w:szCs w:val="18"/>
    </w:rPr>
  </w:style>
  <w:style w:type="paragraph" w:customStyle="1" w:styleId="H1">
    <w:name w:val="H1"/>
    <w:rsid w:val="00A35D8B"/>
    <w:pPr>
      <w:spacing w:before="240" w:after="0" w:line="240" w:lineRule="auto"/>
    </w:pPr>
    <w:rPr>
      <w:rFonts w:ascii="Arial" w:eastAsia="Times New Roman" w:hAnsi="Arial" w:cs="Times New Roman"/>
      <w:b/>
      <w:kern w:val="28"/>
      <w:sz w:val="28"/>
      <w:szCs w:val="20"/>
    </w:rPr>
  </w:style>
  <w:style w:type="paragraph" w:customStyle="1" w:styleId="ParaText">
    <w:name w:val="Para_Text"/>
    <w:rsid w:val="00A35D8B"/>
    <w:pPr>
      <w:spacing w:before="120" w:after="0" w:line="240" w:lineRule="auto"/>
      <w:ind w:firstLine="360"/>
    </w:pPr>
    <w:rPr>
      <w:rFonts w:ascii="Times New Roman" w:eastAsia="Times New Roman" w:hAnsi="Times New Roman" w:cs="Times New Roman"/>
      <w:sz w:val="24"/>
      <w:szCs w:val="20"/>
    </w:rPr>
  </w:style>
  <w:style w:type="character" w:styleId="Strong">
    <w:name w:val="Strong"/>
    <w:basedOn w:val="DefaultParagraphFont"/>
    <w:uiPriority w:val="22"/>
    <w:qFormat/>
    <w:rsid w:val="00A35D8B"/>
    <w:rPr>
      <w:b/>
      <w:bCs/>
    </w:rPr>
  </w:style>
  <w:style w:type="paragraph" w:customStyle="1" w:styleId="authors">
    <w:name w:val="authors"/>
    <w:basedOn w:val="Normal"/>
    <w:rsid w:val="00A35D8B"/>
    <w:pPr>
      <w:spacing w:after="432"/>
    </w:pPr>
    <w:rPr>
      <w:rFonts w:ascii="Times New Roman" w:hAnsi="Times New Roman"/>
      <w:szCs w:val="24"/>
    </w:rPr>
  </w:style>
  <w:style w:type="character" w:customStyle="1" w:styleId="frlabel1">
    <w:name w:val="fr_label1"/>
    <w:basedOn w:val="DefaultParagraphFont"/>
    <w:rsid w:val="00A35D8B"/>
    <w:rPr>
      <w:b/>
      <w:bCs/>
    </w:rPr>
  </w:style>
  <w:style w:type="character" w:customStyle="1" w:styleId="summarydata2">
    <w:name w:val="summary_data2"/>
    <w:basedOn w:val="DefaultParagraphFont"/>
    <w:rsid w:val="00A35D8B"/>
    <w:rPr>
      <w:rFonts w:ascii="Arial" w:hAnsi="Arial" w:cs="Arial" w:hint="default"/>
      <w:b/>
      <w:bCs/>
      <w:color w:val="4B4B4B"/>
      <w:sz w:val="18"/>
      <w:szCs w:val="18"/>
    </w:rPr>
  </w:style>
  <w:style w:type="character" w:customStyle="1" w:styleId="smallv1101">
    <w:name w:val="smallv1101"/>
    <w:basedOn w:val="DefaultParagraphFont"/>
    <w:rsid w:val="00A35D8B"/>
    <w:rPr>
      <w:sz w:val="26"/>
      <w:szCs w:val="26"/>
    </w:rPr>
  </w:style>
  <w:style w:type="character" w:customStyle="1" w:styleId="label2">
    <w:name w:val="label2"/>
    <w:basedOn w:val="DefaultParagraphFont"/>
    <w:rsid w:val="00A35D8B"/>
    <w:rPr>
      <w:b w:val="0"/>
      <w:bCs w:val="0"/>
      <w:color w:val="4B4B4B"/>
    </w:rPr>
  </w:style>
  <w:style w:type="character" w:customStyle="1" w:styleId="databold1">
    <w:name w:val="data_bold1"/>
    <w:basedOn w:val="DefaultParagraphFont"/>
    <w:rsid w:val="00A35D8B"/>
    <w:rPr>
      <w:b/>
      <w:bCs/>
    </w:rPr>
  </w:style>
  <w:style w:type="paragraph" w:customStyle="1" w:styleId="R-Pubs-Pres">
    <w:name w:val="R-Pubs-Pres"/>
    <w:basedOn w:val="Normal"/>
    <w:rsid w:val="00A35D8B"/>
    <w:pPr>
      <w:keepLines/>
      <w:spacing w:after="220"/>
      <w:ind w:left="446" w:hanging="446"/>
    </w:pPr>
    <w:rPr>
      <w:rFonts w:ascii="Times New Roman" w:hAnsi="Times New Roman"/>
    </w:rPr>
  </w:style>
  <w:style w:type="paragraph" w:customStyle="1" w:styleId="ES-Level3Heading">
    <w:name w:val="ES-Level3Heading"/>
    <w:basedOn w:val="Normal"/>
    <w:qFormat/>
    <w:rsid w:val="00A35D8B"/>
    <w:pPr>
      <w:keepNext/>
      <w:spacing w:before="240"/>
    </w:pPr>
    <w:rPr>
      <w:rFonts w:ascii="Arial" w:eastAsiaTheme="minorEastAsia" w:hAnsi="Arial" w:cs="Arial"/>
      <w:b/>
      <w:bCs/>
      <w:sz w:val="28"/>
      <w:szCs w:val="28"/>
    </w:rPr>
  </w:style>
  <w:style w:type="paragraph" w:customStyle="1" w:styleId="Bullet-Blank">
    <w:name w:val="Bullet-Blank"/>
    <w:basedOn w:val="Bullet1"/>
    <w:qFormat/>
    <w:rsid w:val="00A35D8B"/>
    <w:pPr>
      <w:ind w:left="1080"/>
    </w:pPr>
  </w:style>
  <w:style w:type="character" w:styleId="FollowedHyperlink">
    <w:name w:val="FollowedHyperlink"/>
    <w:basedOn w:val="DefaultParagraphFont"/>
    <w:uiPriority w:val="99"/>
    <w:semiHidden/>
    <w:unhideWhenUsed/>
    <w:rsid w:val="00A35D8B"/>
    <w:rPr>
      <w:color w:val="800080"/>
      <w:u w:val="single"/>
    </w:rPr>
  </w:style>
  <w:style w:type="character" w:customStyle="1" w:styleId="ui-ncbitoggler-master-text">
    <w:name w:val="ui-ncbitoggler-master-text"/>
    <w:basedOn w:val="DefaultParagraphFont"/>
    <w:rsid w:val="00A35D8B"/>
  </w:style>
  <w:style w:type="character" w:customStyle="1" w:styleId="ui-icon">
    <w:name w:val="ui-icon"/>
    <w:basedOn w:val="DefaultParagraphFont"/>
    <w:rsid w:val="00A35D8B"/>
  </w:style>
  <w:style w:type="paragraph" w:customStyle="1" w:styleId="meshdsscopenote">
    <w:name w:val="mesh_ds_scope_note"/>
    <w:basedOn w:val="Normal"/>
    <w:rsid w:val="00A35D8B"/>
    <w:pPr>
      <w:spacing w:before="100" w:beforeAutospacing="1" w:after="100" w:afterAutospacing="1"/>
    </w:pPr>
    <w:rPr>
      <w:rFonts w:ascii="Times New Roman" w:hAnsi="Times New Roman"/>
      <w:szCs w:val="24"/>
    </w:rPr>
  </w:style>
  <w:style w:type="paragraph" w:customStyle="1" w:styleId="meshyearintroduced">
    <w:name w:val="mesh_year_introduced"/>
    <w:basedOn w:val="Normal"/>
    <w:rsid w:val="00A35D8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35D8B"/>
  </w:style>
  <w:style w:type="character" w:customStyle="1" w:styleId="medium-bold">
    <w:name w:val="medium-bold"/>
    <w:basedOn w:val="DefaultParagraphFont"/>
    <w:rsid w:val="00A35D8B"/>
  </w:style>
  <w:style w:type="character" w:customStyle="1" w:styleId="medium-normal">
    <w:name w:val="medium-normal"/>
    <w:basedOn w:val="DefaultParagraphFont"/>
    <w:rsid w:val="00A35D8B"/>
  </w:style>
  <w:style w:type="character" w:customStyle="1" w:styleId="hidden">
    <w:name w:val="hidden"/>
    <w:basedOn w:val="DefaultParagraphFont"/>
    <w:rsid w:val="00A35D8B"/>
  </w:style>
  <w:style w:type="character" w:customStyle="1" w:styleId="label">
    <w:name w:val="label"/>
    <w:basedOn w:val="DefaultParagraphFont"/>
    <w:rsid w:val="00A35D8B"/>
  </w:style>
  <w:style w:type="table" w:customStyle="1" w:styleId="EPC">
    <w:name w:val="EPC"/>
    <w:basedOn w:val="TableNormal"/>
    <w:uiPriority w:val="99"/>
    <w:rsid w:val="00A35D8B"/>
    <w:pPr>
      <w:spacing w:after="0" w:line="240" w:lineRule="auto"/>
    </w:pPr>
    <w:rPr>
      <w:rFonts w:ascii="Arial" w:hAnsi="Arial"/>
      <w:sz w:val="18"/>
    </w:rPr>
    <w:tblPr>
      <w:tblInd w:w="0" w:type="dxa"/>
      <w:tblBorders>
        <w:insideH w:val="single" w:sz="2" w:space="0" w:color="auto"/>
      </w:tblBorders>
      <w:tblCellMar>
        <w:top w:w="0" w:type="dxa"/>
        <w:left w:w="29" w:type="dxa"/>
        <w:bottom w:w="0" w:type="dxa"/>
        <w:right w:w="29" w:type="dxa"/>
      </w:tblCellMar>
    </w:tblPr>
    <w:tblStylePr w:type="firstRow">
      <w:rPr>
        <w:b/>
      </w:rPr>
      <w:tblPr/>
      <w:tcPr>
        <w:tcBorders>
          <w:top w:val="single" w:sz="12" w:space="0" w:color="auto"/>
          <w:bottom w:val="nil"/>
        </w:tcBorders>
      </w:tcPr>
    </w:tblStylePr>
    <w:tblStylePr w:type="lastRow">
      <w:tblPr/>
      <w:tcPr>
        <w:tcBorders>
          <w:bottom w:val="single" w:sz="12" w:space="0" w:color="auto"/>
        </w:tcBorders>
      </w:tcPr>
    </w:tblStylePr>
  </w:style>
  <w:style w:type="paragraph" w:customStyle="1" w:styleId="Text">
    <w:name w:val="Text"/>
    <w:basedOn w:val="Normal"/>
    <w:qFormat/>
    <w:rsid w:val="00A35D8B"/>
    <w:pPr>
      <w:spacing w:after="120"/>
    </w:pPr>
    <w:rPr>
      <w:rFonts w:ascii="Times New Roman" w:hAnsi="Times New Roman" w:cstheme="minorBidi"/>
      <w:bCs/>
      <w:szCs w:val="27"/>
    </w:rPr>
  </w:style>
  <w:style w:type="paragraph" w:styleId="HTMLPreformatted">
    <w:name w:val="HTML Preformatted"/>
    <w:basedOn w:val="Normal"/>
    <w:link w:val="HTMLPreformattedChar"/>
    <w:unhideWhenUsed/>
    <w:rsid w:val="00A3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A35D8B"/>
    <w:rPr>
      <w:rFonts w:ascii="Courier New" w:eastAsia="Times New Roman" w:hAnsi="Courier New" w:cs="Courier New"/>
      <w:sz w:val="20"/>
      <w:szCs w:val="20"/>
    </w:rPr>
  </w:style>
  <w:style w:type="character" w:customStyle="1" w:styleId="summarydata">
    <w:name w:val="summary_data"/>
    <w:basedOn w:val="DefaultParagraphFont"/>
    <w:rsid w:val="00A35D8B"/>
  </w:style>
  <w:style w:type="character" w:customStyle="1" w:styleId="smallv110">
    <w:name w:val="smallv110"/>
    <w:basedOn w:val="DefaultParagraphFont"/>
    <w:rsid w:val="00A35D8B"/>
  </w:style>
  <w:style w:type="character" w:customStyle="1" w:styleId="hithilite">
    <w:name w:val="hithilite"/>
    <w:basedOn w:val="DefaultParagraphFont"/>
    <w:rsid w:val="00A35D8B"/>
  </w:style>
  <w:style w:type="character" w:customStyle="1" w:styleId="databold">
    <w:name w:val="data_bold"/>
    <w:basedOn w:val="DefaultParagraphFont"/>
    <w:rsid w:val="00A35D8B"/>
  </w:style>
  <w:style w:type="character" w:customStyle="1" w:styleId="term">
    <w:name w:val="term"/>
    <w:basedOn w:val="DefaultParagraphFont"/>
    <w:rsid w:val="00A35D8B"/>
  </w:style>
  <w:style w:type="table" w:customStyle="1" w:styleId="AHRQ">
    <w:name w:val="AHRQ"/>
    <w:basedOn w:val="TableNormal"/>
    <w:uiPriority w:val="99"/>
    <w:qFormat/>
    <w:rsid w:val="00A35D8B"/>
    <w:pPr>
      <w:spacing w:after="0" w:line="240" w:lineRule="auto"/>
    </w:pPr>
    <w:rPr>
      <w:rFonts w:ascii="Arial" w:eastAsia="Calibri" w:hAnsi="Arial" w:cs="Arial"/>
      <w:color w:val="000000"/>
      <w:sz w:val="18"/>
      <w:szCs w:val="20"/>
    </w:rPr>
    <w:tblPr>
      <w:tblInd w:w="0" w:type="dxa"/>
      <w:tblBorders>
        <w:insideH w:val="single" w:sz="4" w:space="0" w:color="auto"/>
      </w:tblBorders>
      <w:tblCellMar>
        <w:top w:w="0" w:type="dxa"/>
        <w:left w:w="108" w:type="dxa"/>
        <w:bottom w:w="0" w:type="dxa"/>
        <w:right w:w="108" w:type="dxa"/>
      </w:tblCellMar>
    </w:tblPr>
    <w:tblStylePr w:type="firstRow">
      <w:rPr>
        <w:b/>
      </w:rPr>
      <w:tblPr/>
      <w:tcPr>
        <w:tcBorders>
          <w:top w:val="single" w:sz="12" w:space="0" w:color="auto"/>
          <w:bottom w:val="nil"/>
        </w:tcBorders>
      </w:tcPr>
    </w:tblStylePr>
    <w:tblStylePr w:type="lastRow">
      <w:rPr>
        <w:rFonts w:ascii="Arial" w:hAnsi="Arial"/>
        <w:sz w:val="18"/>
      </w:rPr>
      <w:tblPr/>
      <w:tcPr>
        <w:tcBorders>
          <w:bottom w:val="single" w:sz="12" w:space="0" w:color="auto"/>
        </w:tcBorders>
      </w:tcPr>
    </w:tblStylePr>
  </w:style>
  <w:style w:type="paragraph" w:styleId="Title">
    <w:name w:val="Title"/>
    <w:basedOn w:val="Normal"/>
    <w:next w:val="Normal"/>
    <w:link w:val="TitleChar"/>
    <w:uiPriority w:val="10"/>
    <w:qFormat/>
    <w:rsid w:val="00A35D8B"/>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35D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35D8B"/>
    <w:pPr>
      <w:spacing w:after="600" w:line="276" w:lineRule="auto"/>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35D8B"/>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A35D8B"/>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A35D8B"/>
    <w:rPr>
      <w:rFonts w:eastAsiaTheme="minorEastAsia"/>
      <w:i/>
      <w:iCs/>
    </w:rPr>
  </w:style>
  <w:style w:type="paragraph" w:styleId="IntenseQuote">
    <w:name w:val="Intense Quote"/>
    <w:basedOn w:val="Normal"/>
    <w:next w:val="Normal"/>
    <w:link w:val="IntenseQuoteChar"/>
    <w:uiPriority w:val="30"/>
    <w:qFormat/>
    <w:rsid w:val="00A35D8B"/>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A35D8B"/>
    <w:rPr>
      <w:rFonts w:eastAsiaTheme="minorEastAsia"/>
      <w:b/>
      <w:bCs/>
      <w:i/>
      <w:iCs/>
    </w:rPr>
  </w:style>
  <w:style w:type="character" w:customStyle="1" w:styleId="HeadingChar">
    <w:name w:val="Heading Char"/>
    <w:basedOn w:val="DefaultParagraphFont"/>
    <w:link w:val="Heading"/>
    <w:locked/>
    <w:rsid w:val="00A35D8B"/>
    <w:rPr>
      <w:rFonts w:ascii="Arial" w:hAnsi="Arial" w:cs="Arial"/>
      <w:b/>
      <w:bCs/>
      <w:color w:val="000000"/>
    </w:rPr>
  </w:style>
  <w:style w:type="paragraph" w:customStyle="1" w:styleId="Heading">
    <w:name w:val="Heading"/>
    <w:basedOn w:val="Normal"/>
    <w:link w:val="HeadingChar"/>
    <w:rsid w:val="00A35D8B"/>
    <w:pPr>
      <w:keepNext/>
      <w:spacing w:before="240" w:after="240"/>
    </w:pPr>
    <w:rPr>
      <w:rFonts w:ascii="Arial" w:eastAsiaTheme="minorHAnsi" w:hAnsi="Arial" w:cs="Arial"/>
      <w:b/>
      <w:bCs/>
      <w:color w:val="000000"/>
      <w:sz w:val="22"/>
      <w:szCs w:val="22"/>
    </w:rPr>
  </w:style>
  <w:style w:type="character" w:styleId="SubtleEmphasis">
    <w:name w:val="Subtle Emphasis"/>
    <w:uiPriority w:val="19"/>
    <w:qFormat/>
    <w:rsid w:val="00A35D8B"/>
    <w:rPr>
      <w:i/>
      <w:iCs/>
    </w:rPr>
  </w:style>
  <w:style w:type="character" w:styleId="IntenseEmphasis">
    <w:name w:val="Intense Emphasis"/>
    <w:uiPriority w:val="21"/>
    <w:qFormat/>
    <w:rsid w:val="00A35D8B"/>
    <w:rPr>
      <w:b/>
      <w:bCs/>
    </w:rPr>
  </w:style>
  <w:style w:type="character" w:styleId="SubtleReference">
    <w:name w:val="Subtle Reference"/>
    <w:uiPriority w:val="31"/>
    <w:qFormat/>
    <w:rsid w:val="00A35D8B"/>
    <w:rPr>
      <w:smallCaps/>
    </w:rPr>
  </w:style>
  <w:style w:type="character" w:styleId="IntenseReference">
    <w:name w:val="Intense Reference"/>
    <w:uiPriority w:val="32"/>
    <w:qFormat/>
    <w:rsid w:val="00A35D8B"/>
    <w:rPr>
      <w:smallCaps/>
      <w:spacing w:val="5"/>
      <w:u w:val="single"/>
    </w:rPr>
  </w:style>
  <w:style w:type="character" w:styleId="BookTitle">
    <w:name w:val="Book Title"/>
    <w:uiPriority w:val="33"/>
    <w:qFormat/>
    <w:rsid w:val="00A35D8B"/>
    <w:rPr>
      <w:i/>
      <w:iCs/>
      <w:smallCaps/>
      <w:spacing w:val="5"/>
    </w:rPr>
  </w:style>
  <w:style w:type="paragraph" w:styleId="TOCHeading">
    <w:name w:val="TOC Heading"/>
    <w:basedOn w:val="Heading1"/>
    <w:next w:val="Normal"/>
    <w:uiPriority w:val="39"/>
    <w:semiHidden/>
    <w:unhideWhenUsed/>
    <w:qFormat/>
    <w:rsid w:val="00A35D8B"/>
    <w:pPr>
      <w:keepNext w:val="0"/>
      <w:spacing w:before="480" w:after="0" w:line="276" w:lineRule="auto"/>
      <w:contextualSpacing/>
      <w:outlineLvl w:val="9"/>
    </w:pPr>
    <w:rPr>
      <w:rFonts w:ascii="Arial" w:eastAsiaTheme="majorEastAsia" w:hAnsi="Arial" w:cs="Arial"/>
      <w:kern w:val="0"/>
      <w:lang w:bidi="en-US"/>
    </w:rPr>
  </w:style>
  <w:style w:type="paragraph" w:styleId="TOC4">
    <w:name w:val="toc 4"/>
    <w:basedOn w:val="Normal"/>
    <w:next w:val="Normal"/>
    <w:autoRedefine/>
    <w:uiPriority w:val="39"/>
    <w:unhideWhenUsed/>
    <w:rsid w:val="00A35D8B"/>
    <w:pPr>
      <w:spacing w:after="100" w:line="276" w:lineRule="auto"/>
      <w:ind w:left="6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8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A35D8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35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35D8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35D8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A35D8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35D8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35D8B"/>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A35D8B"/>
    <w:pPr>
      <w:spacing w:line="276" w:lineRule="auto"/>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A35D8B"/>
    <w:pPr>
      <w:spacing w:line="276" w:lineRule="auto"/>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8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35D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35D8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35D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35D8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5D8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5D8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35D8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35D8B"/>
    <w:rPr>
      <w:rFonts w:asciiTheme="majorHAnsi" w:eastAsiaTheme="majorEastAsia" w:hAnsiTheme="majorHAnsi" w:cstheme="majorBidi"/>
      <w:i/>
      <w:iCs/>
      <w:spacing w:val="5"/>
      <w:sz w:val="20"/>
      <w:szCs w:val="20"/>
    </w:rPr>
  </w:style>
  <w:style w:type="paragraph" w:customStyle="1" w:styleId="ParagraphIndent">
    <w:name w:val="ParagraphIndent"/>
    <w:qFormat/>
    <w:rsid w:val="00A35D8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A35D8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A35D8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35D8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A35D8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A35D8B"/>
    <w:pPr>
      <w:spacing w:before="100" w:beforeAutospacing="1" w:after="100" w:afterAutospacing="1"/>
    </w:pPr>
    <w:rPr>
      <w:rFonts w:ascii="Times New Roman" w:hAnsi="Times New Roman"/>
      <w:szCs w:val="24"/>
    </w:rPr>
  </w:style>
  <w:style w:type="paragraph" w:customStyle="1" w:styleId="PageNumber">
    <w:name w:val="PageNumber"/>
    <w:qFormat/>
    <w:rsid w:val="00A35D8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A35D8B"/>
    <w:pPr>
      <w:keepNext/>
      <w:spacing w:before="240" w:after="60" w:line="240" w:lineRule="auto"/>
    </w:pPr>
    <w:rPr>
      <w:rFonts w:ascii="Arial" w:eastAsia="Calibri" w:hAnsi="Arial" w:cs="Arial"/>
      <w:b/>
      <w:sz w:val="32"/>
      <w:szCs w:val="32"/>
    </w:rPr>
  </w:style>
  <w:style w:type="table" w:customStyle="1" w:styleId="AHRQ1">
    <w:name w:val="AHRQ1"/>
    <w:basedOn w:val="TableGrid"/>
    <w:rsid w:val="00A35D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35D8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A35D8B"/>
    <w:rPr>
      <w:rFonts w:ascii="Times New Roman" w:hAnsi="Times New Roman"/>
      <w:szCs w:val="24"/>
      <w:lang w:val="en-CA"/>
    </w:rPr>
  </w:style>
  <w:style w:type="paragraph" w:styleId="TOC2">
    <w:name w:val="toc 2"/>
    <w:basedOn w:val="Normal"/>
    <w:next w:val="Normal"/>
    <w:autoRedefine/>
    <w:uiPriority w:val="39"/>
    <w:rsid w:val="00AA61D3"/>
    <w:pPr>
      <w:tabs>
        <w:tab w:val="right" w:leader="dot" w:pos="9350"/>
      </w:tabs>
      <w:ind w:left="360"/>
    </w:pPr>
    <w:rPr>
      <w:rFonts w:ascii="Times New Roman" w:hAnsi="Times New Roman"/>
      <w:szCs w:val="24"/>
      <w:lang w:val="en-CA"/>
    </w:rPr>
  </w:style>
  <w:style w:type="paragraph" w:customStyle="1" w:styleId="ChapterHeading">
    <w:name w:val="ChapterHeading"/>
    <w:qFormat/>
    <w:rsid w:val="00A35D8B"/>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A35D8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35D8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TableTitle">
    <w:name w:val="TableTitle"/>
    <w:qFormat/>
    <w:rsid w:val="00A35D8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35D8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35D8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rsid w:val="00A35D8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35D8B"/>
    <w:rPr>
      <w:rFonts w:ascii="Calibri" w:eastAsia="Calibri" w:hAnsi="Calibri" w:cs="Times New Roman"/>
    </w:rPr>
  </w:style>
  <w:style w:type="paragraph" w:customStyle="1" w:styleId="Level5Heading">
    <w:name w:val="Level5Heading"/>
    <w:qFormat/>
    <w:rsid w:val="00A35D8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35D8B"/>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rsid w:val="00A35D8B"/>
    <w:rPr>
      <w:rFonts w:ascii="Tahoma" w:hAnsi="Tahoma" w:cs="Tahoma"/>
      <w:sz w:val="16"/>
      <w:szCs w:val="16"/>
    </w:rPr>
  </w:style>
  <w:style w:type="character" w:customStyle="1" w:styleId="BalloonTextChar">
    <w:name w:val="Balloon Text Char"/>
    <w:basedOn w:val="DefaultParagraphFont"/>
    <w:link w:val="BalloonText"/>
    <w:uiPriority w:val="99"/>
    <w:semiHidden/>
    <w:rsid w:val="00A35D8B"/>
    <w:rPr>
      <w:rFonts w:ascii="Tahoma" w:eastAsia="Times New Roman" w:hAnsi="Tahoma" w:cs="Tahoma"/>
      <w:sz w:val="16"/>
      <w:szCs w:val="16"/>
    </w:rPr>
  </w:style>
  <w:style w:type="character" w:styleId="CommentReference">
    <w:name w:val="annotation reference"/>
    <w:semiHidden/>
    <w:rsid w:val="00A35D8B"/>
    <w:rPr>
      <w:rFonts w:cs="Times New Roman"/>
      <w:sz w:val="16"/>
      <w:szCs w:val="16"/>
    </w:rPr>
  </w:style>
  <w:style w:type="paragraph" w:styleId="CommentText">
    <w:name w:val="annotation text"/>
    <w:basedOn w:val="Normal"/>
    <w:link w:val="CommentTextChar"/>
    <w:rsid w:val="00A35D8B"/>
    <w:pPr>
      <w:spacing w:before="240" w:after="60"/>
    </w:pPr>
    <w:rPr>
      <w:rFonts w:ascii="Calibri" w:eastAsia="Calibri" w:hAnsi="Calibri"/>
      <w:sz w:val="20"/>
    </w:rPr>
  </w:style>
  <w:style w:type="character" w:customStyle="1" w:styleId="CommentTextChar">
    <w:name w:val="Comment Text Char"/>
    <w:basedOn w:val="DefaultParagraphFont"/>
    <w:link w:val="CommentText"/>
    <w:rsid w:val="00A35D8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A35D8B"/>
    <w:rPr>
      <w:b/>
      <w:bCs/>
    </w:rPr>
  </w:style>
  <w:style w:type="character" w:customStyle="1" w:styleId="CommentSubjectChar">
    <w:name w:val="Comment Subject Char"/>
    <w:basedOn w:val="CommentTextChar"/>
    <w:link w:val="CommentSubject"/>
    <w:uiPriority w:val="99"/>
    <w:semiHidden/>
    <w:rsid w:val="00A35D8B"/>
    <w:rPr>
      <w:rFonts w:ascii="Calibri" w:eastAsia="Calibri" w:hAnsi="Calibri" w:cs="Times New Roman"/>
      <w:b/>
      <w:bCs/>
      <w:sz w:val="20"/>
      <w:szCs w:val="20"/>
    </w:rPr>
  </w:style>
  <w:style w:type="paragraph" w:customStyle="1" w:styleId="PreparedForText">
    <w:name w:val="PreparedForText"/>
    <w:qFormat/>
    <w:rsid w:val="00A35D8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35D8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35D8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35D8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35D8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35D8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35D8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35D8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35D8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35D8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autoRedefine/>
    <w:qFormat/>
    <w:rsid w:val="00A35D8B"/>
    <w:pPr>
      <w:spacing w:after="0" w:line="240" w:lineRule="auto"/>
    </w:pPr>
    <w:rPr>
      <w:rFonts w:ascii="Arial" w:eastAsia="Calibri" w:hAnsi="Arial" w:cs="Arial"/>
      <w:b/>
      <w:bCs/>
      <w:sz w:val="18"/>
      <w:szCs w:val="18"/>
    </w:rPr>
  </w:style>
  <w:style w:type="paragraph" w:customStyle="1" w:styleId="TableSubhead">
    <w:name w:val="TableSubhead"/>
    <w:qFormat/>
    <w:rsid w:val="00A35D8B"/>
    <w:pPr>
      <w:spacing w:after="0" w:line="240" w:lineRule="auto"/>
    </w:pPr>
    <w:rPr>
      <w:rFonts w:ascii="Arial" w:eastAsia="Calibri" w:hAnsi="Arial" w:cs="Arial"/>
      <w:b/>
      <w:i/>
      <w:sz w:val="18"/>
      <w:szCs w:val="18"/>
    </w:rPr>
  </w:style>
  <w:style w:type="paragraph" w:customStyle="1" w:styleId="TableText">
    <w:name w:val="TableText"/>
    <w:qFormat/>
    <w:rsid w:val="00A35D8B"/>
    <w:pPr>
      <w:spacing w:after="0" w:line="240" w:lineRule="auto"/>
    </w:pPr>
    <w:rPr>
      <w:rFonts w:ascii="Arial" w:eastAsia="Calibri" w:hAnsi="Arial" w:cs="Arial"/>
      <w:sz w:val="18"/>
      <w:szCs w:val="18"/>
    </w:rPr>
  </w:style>
  <w:style w:type="paragraph" w:styleId="Footer">
    <w:name w:val="footer"/>
    <w:basedOn w:val="Normal"/>
    <w:link w:val="FooterChar"/>
    <w:uiPriority w:val="99"/>
    <w:rsid w:val="00A35D8B"/>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A35D8B"/>
    <w:rPr>
      <w:rFonts w:ascii="Calibri" w:eastAsia="Calibri" w:hAnsi="Calibri" w:cs="Times New Roman"/>
    </w:rPr>
  </w:style>
  <w:style w:type="paragraph" w:customStyle="1" w:styleId="Level6Heading">
    <w:name w:val="Level6Heading"/>
    <w:qFormat/>
    <w:rsid w:val="00A35D8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35D8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35D8B"/>
    <w:pPr>
      <w:keepNext/>
      <w:spacing w:after="0" w:line="240" w:lineRule="auto"/>
    </w:pPr>
    <w:rPr>
      <w:rFonts w:ascii="Times New Roman" w:eastAsia="Times New Roman" w:hAnsi="Times New Roman" w:cs="Times New Roman"/>
      <w:bCs/>
      <w:i/>
      <w:sz w:val="24"/>
      <w:szCs w:val="24"/>
    </w:rPr>
  </w:style>
  <w:style w:type="paragraph" w:customStyle="1" w:styleId="Bullet1">
    <w:name w:val="Bullet1"/>
    <w:basedOn w:val="Normal"/>
    <w:qFormat/>
    <w:rsid w:val="00A35D8B"/>
    <w:pPr>
      <w:numPr>
        <w:numId w:val="1"/>
      </w:numPr>
    </w:pPr>
    <w:rPr>
      <w:rFonts w:ascii="Times New Roman" w:eastAsia="Calibri" w:hAnsi="Times New Roman"/>
      <w:szCs w:val="24"/>
    </w:rPr>
  </w:style>
  <w:style w:type="paragraph" w:customStyle="1" w:styleId="Bullet2">
    <w:name w:val="Bullet2"/>
    <w:qFormat/>
    <w:rsid w:val="00A35D8B"/>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35D8B"/>
    <w:pPr>
      <w:spacing w:after="0" w:line="240" w:lineRule="auto"/>
      <w:jc w:val="center"/>
    </w:pPr>
    <w:rPr>
      <w:rFonts w:ascii="Arial" w:eastAsia="Calibri" w:hAnsi="Arial" w:cs="Arial"/>
      <w:sz w:val="18"/>
      <w:szCs w:val="18"/>
    </w:rPr>
  </w:style>
  <w:style w:type="paragraph" w:customStyle="1" w:styleId="TableLeftText">
    <w:name w:val="TableLeftText"/>
    <w:qFormat/>
    <w:rsid w:val="00A35D8B"/>
    <w:pPr>
      <w:spacing w:after="0" w:line="240" w:lineRule="auto"/>
    </w:pPr>
    <w:rPr>
      <w:rFonts w:ascii="Arial" w:eastAsia="Calibri" w:hAnsi="Arial" w:cs="Arial"/>
      <w:sz w:val="18"/>
      <w:szCs w:val="18"/>
    </w:rPr>
  </w:style>
  <w:style w:type="paragraph" w:customStyle="1" w:styleId="TableBoldText">
    <w:name w:val="TableBoldText"/>
    <w:qFormat/>
    <w:rsid w:val="00A35D8B"/>
    <w:pPr>
      <w:spacing w:after="0" w:line="240" w:lineRule="auto"/>
    </w:pPr>
    <w:rPr>
      <w:rFonts w:ascii="Arial" w:eastAsia="Calibri" w:hAnsi="Arial" w:cs="Arial"/>
      <w:b/>
      <w:sz w:val="18"/>
      <w:szCs w:val="18"/>
    </w:rPr>
  </w:style>
  <w:style w:type="paragraph" w:customStyle="1" w:styleId="Studies1">
    <w:name w:val="Studies1"/>
    <w:qFormat/>
    <w:rsid w:val="00A35D8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35D8B"/>
    <w:pPr>
      <w:keepLines/>
      <w:numPr>
        <w:numId w:val="2"/>
      </w:numPr>
      <w:spacing w:before="120" w:after="120" w:line="240" w:lineRule="auto"/>
      <w:ind w:hanging="720"/>
    </w:pPr>
    <w:rPr>
      <w:rFonts w:ascii="Times New Roman" w:eastAsia="Calibri" w:hAnsi="Times New Roman" w:cs="Times New Roman"/>
      <w:color w:val="000000"/>
      <w:sz w:val="24"/>
      <w:szCs w:val="24"/>
    </w:rPr>
  </w:style>
  <w:style w:type="paragraph" w:customStyle="1" w:styleId="NumberedList">
    <w:name w:val="NumberedList"/>
    <w:basedOn w:val="Bullet1"/>
    <w:qFormat/>
    <w:rsid w:val="00A35D8B"/>
    <w:pPr>
      <w:numPr>
        <w:numId w:val="3"/>
      </w:numPr>
    </w:pPr>
  </w:style>
  <w:style w:type="paragraph" w:customStyle="1" w:styleId="ReportSubtitle">
    <w:name w:val="ReportSubtitle"/>
    <w:qFormat/>
    <w:rsid w:val="00A35D8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35D8B"/>
    <w:pPr>
      <w:keepNext/>
      <w:spacing w:before="120" w:after="0" w:line="240" w:lineRule="auto"/>
    </w:pPr>
    <w:rPr>
      <w:rFonts w:ascii="Arial" w:eastAsia="Calibri" w:hAnsi="Arial" w:cs="Arial"/>
      <w:b/>
      <w:sz w:val="24"/>
      <w:szCs w:val="32"/>
    </w:rPr>
  </w:style>
  <w:style w:type="character" w:styleId="Hyperlink">
    <w:name w:val="Hyperlink"/>
    <w:uiPriority w:val="99"/>
    <w:rsid w:val="00A35D8B"/>
    <w:rPr>
      <w:rFonts w:cs="Times New Roman"/>
      <w:color w:val="0000FF"/>
      <w:u w:val="single"/>
    </w:rPr>
  </w:style>
  <w:style w:type="paragraph" w:customStyle="1" w:styleId="BodyText">
    <w:name w:val="BodyText"/>
    <w:basedOn w:val="Normal"/>
    <w:link w:val="BodyTextChar"/>
    <w:rsid w:val="00A35D8B"/>
    <w:pPr>
      <w:spacing w:after="120"/>
    </w:pPr>
    <w:rPr>
      <w:rFonts w:ascii="Times New Roman" w:hAnsi="Times New Roman"/>
      <w:szCs w:val="24"/>
    </w:rPr>
  </w:style>
  <w:style w:type="character" w:customStyle="1" w:styleId="BodyTextChar">
    <w:name w:val="BodyText Char"/>
    <w:link w:val="BodyText"/>
    <w:locked/>
    <w:rsid w:val="00A35D8B"/>
    <w:rPr>
      <w:rFonts w:ascii="Times New Roman" w:eastAsia="Times New Roman" w:hAnsi="Times New Roman" w:cs="Times New Roman"/>
      <w:sz w:val="24"/>
      <w:szCs w:val="24"/>
    </w:rPr>
  </w:style>
  <w:style w:type="paragraph" w:customStyle="1" w:styleId="TitlePageReportNumber">
    <w:name w:val="Title Page Report Number"/>
    <w:basedOn w:val="Normal"/>
    <w:rsid w:val="00A35D8B"/>
    <w:rPr>
      <w:rFonts w:ascii="Arial" w:eastAsia="Calibri" w:hAnsi="Arial"/>
      <w:b/>
      <w:sz w:val="28"/>
    </w:rPr>
  </w:style>
  <w:style w:type="paragraph" w:customStyle="1" w:styleId="Default">
    <w:name w:val="Default"/>
    <w:rsid w:val="00A35D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stractText">
    <w:name w:val="Abstract Text"/>
    <w:basedOn w:val="ParagraphNoIndent"/>
    <w:uiPriority w:val="99"/>
    <w:rsid w:val="00A35D8B"/>
    <w:pPr>
      <w:spacing w:after="120"/>
    </w:pPr>
  </w:style>
  <w:style w:type="paragraph" w:customStyle="1" w:styleId="KeyQuestionbullets">
    <w:name w:val="KeyQuestion bullets"/>
    <w:basedOn w:val="Normal"/>
    <w:uiPriority w:val="99"/>
    <w:rsid w:val="00A35D8B"/>
    <w:pPr>
      <w:numPr>
        <w:numId w:val="4"/>
      </w:numPr>
    </w:pPr>
    <w:rPr>
      <w:rFonts w:ascii="Arial" w:hAnsi="Arial"/>
      <w:bCs/>
      <w:sz w:val="28"/>
      <w:szCs w:val="24"/>
    </w:rPr>
  </w:style>
  <w:style w:type="paragraph" w:styleId="Revision">
    <w:name w:val="Revision"/>
    <w:hidden/>
    <w:uiPriority w:val="99"/>
    <w:semiHidden/>
    <w:rsid w:val="00A35D8B"/>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A35D8B"/>
    <w:pPr>
      <w:ind w:left="720"/>
      <w:contextualSpacing/>
    </w:pPr>
  </w:style>
  <w:style w:type="paragraph" w:customStyle="1" w:styleId="BulletBlank">
    <w:name w:val="BulletBlank"/>
    <w:basedOn w:val="Bullet1"/>
    <w:qFormat/>
    <w:rsid w:val="00A35D8B"/>
    <w:pPr>
      <w:numPr>
        <w:numId w:val="0"/>
      </w:numPr>
    </w:pPr>
  </w:style>
  <w:style w:type="paragraph" w:customStyle="1" w:styleId="TableBullets">
    <w:name w:val="TableBullets"/>
    <w:basedOn w:val="Normal"/>
    <w:uiPriority w:val="99"/>
    <w:rsid w:val="00A35D8B"/>
    <w:pPr>
      <w:numPr>
        <w:numId w:val="5"/>
      </w:numPr>
      <w:ind w:left="360"/>
    </w:pPr>
    <w:rPr>
      <w:rFonts w:ascii="Arial" w:eastAsia="Calibri" w:hAnsi="Arial" w:cs="Arial"/>
      <w:sz w:val="18"/>
      <w:szCs w:val="18"/>
    </w:rPr>
  </w:style>
  <w:style w:type="paragraph" w:customStyle="1" w:styleId="FigureTitle">
    <w:name w:val="FigureTitle"/>
    <w:basedOn w:val="TableTitle"/>
    <w:qFormat/>
    <w:rsid w:val="00A35D8B"/>
    <w:rPr>
      <w:lang w:val="fr-FR"/>
    </w:rPr>
  </w:style>
  <w:style w:type="paragraph" w:customStyle="1" w:styleId="bullets-1">
    <w:name w:val="bullets - 1"/>
    <w:uiPriority w:val="99"/>
    <w:rsid w:val="00A35D8B"/>
    <w:pPr>
      <w:numPr>
        <w:numId w:val="6"/>
      </w:numPr>
      <w:spacing w:after="0" w:line="240" w:lineRule="auto"/>
      <w:ind w:left="720"/>
    </w:pPr>
    <w:rPr>
      <w:rFonts w:ascii="Times New Roman" w:eastAsia="MS Mincho" w:hAnsi="Times New Roman" w:cs="Arial"/>
      <w:bCs/>
      <w:sz w:val="24"/>
      <w:szCs w:val="24"/>
    </w:rPr>
  </w:style>
  <w:style w:type="paragraph" w:customStyle="1" w:styleId="TableBold">
    <w:name w:val="TableBold"/>
    <w:basedOn w:val="TableLeftText"/>
    <w:uiPriority w:val="99"/>
    <w:rsid w:val="00A35D8B"/>
    <w:rPr>
      <w:rFonts w:eastAsia="Times New Roman"/>
    </w:rPr>
  </w:style>
  <w:style w:type="paragraph" w:customStyle="1" w:styleId="TableText0">
    <w:name w:val="Table Text"/>
    <w:link w:val="TableTextChar"/>
    <w:qFormat/>
    <w:rsid w:val="00A35D8B"/>
    <w:pPr>
      <w:spacing w:after="0" w:line="240" w:lineRule="auto"/>
    </w:pPr>
    <w:rPr>
      <w:rFonts w:ascii="Arial" w:eastAsia="Calibri" w:hAnsi="Arial" w:cs="Times New Roman"/>
    </w:rPr>
  </w:style>
  <w:style w:type="character" w:customStyle="1" w:styleId="TableTextChar">
    <w:name w:val="Table Text Char"/>
    <w:link w:val="TableText0"/>
    <w:locked/>
    <w:rsid w:val="00A35D8B"/>
    <w:rPr>
      <w:rFonts w:ascii="Arial" w:eastAsia="Calibri" w:hAnsi="Arial" w:cs="Times New Roman"/>
    </w:rPr>
  </w:style>
  <w:style w:type="paragraph" w:customStyle="1" w:styleId="text-bullets3">
    <w:name w:val="text - bullets 3"/>
    <w:basedOn w:val="Normal"/>
    <w:uiPriority w:val="99"/>
    <w:rsid w:val="00A35D8B"/>
    <w:pPr>
      <w:widowControl w:val="0"/>
      <w:numPr>
        <w:numId w:val="7"/>
      </w:numPr>
      <w:ind w:left="1080"/>
    </w:pPr>
    <w:rPr>
      <w:rFonts w:ascii="Times New Roman" w:hAnsi="Times New Roman"/>
      <w:szCs w:val="24"/>
    </w:rPr>
  </w:style>
  <w:style w:type="character" w:styleId="Emphasis">
    <w:name w:val="Emphasis"/>
    <w:uiPriority w:val="20"/>
    <w:qFormat/>
    <w:rsid w:val="00A35D8B"/>
    <w:rPr>
      <w:i/>
      <w:iCs/>
    </w:rPr>
  </w:style>
  <w:style w:type="paragraph" w:customStyle="1" w:styleId="ES-Level1Heading">
    <w:name w:val="ES-Level1Heading"/>
    <w:basedOn w:val="Level1Heading"/>
    <w:qFormat/>
    <w:rsid w:val="00A35D8B"/>
  </w:style>
  <w:style w:type="paragraph" w:customStyle="1" w:styleId="ES-Level2Heading">
    <w:name w:val="ES-Level2Heading"/>
    <w:basedOn w:val="Level2Heading"/>
    <w:qFormat/>
    <w:rsid w:val="00A35D8B"/>
  </w:style>
  <w:style w:type="paragraph" w:customStyle="1" w:styleId="TableHeaderRox">
    <w:name w:val="TableHeaderRox"/>
    <w:basedOn w:val="Normal"/>
    <w:qFormat/>
    <w:rsid w:val="00A35D8B"/>
    <w:rPr>
      <w:rFonts w:ascii="Arial" w:hAnsi="Arial"/>
      <w:b/>
      <w:sz w:val="18"/>
    </w:rPr>
  </w:style>
  <w:style w:type="paragraph" w:customStyle="1" w:styleId="ES-KeyQuestion">
    <w:name w:val="ES-KeyQuestion"/>
    <w:basedOn w:val="Normal"/>
    <w:qFormat/>
    <w:rsid w:val="00A35D8B"/>
  </w:style>
  <w:style w:type="paragraph" w:styleId="TOC3">
    <w:name w:val="toc 3"/>
    <w:basedOn w:val="Normal"/>
    <w:next w:val="Normal"/>
    <w:autoRedefine/>
    <w:uiPriority w:val="39"/>
    <w:rsid w:val="00DF3A26"/>
    <w:pPr>
      <w:tabs>
        <w:tab w:val="right" w:leader="dot" w:pos="9350"/>
      </w:tabs>
    </w:pPr>
  </w:style>
  <w:style w:type="paragraph" w:styleId="TOC5">
    <w:name w:val="toc 5"/>
    <w:basedOn w:val="Normal"/>
    <w:next w:val="Normal"/>
    <w:autoRedefine/>
    <w:uiPriority w:val="39"/>
    <w:rsid w:val="00A35D8B"/>
    <w:pPr>
      <w:tabs>
        <w:tab w:val="right" w:leader="dot" w:pos="9350"/>
      </w:tabs>
      <w:ind w:left="1260" w:hanging="1260"/>
    </w:pPr>
    <w:rPr>
      <w:noProof/>
    </w:rPr>
  </w:style>
  <w:style w:type="character" w:styleId="PageNumber0">
    <w:name w:val="page number"/>
    <w:rsid w:val="00A35D8B"/>
    <w:rPr>
      <w:rFonts w:ascii="Times New Roman" w:hAnsi="Times New Roman"/>
      <w:b w:val="0"/>
      <w:sz w:val="24"/>
    </w:rPr>
  </w:style>
  <w:style w:type="paragraph" w:styleId="BodyText0">
    <w:name w:val="Body Text"/>
    <w:basedOn w:val="Normal"/>
    <w:link w:val="BodyTextChar0"/>
    <w:uiPriority w:val="99"/>
    <w:semiHidden/>
    <w:unhideWhenUsed/>
    <w:rsid w:val="00A35D8B"/>
    <w:pPr>
      <w:spacing w:after="120"/>
    </w:pPr>
  </w:style>
  <w:style w:type="character" w:customStyle="1" w:styleId="BodyTextChar0">
    <w:name w:val="Body Text Char"/>
    <w:basedOn w:val="DefaultParagraphFont"/>
    <w:link w:val="BodyText0"/>
    <w:uiPriority w:val="99"/>
    <w:semiHidden/>
    <w:rsid w:val="00A35D8B"/>
    <w:rPr>
      <w:rFonts w:ascii="Times" w:eastAsia="Times New Roman" w:hAnsi="Times" w:cs="Times New Roman"/>
      <w:sz w:val="24"/>
      <w:szCs w:val="20"/>
    </w:rPr>
  </w:style>
  <w:style w:type="paragraph" w:styleId="BodyTextFirstIndent">
    <w:name w:val="Body Text First Indent"/>
    <w:basedOn w:val="BodyText0"/>
    <w:link w:val="BodyTextFirstIndentChar"/>
    <w:uiPriority w:val="99"/>
    <w:rsid w:val="00A35D8B"/>
    <w:pPr>
      <w:spacing w:after="0"/>
      <w:ind w:firstLine="360"/>
    </w:pPr>
    <w:rPr>
      <w:rFonts w:ascii="Times New Roman" w:hAnsi="Times New Roman"/>
    </w:rPr>
  </w:style>
  <w:style w:type="character" w:customStyle="1" w:styleId="BodyTextFirstIndentChar">
    <w:name w:val="Body Text First Indent Char"/>
    <w:basedOn w:val="BodyTextChar0"/>
    <w:link w:val="BodyTextFirstIndent"/>
    <w:uiPriority w:val="99"/>
    <w:rsid w:val="00A35D8B"/>
    <w:rPr>
      <w:rFonts w:ascii="Times New Roman" w:eastAsia="Times New Roman" w:hAnsi="Times New Roman" w:cs="Times New Roman"/>
      <w:sz w:val="24"/>
      <w:szCs w:val="20"/>
    </w:rPr>
  </w:style>
  <w:style w:type="paragraph" w:customStyle="1" w:styleId="instructionsbullets">
    <w:name w:val="instructions bullets"/>
    <w:basedOn w:val="Normal"/>
    <w:rsid w:val="00A35D8B"/>
    <w:pPr>
      <w:numPr>
        <w:numId w:val="9"/>
      </w:numPr>
      <w:shd w:val="clear" w:color="auto" w:fill="FFFFFF"/>
      <w:spacing w:before="120" w:after="120"/>
      <w:ind w:left="770"/>
      <w:contextualSpacing/>
    </w:pPr>
    <w:rPr>
      <w:rFonts w:ascii="Arial" w:hAnsi="Arial" w:cs="Arial"/>
      <w:sz w:val="20"/>
    </w:rPr>
  </w:style>
  <w:style w:type="paragraph" w:customStyle="1" w:styleId="Bullet-1">
    <w:name w:val="Bullet-1"/>
    <w:basedOn w:val="NoSpacing"/>
    <w:qFormat/>
    <w:rsid w:val="00A35D8B"/>
    <w:pPr>
      <w:numPr>
        <w:numId w:val="8"/>
      </w:numPr>
      <w:spacing w:before="60" w:after="60"/>
      <w:ind w:left="1080"/>
      <w:outlineLvl w:val="1"/>
    </w:pPr>
    <w:rPr>
      <w:rFonts w:ascii="Arial" w:eastAsia="Times New Roman" w:hAnsi="Arial" w:cs="Times New Roman"/>
      <w:szCs w:val="24"/>
    </w:rPr>
  </w:style>
  <w:style w:type="paragraph" w:styleId="NoSpacing">
    <w:name w:val="No Spacing"/>
    <w:uiPriority w:val="1"/>
    <w:qFormat/>
    <w:rsid w:val="00A35D8B"/>
    <w:pPr>
      <w:spacing w:after="0" w:line="240" w:lineRule="auto"/>
    </w:pPr>
    <w:rPr>
      <w:rFonts w:ascii="Calibri" w:eastAsia="Calibri" w:hAnsi="Calibri" w:cs="Arial"/>
    </w:rPr>
  </w:style>
  <w:style w:type="paragraph" w:customStyle="1" w:styleId="Bullet-2">
    <w:name w:val="Bullet-2"/>
    <w:basedOn w:val="NoSpacing"/>
    <w:qFormat/>
    <w:rsid w:val="00A35D8B"/>
    <w:pPr>
      <w:numPr>
        <w:ilvl w:val="2"/>
        <w:numId w:val="10"/>
      </w:numPr>
    </w:pPr>
    <w:rPr>
      <w:rFonts w:ascii="Arial" w:eastAsia="Times New Roman" w:hAnsi="Arial"/>
      <w:sz w:val="20"/>
      <w:szCs w:val="20"/>
    </w:rPr>
  </w:style>
  <w:style w:type="paragraph" w:customStyle="1" w:styleId="Bullet-3">
    <w:name w:val="Bullet-3"/>
    <w:basedOn w:val="Bullet-2"/>
    <w:qFormat/>
    <w:rsid w:val="00A35D8B"/>
    <w:pPr>
      <w:numPr>
        <w:ilvl w:val="3"/>
        <w:numId w:val="11"/>
      </w:numPr>
      <w:ind w:left="720" w:hanging="319"/>
    </w:pPr>
  </w:style>
  <w:style w:type="paragraph" w:customStyle="1" w:styleId="NOTE">
    <w:name w:val="NOTE:"/>
    <w:basedOn w:val="Normal"/>
    <w:qFormat/>
    <w:rsid w:val="00A35D8B"/>
    <w:pPr>
      <w:spacing w:before="120" w:after="120"/>
      <w:jc w:val="center"/>
    </w:pPr>
    <w:rPr>
      <w:rFonts w:ascii="Arial" w:hAnsi="Arial" w:cs="Arial"/>
      <w:b/>
      <w:sz w:val="20"/>
      <w:szCs w:val="18"/>
    </w:rPr>
  </w:style>
  <w:style w:type="paragraph" w:customStyle="1" w:styleId="Bullet-1-blank">
    <w:name w:val="Bullet-1-blank"/>
    <w:basedOn w:val="Bullet-1"/>
    <w:qFormat/>
    <w:rsid w:val="00A35D8B"/>
    <w:pPr>
      <w:numPr>
        <w:numId w:val="0"/>
      </w:numPr>
      <w:ind w:left="720" w:hanging="360"/>
    </w:pPr>
    <w:rPr>
      <w:rFonts w:ascii="Times New Roman" w:hAnsi="Times New Roman"/>
      <w:sz w:val="24"/>
    </w:rPr>
  </w:style>
  <w:style w:type="character" w:customStyle="1" w:styleId="apple-style-span">
    <w:name w:val="apple-style-span"/>
    <w:basedOn w:val="DefaultParagraphFont"/>
    <w:rsid w:val="00A35D8B"/>
  </w:style>
  <w:style w:type="paragraph" w:customStyle="1" w:styleId="TableTextRef">
    <w:name w:val="Table Text Ref"/>
    <w:qFormat/>
    <w:rsid w:val="00A35D8B"/>
    <w:pPr>
      <w:spacing w:before="120" w:after="0" w:line="240" w:lineRule="auto"/>
    </w:pPr>
    <w:rPr>
      <w:rFonts w:ascii="Arial" w:eastAsia="Times New Roman" w:hAnsi="Arial" w:cs="Arial"/>
      <w:sz w:val="20"/>
      <w:szCs w:val="20"/>
    </w:rPr>
  </w:style>
  <w:style w:type="paragraph" w:customStyle="1" w:styleId="NOTEText">
    <w:name w:val="NOTE: Text"/>
    <w:basedOn w:val="NOTE"/>
    <w:qFormat/>
    <w:rsid w:val="00A35D8B"/>
    <w:pPr>
      <w:ind w:firstLine="720"/>
      <w:jc w:val="left"/>
    </w:pPr>
    <w:rPr>
      <w:b w:val="0"/>
    </w:rPr>
  </w:style>
  <w:style w:type="paragraph" w:customStyle="1" w:styleId="bullet-4">
    <w:name w:val="bullet-4"/>
    <w:basedOn w:val="Bullet-1"/>
    <w:qFormat/>
    <w:rsid w:val="00A35D8B"/>
    <w:pPr>
      <w:keepNext/>
      <w:numPr>
        <w:ilvl w:val="1"/>
        <w:numId w:val="12"/>
      </w:numPr>
      <w:spacing w:before="0" w:after="0"/>
      <w:ind w:left="1062"/>
    </w:pPr>
    <w:rPr>
      <w:rFonts w:cs="Arial"/>
      <w:sz w:val="20"/>
      <w:szCs w:val="20"/>
    </w:rPr>
  </w:style>
  <w:style w:type="paragraph" w:customStyle="1" w:styleId="background">
    <w:name w:val="background"/>
    <w:basedOn w:val="Normal"/>
    <w:link w:val="backgroundChar"/>
    <w:rsid w:val="00A35D8B"/>
    <w:pPr>
      <w:shd w:val="clear" w:color="auto" w:fill="FFFFFF"/>
      <w:spacing w:after="120"/>
    </w:pPr>
    <w:rPr>
      <w:rFonts w:ascii="Times New Roman" w:eastAsia="Calibri" w:hAnsi="Times New Roman"/>
      <w:szCs w:val="19"/>
    </w:rPr>
  </w:style>
  <w:style w:type="character" w:customStyle="1" w:styleId="backgroundChar">
    <w:name w:val="background Char"/>
    <w:link w:val="background"/>
    <w:rsid w:val="00A35D8B"/>
    <w:rPr>
      <w:rFonts w:ascii="Times New Roman" w:eastAsia="Calibri" w:hAnsi="Times New Roman" w:cs="Times New Roman"/>
      <w:sz w:val="24"/>
      <w:szCs w:val="19"/>
      <w:shd w:val="clear" w:color="auto" w:fill="FFFFFF"/>
    </w:rPr>
  </w:style>
  <w:style w:type="paragraph" w:customStyle="1" w:styleId="indentedbullets">
    <w:name w:val="indented bullets"/>
    <w:basedOn w:val="Normal"/>
    <w:rsid w:val="00A35D8B"/>
    <w:pPr>
      <w:numPr>
        <w:numId w:val="13"/>
      </w:numPr>
      <w:shd w:val="clear" w:color="auto" w:fill="FFFFFF"/>
    </w:pPr>
    <w:rPr>
      <w:rFonts w:ascii="Times New Roman" w:eastAsia="Calibri" w:hAnsi="Times New Roman" w:cs="Arial"/>
    </w:rPr>
  </w:style>
  <w:style w:type="paragraph" w:customStyle="1" w:styleId="KQstem">
    <w:name w:val="KQ stem"/>
    <w:basedOn w:val="Normal"/>
    <w:link w:val="KQstemChar"/>
    <w:rsid w:val="00A35D8B"/>
    <w:pPr>
      <w:shd w:val="clear" w:color="auto" w:fill="FFFFFF"/>
      <w:ind w:left="360" w:hanging="360"/>
    </w:pPr>
    <w:rPr>
      <w:rFonts w:ascii="Times New Roman" w:eastAsia="Calibri" w:hAnsi="Times New Roman"/>
    </w:rPr>
  </w:style>
  <w:style w:type="character" w:customStyle="1" w:styleId="KQstemChar">
    <w:name w:val="KQ stem Char"/>
    <w:link w:val="KQstem"/>
    <w:rsid w:val="00A35D8B"/>
    <w:rPr>
      <w:rFonts w:ascii="Times New Roman" w:eastAsia="Calibri" w:hAnsi="Times New Roman" w:cs="Times New Roman"/>
      <w:sz w:val="24"/>
      <w:szCs w:val="20"/>
      <w:shd w:val="clear" w:color="auto" w:fill="FFFFFF"/>
    </w:rPr>
  </w:style>
  <w:style w:type="paragraph" w:customStyle="1" w:styleId="kqstembullets">
    <w:name w:val="kq stem bullets"/>
    <w:basedOn w:val="KQstem"/>
    <w:qFormat/>
    <w:rsid w:val="00A35D8B"/>
    <w:pPr>
      <w:ind w:left="720"/>
    </w:pPr>
    <w:rPr>
      <w:szCs w:val="24"/>
    </w:rPr>
  </w:style>
  <w:style w:type="paragraph" w:customStyle="1" w:styleId="TableTitle0">
    <w:name w:val="Table Title"/>
    <w:basedOn w:val="Normal"/>
    <w:link w:val="TableTitleChar"/>
    <w:rsid w:val="00A35D8B"/>
    <w:pPr>
      <w:spacing w:before="120"/>
    </w:pPr>
    <w:rPr>
      <w:rFonts w:ascii="Arial" w:eastAsia="Calibri" w:hAnsi="Arial"/>
      <w:b/>
      <w:sz w:val="20"/>
      <w:szCs w:val="22"/>
    </w:rPr>
  </w:style>
  <w:style w:type="character" w:customStyle="1" w:styleId="TableTitleChar">
    <w:name w:val="Table Title Char"/>
    <w:link w:val="TableTitle0"/>
    <w:locked/>
    <w:rsid w:val="00A35D8B"/>
    <w:rPr>
      <w:rFonts w:ascii="Arial" w:eastAsia="Calibri" w:hAnsi="Arial" w:cs="Times New Roman"/>
      <w:b/>
      <w:sz w:val="20"/>
    </w:rPr>
  </w:style>
  <w:style w:type="paragraph" w:styleId="Caption">
    <w:name w:val="caption"/>
    <w:basedOn w:val="Normal"/>
    <w:next w:val="Normal"/>
    <w:uiPriority w:val="35"/>
    <w:unhideWhenUsed/>
    <w:qFormat/>
    <w:rsid w:val="00A35D8B"/>
    <w:rPr>
      <w:b/>
      <w:bCs/>
      <w:sz w:val="20"/>
    </w:rPr>
  </w:style>
  <w:style w:type="paragraph" w:customStyle="1" w:styleId="HeadingI">
    <w:name w:val="Heading I"/>
    <w:basedOn w:val="Normal"/>
    <w:uiPriority w:val="99"/>
    <w:rsid w:val="00A35D8B"/>
    <w:pPr>
      <w:keepNext/>
      <w:keepLines/>
      <w:widowControl w:val="0"/>
      <w:tabs>
        <w:tab w:val="left" w:pos="450"/>
      </w:tabs>
      <w:spacing w:before="240"/>
      <w:ind w:left="450" w:hanging="450"/>
    </w:pPr>
    <w:rPr>
      <w:rFonts w:ascii="Times New Roman" w:hAnsi="Times New Roman"/>
      <w:b/>
      <w:szCs w:val="28"/>
    </w:rPr>
  </w:style>
  <w:style w:type="paragraph" w:customStyle="1" w:styleId="HeadingA">
    <w:name w:val="Heading A"/>
    <w:basedOn w:val="Normal"/>
    <w:uiPriority w:val="99"/>
    <w:rsid w:val="00A35D8B"/>
    <w:pPr>
      <w:tabs>
        <w:tab w:val="left" w:pos="1080"/>
      </w:tabs>
      <w:spacing w:before="240"/>
      <w:ind w:left="1080" w:hanging="360"/>
    </w:pPr>
    <w:rPr>
      <w:rFonts w:ascii="Times New Roman" w:hAnsi="Times New Roman"/>
      <w:b/>
    </w:rPr>
  </w:style>
  <w:style w:type="paragraph" w:customStyle="1" w:styleId="Tabletext1">
    <w:name w:val="Table text"/>
    <w:basedOn w:val="Normal"/>
    <w:qFormat/>
    <w:rsid w:val="00A35D8B"/>
    <w:rPr>
      <w:rFonts w:ascii="Arial" w:hAnsi="Arial"/>
      <w:iCs/>
      <w:color w:val="000000"/>
      <w:sz w:val="18"/>
    </w:rPr>
  </w:style>
  <w:style w:type="paragraph" w:customStyle="1" w:styleId="TableTextBold">
    <w:name w:val="Table Text Bold"/>
    <w:link w:val="TableTextBoldChar"/>
    <w:rsid w:val="00A35D8B"/>
    <w:pPr>
      <w:spacing w:after="0" w:line="240" w:lineRule="auto"/>
    </w:pPr>
    <w:rPr>
      <w:rFonts w:ascii="Arial Bold" w:eastAsia="Times New Roman" w:hAnsi="Arial Bold" w:cs="Times New Roman"/>
      <w:b/>
      <w:sz w:val="18"/>
      <w:szCs w:val="18"/>
    </w:rPr>
  </w:style>
  <w:style w:type="character" w:customStyle="1" w:styleId="TableTextBoldChar">
    <w:name w:val="Table Text Bold Char"/>
    <w:link w:val="TableTextBold"/>
    <w:locked/>
    <w:rsid w:val="00A35D8B"/>
    <w:rPr>
      <w:rFonts w:ascii="Arial Bold" w:eastAsia="Times New Roman" w:hAnsi="Arial Bold" w:cs="Times New Roman"/>
      <w:b/>
      <w:sz w:val="18"/>
      <w:szCs w:val="18"/>
    </w:rPr>
  </w:style>
  <w:style w:type="paragraph" w:customStyle="1" w:styleId="Tablebullet">
    <w:name w:val="Table bullet"/>
    <w:link w:val="TablebulletChar"/>
    <w:qFormat/>
    <w:rsid w:val="00A35D8B"/>
    <w:pPr>
      <w:numPr>
        <w:numId w:val="15"/>
      </w:numPr>
      <w:tabs>
        <w:tab w:val="left" w:pos="252"/>
      </w:tabs>
      <w:spacing w:after="0" w:line="240" w:lineRule="auto"/>
      <w:ind w:left="252" w:hanging="252"/>
    </w:pPr>
    <w:rPr>
      <w:rFonts w:ascii="Arial" w:eastAsia="Times New Roman" w:hAnsi="Arial" w:cs="Times New Roman"/>
      <w:noProof/>
      <w:sz w:val="18"/>
      <w:szCs w:val="20"/>
    </w:rPr>
  </w:style>
  <w:style w:type="character" w:customStyle="1" w:styleId="TablebulletChar">
    <w:name w:val="Table bullet Char"/>
    <w:link w:val="Tablebullet"/>
    <w:locked/>
    <w:rsid w:val="00A35D8B"/>
    <w:rPr>
      <w:rFonts w:ascii="Arial" w:eastAsia="Times New Roman" w:hAnsi="Arial" w:cs="Times New Roman"/>
      <w:noProof/>
      <w:sz w:val="18"/>
      <w:szCs w:val="20"/>
    </w:rPr>
  </w:style>
  <w:style w:type="paragraph" w:customStyle="1" w:styleId="tablebullets0">
    <w:name w:val="table bullets"/>
    <w:basedOn w:val="Tablebullet"/>
    <w:qFormat/>
    <w:rsid w:val="00A35D8B"/>
  </w:style>
  <w:style w:type="paragraph" w:customStyle="1" w:styleId="tablebullets-2">
    <w:name w:val="table bullets-2"/>
    <w:basedOn w:val="tablebullets0"/>
    <w:qFormat/>
    <w:rsid w:val="00A35D8B"/>
    <w:pPr>
      <w:numPr>
        <w:ilvl w:val="1"/>
        <w:numId w:val="16"/>
      </w:numPr>
      <w:tabs>
        <w:tab w:val="num" w:pos="360"/>
      </w:tabs>
      <w:ind w:left="663" w:hanging="274"/>
    </w:pPr>
  </w:style>
  <w:style w:type="paragraph" w:customStyle="1" w:styleId="Tabletextbold0">
    <w:name w:val="Table text bold"/>
    <w:basedOn w:val="Tabletext1"/>
    <w:qFormat/>
    <w:rsid w:val="00A35D8B"/>
    <w:rPr>
      <w:b/>
    </w:rPr>
  </w:style>
  <w:style w:type="paragraph" w:customStyle="1" w:styleId="references">
    <w:name w:val="references"/>
    <w:basedOn w:val="Normal"/>
    <w:rsid w:val="00A35D8B"/>
    <w:pPr>
      <w:shd w:val="clear" w:color="auto" w:fill="FFFFFF"/>
      <w:spacing w:before="60"/>
      <w:ind w:left="550" w:hanging="550"/>
    </w:pPr>
    <w:rPr>
      <w:rFonts w:ascii="Times New Roman" w:hAnsi="Times New Roman"/>
    </w:rPr>
  </w:style>
  <w:style w:type="paragraph" w:customStyle="1" w:styleId="HeadingAtext">
    <w:name w:val="Heading A text"/>
    <w:basedOn w:val="Normal"/>
    <w:qFormat/>
    <w:rsid w:val="00A35D8B"/>
    <w:pPr>
      <w:spacing w:before="120" w:after="120"/>
      <w:ind w:left="1080"/>
    </w:pPr>
    <w:rPr>
      <w:rFonts w:ascii="Times New Roman" w:hAnsi="Times New Roman" w:cs="Arial"/>
    </w:rPr>
  </w:style>
  <w:style w:type="paragraph" w:customStyle="1" w:styleId="Tabletitle1">
    <w:name w:val="Table title"/>
    <w:basedOn w:val="HeadingA"/>
    <w:qFormat/>
    <w:rsid w:val="00A35D8B"/>
    <w:pPr>
      <w:tabs>
        <w:tab w:val="clear" w:pos="1080"/>
      </w:tabs>
      <w:spacing w:before="120"/>
      <w:ind w:left="0" w:firstLine="0"/>
    </w:pPr>
    <w:rPr>
      <w:rFonts w:ascii="Arial" w:hAnsi="Arial"/>
      <w:sz w:val="20"/>
    </w:rPr>
  </w:style>
  <w:style w:type="paragraph" w:customStyle="1" w:styleId="Tabletextheaderrow">
    <w:name w:val="Table text header row"/>
    <w:basedOn w:val="Normal"/>
    <w:qFormat/>
    <w:rsid w:val="00A35D8B"/>
    <w:rPr>
      <w:rFonts w:ascii="Arial" w:hAnsi="Arial" w:cs="Arial"/>
      <w:b/>
      <w:bCs/>
      <w:sz w:val="18"/>
      <w:szCs w:val="18"/>
    </w:rPr>
  </w:style>
  <w:style w:type="paragraph" w:customStyle="1" w:styleId="HeadingAbullets">
    <w:name w:val="Heading A bullets"/>
    <w:basedOn w:val="HeadingAtext"/>
    <w:qFormat/>
    <w:rsid w:val="00A35D8B"/>
    <w:pPr>
      <w:numPr>
        <w:numId w:val="17"/>
      </w:numPr>
      <w:tabs>
        <w:tab w:val="left" w:pos="1620"/>
      </w:tabs>
      <w:spacing w:before="0" w:after="0"/>
      <w:ind w:left="1526"/>
    </w:pPr>
  </w:style>
  <w:style w:type="paragraph" w:customStyle="1" w:styleId="Cov-Author">
    <w:name w:val="Cov-Author"/>
    <w:basedOn w:val="Normal"/>
    <w:rsid w:val="00A35D8B"/>
    <w:pPr>
      <w:jc w:val="right"/>
    </w:pPr>
    <w:rPr>
      <w:rFonts w:ascii="Arial Black" w:hAnsi="Arial Black"/>
    </w:rPr>
  </w:style>
  <w:style w:type="paragraph" w:styleId="PlainText">
    <w:name w:val="Plain Text"/>
    <w:basedOn w:val="Normal"/>
    <w:link w:val="PlainTextChar"/>
    <w:uiPriority w:val="99"/>
    <w:unhideWhenUsed/>
    <w:rsid w:val="00A35D8B"/>
    <w:rPr>
      <w:rFonts w:ascii="Consolas" w:eastAsia="Calibri" w:hAnsi="Consolas"/>
      <w:sz w:val="21"/>
      <w:szCs w:val="21"/>
    </w:rPr>
  </w:style>
  <w:style w:type="character" w:customStyle="1" w:styleId="PlainTextChar">
    <w:name w:val="Plain Text Char"/>
    <w:basedOn w:val="DefaultParagraphFont"/>
    <w:link w:val="PlainText"/>
    <w:uiPriority w:val="99"/>
    <w:rsid w:val="00A35D8B"/>
    <w:rPr>
      <w:rFonts w:ascii="Consolas" w:eastAsia="Calibri" w:hAnsi="Consolas" w:cs="Times New Roman"/>
      <w:sz w:val="21"/>
      <w:szCs w:val="21"/>
    </w:rPr>
  </w:style>
  <w:style w:type="paragraph" w:styleId="ListBullet">
    <w:name w:val="List Bullet"/>
    <w:basedOn w:val="Normal"/>
    <w:uiPriority w:val="99"/>
    <w:unhideWhenUsed/>
    <w:rsid w:val="00A35D8B"/>
    <w:pPr>
      <w:numPr>
        <w:numId w:val="18"/>
      </w:numPr>
      <w:contextualSpacing/>
    </w:pPr>
  </w:style>
  <w:style w:type="paragraph" w:customStyle="1" w:styleId="TableTextParaSpace">
    <w:name w:val="TableTextParaSpace"/>
    <w:basedOn w:val="Normal"/>
    <w:qFormat/>
    <w:rsid w:val="00A35D8B"/>
    <w:pPr>
      <w:spacing w:before="120"/>
    </w:pPr>
    <w:rPr>
      <w:rFonts w:ascii="Arial" w:hAnsi="Arial" w:cs="Arial"/>
      <w:bCs/>
      <w:color w:val="000000"/>
      <w:sz w:val="18"/>
    </w:rPr>
  </w:style>
  <w:style w:type="character" w:customStyle="1" w:styleId="FootnoteTextChar">
    <w:name w:val="Footnote Text Char"/>
    <w:basedOn w:val="DefaultParagraphFont"/>
    <w:link w:val="FootnoteText"/>
    <w:uiPriority w:val="99"/>
    <w:semiHidden/>
    <w:rsid w:val="00A35D8B"/>
    <w:rPr>
      <w:rFonts w:ascii="Times New Roman" w:eastAsia="Times New Roman" w:hAnsi="Times New Roman"/>
    </w:rPr>
  </w:style>
  <w:style w:type="paragraph" w:styleId="FootnoteText">
    <w:name w:val="footnote text"/>
    <w:basedOn w:val="Normal"/>
    <w:link w:val="FootnoteTextChar"/>
    <w:uiPriority w:val="99"/>
    <w:semiHidden/>
    <w:unhideWhenUsed/>
    <w:rsid w:val="00A35D8B"/>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A35D8B"/>
    <w:rPr>
      <w:rFonts w:ascii="Times" w:eastAsia="Times New Roman" w:hAnsi="Times" w:cs="Times New Roman"/>
      <w:sz w:val="20"/>
      <w:szCs w:val="20"/>
    </w:rPr>
  </w:style>
  <w:style w:type="paragraph" w:customStyle="1" w:styleId="TableHeaders">
    <w:name w:val="Table Headers"/>
    <w:basedOn w:val="Normal"/>
    <w:qFormat/>
    <w:rsid w:val="00A35D8B"/>
    <w:rPr>
      <w:rFonts w:ascii="Arial" w:eastAsia="Calibri" w:hAnsi="Arial"/>
      <w:b/>
      <w:sz w:val="18"/>
      <w:szCs w:val="22"/>
    </w:rPr>
  </w:style>
  <w:style w:type="character" w:customStyle="1" w:styleId="st1">
    <w:name w:val="st1"/>
    <w:basedOn w:val="DefaultParagraphFont"/>
    <w:rsid w:val="00A35D8B"/>
  </w:style>
  <w:style w:type="character" w:customStyle="1" w:styleId="st">
    <w:name w:val="st"/>
    <w:basedOn w:val="DefaultParagraphFont"/>
    <w:rsid w:val="00A35D8B"/>
  </w:style>
  <w:style w:type="paragraph" w:customStyle="1" w:styleId="TableBullet0">
    <w:name w:val="TableBullet"/>
    <w:basedOn w:val="TableTextParaSpace"/>
    <w:qFormat/>
    <w:rsid w:val="00A35D8B"/>
    <w:pPr>
      <w:numPr>
        <w:numId w:val="19"/>
      </w:numPr>
      <w:spacing w:before="0"/>
      <w:ind w:left="214" w:hanging="180"/>
    </w:pPr>
    <w:rPr>
      <w:noProof/>
      <w:szCs w:val="18"/>
    </w:rPr>
  </w:style>
  <w:style w:type="paragraph" w:customStyle="1" w:styleId="H1">
    <w:name w:val="H1"/>
    <w:rsid w:val="00A35D8B"/>
    <w:pPr>
      <w:spacing w:before="240" w:after="0" w:line="240" w:lineRule="auto"/>
    </w:pPr>
    <w:rPr>
      <w:rFonts w:ascii="Arial" w:eastAsia="Times New Roman" w:hAnsi="Arial" w:cs="Times New Roman"/>
      <w:b/>
      <w:kern w:val="28"/>
      <w:sz w:val="28"/>
      <w:szCs w:val="20"/>
    </w:rPr>
  </w:style>
  <w:style w:type="paragraph" w:customStyle="1" w:styleId="ParaText">
    <w:name w:val="Para_Text"/>
    <w:rsid w:val="00A35D8B"/>
    <w:pPr>
      <w:spacing w:before="120" w:after="0" w:line="240" w:lineRule="auto"/>
      <w:ind w:firstLine="360"/>
    </w:pPr>
    <w:rPr>
      <w:rFonts w:ascii="Times New Roman" w:eastAsia="Times New Roman" w:hAnsi="Times New Roman" w:cs="Times New Roman"/>
      <w:sz w:val="24"/>
      <w:szCs w:val="20"/>
    </w:rPr>
  </w:style>
  <w:style w:type="character" w:styleId="Strong">
    <w:name w:val="Strong"/>
    <w:basedOn w:val="DefaultParagraphFont"/>
    <w:uiPriority w:val="22"/>
    <w:qFormat/>
    <w:rsid w:val="00A35D8B"/>
    <w:rPr>
      <w:b/>
      <w:bCs/>
    </w:rPr>
  </w:style>
  <w:style w:type="paragraph" w:customStyle="1" w:styleId="authors">
    <w:name w:val="authors"/>
    <w:basedOn w:val="Normal"/>
    <w:rsid w:val="00A35D8B"/>
    <w:pPr>
      <w:spacing w:after="432"/>
    </w:pPr>
    <w:rPr>
      <w:rFonts w:ascii="Times New Roman" w:hAnsi="Times New Roman"/>
      <w:szCs w:val="24"/>
    </w:rPr>
  </w:style>
  <w:style w:type="character" w:customStyle="1" w:styleId="frlabel1">
    <w:name w:val="fr_label1"/>
    <w:basedOn w:val="DefaultParagraphFont"/>
    <w:rsid w:val="00A35D8B"/>
    <w:rPr>
      <w:b/>
      <w:bCs/>
    </w:rPr>
  </w:style>
  <w:style w:type="character" w:customStyle="1" w:styleId="summarydata2">
    <w:name w:val="summary_data2"/>
    <w:basedOn w:val="DefaultParagraphFont"/>
    <w:rsid w:val="00A35D8B"/>
    <w:rPr>
      <w:rFonts w:ascii="Arial" w:hAnsi="Arial" w:cs="Arial" w:hint="default"/>
      <w:b/>
      <w:bCs/>
      <w:color w:val="4B4B4B"/>
      <w:sz w:val="18"/>
      <w:szCs w:val="18"/>
    </w:rPr>
  </w:style>
  <w:style w:type="character" w:customStyle="1" w:styleId="smallv1101">
    <w:name w:val="smallv1101"/>
    <w:basedOn w:val="DefaultParagraphFont"/>
    <w:rsid w:val="00A35D8B"/>
    <w:rPr>
      <w:sz w:val="26"/>
      <w:szCs w:val="26"/>
    </w:rPr>
  </w:style>
  <w:style w:type="character" w:customStyle="1" w:styleId="label2">
    <w:name w:val="label2"/>
    <w:basedOn w:val="DefaultParagraphFont"/>
    <w:rsid w:val="00A35D8B"/>
    <w:rPr>
      <w:b w:val="0"/>
      <w:bCs w:val="0"/>
      <w:color w:val="4B4B4B"/>
    </w:rPr>
  </w:style>
  <w:style w:type="character" w:customStyle="1" w:styleId="databold1">
    <w:name w:val="data_bold1"/>
    <w:basedOn w:val="DefaultParagraphFont"/>
    <w:rsid w:val="00A35D8B"/>
    <w:rPr>
      <w:b/>
      <w:bCs/>
    </w:rPr>
  </w:style>
  <w:style w:type="paragraph" w:customStyle="1" w:styleId="R-Pubs-Pres">
    <w:name w:val="R-Pubs-Pres"/>
    <w:basedOn w:val="Normal"/>
    <w:rsid w:val="00A35D8B"/>
    <w:pPr>
      <w:keepLines/>
      <w:spacing w:after="220"/>
      <w:ind w:left="446" w:hanging="446"/>
    </w:pPr>
    <w:rPr>
      <w:rFonts w:ascii="Times New Roman" w:hAnsi="Times New Roman"/>
    </w:rPr>
  </w:style>
  <w:style w:type="paragraph" w:customStyle="1" w:styleId="ES-Level3Heading">
    <w:name w:val="ES-Level3Heading"/>
    <w:basedOn w:val="Normal"/>
    <w:qFormat/>
    <w:rsid w:val="00A35D8B"/>
    <w:pPr>
      <w:keepNext/>
      <w:spacing w:before="240"/>
    </w:pPr>
    <w:rPr>
      <w:rFonts w:ascii="Arial" w:eastAsiaTheme="minorEastAsia" w:hAnsi="Arial" w:cs="Arial"/>
      <w:b/>
      <w:bCs/>
      <w:sz w:val="28"/>
      <w:szCs w:val="28"/>
    </w:rPr>
  </w:style>
  <w:style w:type="paragraph" w:customStyle="1" w:styleId="Bullet-Blank">
    <w:name w:val="Bullet-Blank"/>
    <w:basedOn w:val="Bullet1"/>
    <w:qFormat/>
    <w:rsid w:val="00A35D8B"/>
    <w:pPr>
      <w:ind w:left="1080"/>
    </w:pPr>
  </w:style>
  <w:style w:type="character" w:styleId="FollowedHyperlink">
    <w:name w:val="FollowedHyperlink"/>
    <w:basedOn w:val="DefaultParagraphFont"/>
    <w:uiPriority w:val="99"/>
    <w:semiHidden/>
    <w:unhideWhenUsed/>
    <w:rsid w:val="00A35D8B"/>
    <w:rPr>
      <w:color w:val="800080"/>
      <w:u w:val="single"/>
    </w:rPr>
  </w:style>
  <w:style w:type="character" w:customStyle="1" w:styleId="ui-ncbitoggler-master-text">
    <w:name w:val="ui-ncbitoggler-master-text"/>
    <w:basedOn w:val="DefaultParagraphFont"/>
    <w:rsid w:val="00A35D8B"/>
  </w:style>
  <w:style w:type="character" w:customStyle="1" w:styleId="ui-icon">
    <w:name w:val="ui-icon"/>
    <w:basedOn w:val="DefaultParagraphFont"/>
    <w:rsid w:val="00A35D8B"/>
  </w:style>
  <w:style w:type="paragraph" w:customStyle="1" w:styleId="meshdsscopenote">
    <w:name w:val="mesh_ds_scope_note"/>
    <w:basedOn w:val="Normal"/>
    <w:rsid w:val="00A35D8B"/>
    <w:pPr>
      <w:spacing w:before="100" w:beforeAutospacing="1" w:after="100" w:afterAutospacing="1"/>
    </w:pPr>
    <w:rPr>
      <w:rFonts w:ascii="Times New Roman" w:hAnsi="Times New Roman"/>
      <w:szCs w:val="24"/>
    </w:rPr>
  </w:style>
  <w:style w:type="paragraph" w:customStyle="1" w:styleId="meshyearintroduced">
    <w:name w:val="mesh_year_introduced"/>
    <w:basedOn w:val="Normal"/>
    <w:rsid w:val="00A35D8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35D8B"/>
  </w:style>
  <w:style w:type="character" w:customStyle="1" w:styleId="medium-bold">
    <w:name w:val="medium-bold"/>
    <w:basedOn w:val="DefaultParagraphFont"/>
    <w:rsid w:val="00A35D8B"/>
  </w:style>
  <w:style w:type="character" w:customStyle="1" w:styleId="medium-normal">
    <w:name w:val="medium-normal"/>
    <w:basedOn w:val="DefaultParagraphFont"/>
    <w:rsid w:val="00A35D8B"/>
  </w:style>
  <w:style w:type="character" w:customStyle="1" w:styleId="hidden">
    <w:name w:val="hidden"/>
    <w:basedOn w:val="DefaultParagraphFont"/>
    <w:rsid w:val="00A35D8B"/>
  </w:style>
  <w:style w:type="character" w:customStyle="1" w:styleId="label">
    <w:name w:val="label"/>
    <w:basedOn w:val="DefaultParagraphFont"/>
    <w:rsid w:val="00A35D8B"/>
  </w:style>
  <w:style w:type="table" w:customStyle="1" w:styleId="EPC">
    <w:name w:val="EPC"/>
    <w:basedOn w:val="TableNormal"/>
    <w:uiPriority w:val="99"/>
    <w:rsid w:val="00A35D8B"/>
    <w:pPr>
      <w:spacing w:after="0" w:line="240" w:lineRule="auto"/>
    </w:pPr>
    <w:rPr>
      <w:rFonts w:ascii="Arial" w:hAnsi="Arial"/>
      <w:sz w:val="18"/>
    </w:rPr>
    <w:tblPr>
      <w:tblInd w:w="0" w:type="dxa"/>
      <w:tblBorders>
        <w:insideH w:val="single" w:sz="2" w:space="0" w:color="auto"/>
      </w:tblBorders>
      <w:tblCellMar>
        <w:top w:w="0" w:type="dxa"/>
        <w:left w:w="29" w:type="dxa"/>
        <w:bottom w:w="0" w:type="dxa"/>
        <w:right w:w="29" w:type="dxa"/>
      </w:tblCellMar>
    </w:tblPr>
    <w:tblStylePr w:type="firstRow">
      <w:rPr>
        <w:b/>
      </w:rPr>
      <w:tblPr/>
      <w:tcPr>
        <w:tcBorders>
          <w:top w:val="single" w:sz="12" w:space="0" w:color="auto"/>
          <w:bottom w:val="nil"/>
        </w:tcBorders>
      </w:tcPr>
    </w:tblStylePr>
    <w:tblStylePr w:type="lastRow">
      <w:tblPr/>
      <w:tcPr>
        <w:tcBorders>
          <w:bottom w:val="single" w:sz="12" w:space="0" w:color="auto"/>
        </w:tcBorders>
      </w:tcPr>
    </w:tblStylePr>
  </w:style>
  <w:style w:type="paragraph" w:customStyle="1" w:styleId="Text">
    <w:name w:val="Text"/>
    <w:basedOn w:val="Normal"/>
    <w:qFormat/>
    <w:rsid w:val="00A35D8B"/>
    <w:pPr>
      <w:spacing w:after="120"/>
    </w:pPr>
    <w:rPr>
      <w:rFonts w:ascii="Times New Roman" w:hAnsi="Times New Roman" w:cstheme="minorBidi"/>
      <w:bCs/>
      <w:szCs w:val="27"/>
    </w:rPr>
  </w:style>
  <w:style w:type="paragraph" w:styleId="HTMLPreformatted">
    <w:name w:val="HTML Preformatted"/>
    <w:basedOn w:val="Normal"/>
    <w:link w:val="HTMLPreformattedChar"/>
    <w:unhideWhenUsed/>
    <w:rsid w:val="00A35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A35D8B"/>
    <w:rPr>
      <w:rFonts w:ascii="Courier New" w:eastAsia="Times New Roman" w:hAnsi="Courier New" w:cs="Courier New"/>
      <w:sz w:val="20"/>
      <w:szCs w:val="20"/>
    </w:rPr>
  </w:style>
  <w:style w:type="character" w:customStyle="1" w:styleId="summarydata">
    <w:name w:val="summary_data"/>
    <w:basedOn w:val="DefaultParagraphFont"/>
    <w:rsid w:val="00A35D8B"/>
  </w:style>
  <w:style w:type="character" w:customStyle="1" w:styleId="smallv110">
    <w:name w:val="smallv110"/>
    <w:basedOn w:val="DefaultParagraphFont"/>
    <w:rsid w:val="00A35D8B"/>
  </w:style>
  <w:style w:type="character" w:customStyle="1" w:styleId="hithilite">
    <w:name w:val="hithilite"/>
    <w:basedOn w:val="DefaultParagraphFont"/>
    <w:rsid w:val="00A35D8B"/>
  </w:style>
  <w:style w:type="character" w:customStyle="1" w:styleId="databold">
    <w:name w:val="data_bold"/>
    <w:basedOn w:val="DefaultParagraphFont"/>
    <w:rsid w:val="00A35D8B"/>
  </w:style>
  <w:style w:type="character" w:customStyle="1" w:styleId="term">
    <w:name w:val="term"/>
    <w:basedOn w:val="DefaultParagraphFont"/>
    <w:rsid w:val="00A35D8B"/>
  </w:style>
  <w:style w:type="table" w:customStyle="1" w:styleId="AHRQ">
    <w:name w:val="AHRQ"/>
    <w:basedOn w:val="TableNormal"/>
    <w:uiPriority w:val="99"/>
    <w:qFormat/>
    <w:rsid w:val="00A35D8B"/>
    <w:pPr>
      <w:spacing w:after="0" w:line="240" w:lineRule="auto"/>
    </w:pPr>
    <w:rPr>
      <w:rFonts w:ascii="Arial" w:eastAsia="Calibri" w:hAnsi="Arial" w:cs="Arial"/>
      <w:color w:val="000000"/>
      <w:sz w:val="18"/>
      <w:szCs w:val="20"/>
    </w:rPr>
    <w:tblPr>
      <w:tblInd w:w="0" w:type="dxa"/>
      <w:tblBorders>
        <w:insideH w:val="single" w:sz="4" w:space="0" w:color="auto"/>
      </w:tblBorders>
      <w:tblCellMar>
        <w:top w:w="0" w:type="dxa"/>
        <w:left w:w="108" w:type="dxa"/>
        <w:bottom w:w="0" w:type="dxa"/>
        <w:right w:w="108" w:type="dxa"/>
      </w:tblCellMar>
    </w:tblPr>
    <w:tblStylePr w:type="firstRow">
      <w:rPr>
        <w:b/>
      </w:rPr>
      <w:tblPr/>
      <w:tcPr>
        <w:tcBorders>
          <w:top w:val="single" w:sz="12" w:space="0" w:color="auto"/>
          <w:bottom w:val="nil"/>
        </w:tcBorders>
      </w:tcPr>
    </w:tblStylePr>
    <w:tblStylePr w:type="lastRow">
      <w:rPr>
        <w:rFonts w:ascii="Arial" w:hAnsi="Arial"/>
        <w:sz w:val="18"/>
      </w:rPr>
      <w:tblPr/>
      <w:tcPr>
        <w:tcBorders>
          <w:bottom w:val="single" w:sz="12" w:space="0" w:color="auto"/>
        </w:tcBorders>
      </w:tcPr>
    </w:tblStylePr>
  </w:style>
  <w:style w:type="paragraph" w:styleId="Title">
    <w:name w:val="Title"/>
    <w:basedOn w:val="Normal"/>
    <w:next w:val="Normal"/>
    <w:link w:val="TitleChar"/>
    <w:uiPriority w:val="10"/>
    <w:qFormat/>
    <w:rsid w:val="00A35D8B"/>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35D8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35D8B"/>
    <w:pPr>
      <w:spacing w:after="600" w:line="276" w:lineRule="auto"/>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A35D8B"/>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A35D8B"/>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A35D8B"/>
    <w:rPr>
      <w:rFonts w:eastAsiaTheme="minorEastAsia"/>
      <w:i/>
      <w:iCs/>
    </w:rPr>
  </w:style>
  <w:style w:type="paragraph" w:styleId="IntenseQuote">
    <w:name w:val="Intense Quote"/>
    <w:basedOn w:val="Normal"/>
    <w:next w:val="Normal"/>
    <w:link w:val="IntenseQuoteChar"/>
    <w:uiPriority w:val="30"/>
    <w:qFormat/>
    <w:rsid w:val="00A35D8B"/>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A35D8B"/>
    <w:rPr>
      <w:rFonts w:eastAsiaTheme="minorEastAsia"/>
      <w:b/>
      <w:bCs/>
      <w:i/>
      <w:iCs/>
    </w:rPr>
  </w:style>
  <w:style w:type="character" w:customStyle="1" w:styleId="HeadingChar">
    <w:name w:val="Heading Char"/>
    <w:basedOn w:val="DefaultParagraphFont"/>
    <w:link w:val="Heading"/>
    <w:locked/>
    <w:rsid w:val="00A35D8B"/>
    <w:rPr>
      <w:rFonts w:ascii="Arial" w:hAnsi="Arial" w:cs="Arial"/>
      <w:b/>
      <w:bCs/>
      <w:color w:val="000000"/>
    </w:rPr>
  </w:style>
  <w:style w:type="paragraph" w:customStyle="1" w:styleId="Heading">
    <w:name w:val="Heading"/>
    <w:basedOn w:val="Normal"/>
    <w:link w:val="HeadingChar"/>
    <w:rsid w:val="00A35D8B"/>
    <w:pPr>
      <w:keepNext/>
      <w:spacing w:before="240" w:after="240"/>
    </w:pPr>
    <w:rPr>
      <w:rFonts w:ascii="Arial" w:eastAsiaTheme="minorHAnsi" w:hAnsi="Arial" w:cs="Arial"/>
      <w:b/>
      <w:bCs/>
      <w:color w:val="000000"/>
      <w:sz w:val="22"/>
      <w:szCs w:val="22"/>
    </w:rPr>
  </w:style>
  <w:style w:type="character" w:styleId="SubtleEmphasis">
    <w:name w:val="Subtle Emphasis"/>
    <w:uiPriority w:val="19"/>
    <w:qFormat/>
    <w:rsid w:val="00A35D8B"/>
    <w:rPr>
      <w:i/>
      <w:iCs/>
    </w:rPr>
  </w:style>
  <w:style w:type="character" w:styleId="IntenseEmphasis">
    <w:name w:val="Intense Emphasis"/>
    <w:uiPriority w:val="21"/>
    <w:qFormat/>
    <w:rsid w:val="00A35D8B"/>
    <w:rPr>
      <w:b/>
      <w:bCs/>
    </w:rPr>
  </w:style>
  <w:style w:type="character" w:styleId="SubtleReference">
    <w:name w:val="Subtle Reference"/>
    <w:uiPriority w:val="31"/>
    <w:qFormat/>
    <w:rsid w:val="00A35D8B"/>
    <w:rPr>
      <w:smallCaps/>
    </w:rPr>
  </w:style>
  <w:style w:type="character" w:styleId="IntenseReference">
    <w:name w:val="Intense Reference"/>
    <w:uiPriority w:val="32"/>
    <w:qFormat/>
    <w:rsid w:val="00A35D8B"/>
    <w:rPr>
      <w:smallCaps/>
      <w:spacing w:val="5"/>
      <w:u w:val="single"/>
    </w:rPr>
  </w:style>
  <w:style w:type="character" w:styleId="BookTitle">
    <w:name w:val="Book Title"/>
    <w:uiPriority w:val="33"/>
    <w:qFormat/>
    <w:rsid w:val="00A35D8B"/>
    <w:rPr>
      <w:i/>
      <w:iCs/>
      <w:smallCaps/>
      <w:spacing w:val="5"/>
    </w:rPr>
  </w:style>
  <w:style w:type="paragraph" w:styleId="TOCHeading">
    <w:name w:val="TOC Heading"/>
    <w:basedOn w:val="Heading1"/>
    <w:next w:val="Normal"/>
    <w:uiPriority w:val="39"/>
    <w:semiHidden/>
    <w:unhideWhenUsed/>
    <w:qFormat/>
    <w:rsid w:val="00A35D8B"/>
    <w:pPr>
      <w:keepNext w:val="0"/>
      <w:spacing w:before="480" w:after="0" w:line="276" w:lineRule="auto"/>
      <w:contextualSpacing/>
      <w:outlineLvl w:val="9"/>
    </w:pPr>
    <w:rPr>
      <w:rFonts w:ascii="Arial" w:eastAsiaTheme="majorEastAsia" w:hAnsi="Arial" w:cs="Arial"/>
      <w:kern w:val="0"/>
      <w:lang w:bidi="en-US"/>
    </w:rPr>
  </w:style>
  <w:style w:type="paragraph" w:styleId="TOC4">
    <w:name w:val="toc 4"/>
    <w:basedOn w:val="Normal"/>
    <w:next w:val="Normal"/>
    <w:autoRedefine/>
    <w:uiPriority w:val="39"/>
    <w:unhideWhenUsed/>
    <w:rsid w:val="00A35D8B"/>
    <w:pPr>
      <w:spacing w:after="100" w:line="276" w:lineRule="auto"/>
      <w:ind w:left="6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4CC5A-741D-4992-BD5C-4DCDFE48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Venture</cp:lastModifiedBy>
  <cp:revision>3</cp:revision>
  <cp:lastPrinted>2013-10-30T21:32:00Z</cp:lastPrinted>
  <dcterms:created xsi:type="dcterms:W3CDTF">2013-12-10T04:24:00Z</dcterms:created>
  <dcterms:modified xsi:type="dcterms:W3CDTF">2013-12-10T04:52:00Z</dcterms:modified>
</cp:coreProperties>
</file>