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Default="002377D0" w:rsidP="002377D0">
      <w:pPr>
        <w:pStyle w:val="Level1Heading0"/>
        <w:autoSpaceDE w:val="0"/>
      </w:pPr>
      <w:bookmarkStart w:id="0" w:name="_Toc311799079"/>
      <w:bookmarkStart w:id="1" w:name="_Toc312150802"/>
      <w:bookmarkStart w:id="2" w:name="_Toc345933209"/>
      <w:proofErr w:type="gramStart"/>
      <w:r>
        <w:rPr>
          <w:rFonts w:ascii="ZWAdobeF" w:hAnsi="ZWAdobeF" w:cs="ZWAdobeF"/>
          <w:b w:val="0"/>
          <w:sz w:val="2"/>
          <w:szCs w:val="2"/>
        </w:rPr>
        <w:t>147B</w:t>
      </w:r>
      <w:r w:rsidR="007E3347" w:rsidRPr="00DF5ABA">
        <w:t>Evidence Tables for Chapter 3</w:t>
      </w:r>
      <w:r w:rsidR="007E3347">
        <w:t>7</w:t>
      </w:r>
      <w:r w:rsidR="007E3347" w:rsidRPr="00DF5ABA">
        <w:t>.</w:t>
      </w:r>
      <w:proofErr w:type="gramEnd"/>
      <w:r w:rsidR="007E3347" w:rsidRPr="00DF5ABA">
        <w:t xml:space="preserve"> </w:t>
      </w:r>
      <w:bookmarkEnd w:id="0"/>
      <w:bookmarkEnd w:id="1"/>
      <w:r w:rsidR="007E3347" w:rsidRPr="00DF5ABA">
        <w:t xml:space="preserve">Interventions </w:t>
      </w:r>
      <w:r w:rsidR="007E3347">
        <w:t>T</w:t>
      </w:r>
      <w:r w:rsidR="007E3347" w:rsidRPr="00DF5ABA">
        <w:t xml:space="preserve">o </w:t>
      </w:r>
      <w:r w:rsidR="007E3347">
        <w:t>I</w:t>
      </w:r>
      <w:r w:rsidR="007E3347" w:rsidRPr="00DF5ABA">
        <w:t xml:space="preserve">mprove </w:t>
      </w:r>
      <w:r w:rsidR="007E3347">
        <w:t>C</w:t>
      </w:r>
      <w:r w:rsidR="007E3347" w:rsidRPr="00DF5ABA">
        <w:t xml:space="preserve">are </w:t>
      </w:r>
      <w:r w:rsidR="007E3347">
        <w:t>T</w:t>
      </w:r>
      <w:r w:rsidR="007E3347" w:rsidRPr="00DF5ABA">
        <w:t xml:space="preserve">ransitions at </w:t>
      </w:r>
      <w:r w:rsidR="007E3347">
        <w:t>H</w:t>
      </w:r>
      <w:r w:rsidR="007E3347" w:rsidRPr="00DF5ABA">
        <w:t xml:space="preserve">ospital </w:t>
      </w:r>
      <w:r w:rsidR="007E3347">
        <w:t>D</w:t>
      </w:r>
      <w:r w:rsidR="007E3347" w:rsidRPr="00DF5ABA">
        <w:t>ischarge</w:t>
      </w:r>
      <w:bookmarkEnd w:id="2"/>
      <w:r w:rsidR="007E3347" w:rsidRPr="00DF5ABA">
        <w:t xml:space="preserve"> </w:t>
      </w:r>
      <w:r w:rsidR="007E3347">
        <w:t>(NEW)</w:t>
      </w:r>
    </w:p>
    <w:p w:rsidR="00494220" w:rsidRPr="00494220" w:rsidRDefault="00494220" w:rsidP="00494220">
      <w:pPr>
        <w:pStyle w:val="TableTitle"/>
      </w:pPr>
      <w:r w:rsidRPr="00494220">
        <w:t xml:space="preserve">Table 1, Chapter 37. Included </w:t>
      </w:r>
      <w:r w:rsidRPr="00494220">
        <w:rPr>
          <w:szCs w:val="18"/>
        </w:rPr>
        <w:t>s</w:t>
      </w:r>
      <w:r w:rsidRPr="00494220">
        <w:t xml:space="preserve">tudies and </w:t>
      </w:r>
      <w:r w:rsidRPr="00494220">
        <w:rPr>
          <w:szCs w:val="18"/>
        </w:rPr>
        <w:t>i</w:t>
      </w:r>
      <w:r w:rsidRPr="00494220">
        <w:t>nterventions</w:t>
      </w:r>
    </w:p>
    <w:tbl>
      <w:tblPr>
        <w:tblW w:w="14077" w:type="dxa"/>
        <w:tblInd w:w="-432" w:type="dxa"/>
        <w:tblLook w:val="0000" w:firstRow="0" w:lastRow="0" w:firstColumn="0" w:lastColumn="0" w:noHBand="0" w:noVBand="0"/>
      </w:tblPr>
      <w:tblGrid>
        <w:gridCol w:w="2340"/>
        <w:gridCol w:w="1360"/>
        <w:gridCol w:w="1880"/>
        <w:gridCol w:w="970"/>
        <w:gridCol w:w="1390"/>
        <w:gridCol w:w="1414"/>
        <w:gridCol w:w="1560"/>
        <w:gridCol w:w="1263"/>
        <w:gridCol w:w="1900"/>
      </w:tblGrid>
      <w:tr w:rsidR="007E3347" w:rsidRPr="00494220" w:rsidTr="00494220">
        <w:trPr>
          <w:cantSplit/>
          <w:tblHeader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347" w:rsidRPr="00494220" w:rsidTr="00494220">
        <w:trPr>
          <w:cantSplit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Study, Year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13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sz w:val="18"/>
                <w:szCs w:val="18"/>
              </w:rPr>
              <w:t>Readmission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sz w:val="18"/>
                <w:szCs w:val="18"/>
              </w:rPr>
              <w:t>Adverse Event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sz w:val="18"/>
                <w:szCs w:val="18"/>
              </w:rPr>
              <w:t>Costs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20">
              <w:rPr>
                <w:rFonts w:ascii="Arial" w:hAnsi="Arial" w:cs="Arial"/>
                <w:b/>
                <w:bCs/>
                <w:sz w:val="18"/>
                <w:szCs w:val="18"/>
              </w:rPr>
              <w:t>Acute care/ED utilization</w:t>
            </w:r>
          </w:p>
        </w:tc>
      </w:tr>
      <w:tr w:rsidR="007E3347" w:rsidRPr="00494220" w:rsidTr="00494220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Adler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Al-Rashed et al, 2002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Balaban et al, 2008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Bolas et al, 2004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Brand et al, 2004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Coleman et al, 2004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Geriatric/Mixed Diagnoses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1235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Coleman et al, 2006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Geriatric/Mixed Diagnoses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Courtney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Cowan et al, 2006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Dellasega et al, 2000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Einstadler et al, 1996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Forster et al, 2005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Gallagher et al, 2011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Gillespie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Gow et al, 1999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Graumlich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Mixed patient population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Hellstrom et al, 2011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Hogan and Fox, 1990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6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Jack</w:t>
            </w:r>
            <w:r w:rsidR="00303E7A" w:rsidRPr="004942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4220">
              <w:rPr>
                <w:rFonts w:ascii="Arial" w:hAnsi="Arial" w:cs="Arial"/>
                <w:sz w:val="18"/>
                <w:szCs w:val="18"/>
              </w:rPr>
              <w:t>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 and surgical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3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lastRenderedPageBreak/>
              <w:t>Koehler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Lim et al, 2003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Lipton and Bird, 1994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Makowsky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Mixed patient population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Martin et al, 1994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Mudge et al, 2006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746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Naylor et al, 1999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Geriatric/Mixed Diagnoses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Naylor, 1990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Nazareth et al, 2001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Nikolaus et al, 1999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Palmer et al, 2002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1248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Parry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Geriatric/Mix Diagnoses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Schillig et al, 2011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Schnipper et al, 2006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Scullin et al, 2007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Scullin et al, 2011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6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Siu et al, 1996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Steeman et al, 2006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Stewart et al, 1998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Mixed Diagnoses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Styrborn et al, 1995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166+ 190 (2 groups)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43 (0-4 day stay)+ 137 (5+ day stay)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Thomas et al, 1993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Geriatric/General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lastRenderedPageBreak/>
              <w:t>Voss et al, 2011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736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3347" w:rsidRPr="00494220" w:rsidTr="0049422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Walker et al, 2009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CCT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General medical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  <w:tr w:rsidR="007E3347" w:rsidRPr="00494220" w:rsidTr="00494220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Weinberger et al, 1996</w:t>
            </w:r>
            <w:r w:rsidRPr="00494220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Mixed Diagnoses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347" w:rsidRPr="00494220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220">
              <w:rPr>
                <w:rFonts w:ascii="Arial" w:hAnsi="Arial" w:cs="Arial"/>
                <w:sz w:val="18"/>
                <w:szCs w:val="18"/>
              </w:rPr>
              <w:t></w:t>
            </w:r>
          </w:p>
        </w:tc>
      </w:tr>
    </w:tbl>
    <w:p w:rsidR="007E3347" w:rsidRDefault="007E3347" w:rsidP="004C0DC7">
      <w:pPr>
        <w:pStyle w:val="TableNote"/>
      </w:pPr>
      <w:r w:rsidRPr="00B5015F">
        <w:t>Abbreviations: CCT=controlled clinical trial; RCT=randomized controlled trial</w:t>
      </w:r>
      <w:bookmarkStart w:id="3" w:name="_GoBack"/>
      <w:bookmarkEnd w:id="3"/>
      <w:r>
        <w:t xml:space="preserve"> </w:t>
      </w:r>
    </w:p>
    <w:sectPr w:rsidR="007E3347" w:rsidSect="004C0DC7">
      <w:footerReference w:type="default" r:id="rId9"/>
      <w:pgSz w:w="15840" w:h="12240" w:orient="landscape"/>
      <w:pgMar w:top="1440" w:right="1440" w:bottom="1440" w:left="1440" w:header="720" w:footer="720" w:gutter="0"/>
      <w:paperSrc w:first="4267" w:other="4267"/>
      <w:pgNumType w:start="2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C8" w:rsidRDefault="00F94BC8" w:rsidP="006D31C5"/>
  </w:endnote>
  <w:endnote w:type="continuationSeparator" w:id="0">
    <w:p w:rsidR="00F94BC8" w:rsidRDefault="00F94BC8" w:rsidP="006D31C5"/>
  </w:endnote>
  <w:endnote w:type="continuationNotice" w:id="1">
    <w:p w:rsidR="00F94BC8" w:rsidRPr="006D31C5" w:rsidRDefault="00F94BC8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Pr="00CC1416" w:rsidRDefault="00923A62" w:rsidP="0042423E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4C0DC7">
      <w:rPr>
        <w:noProof/>
      </w:rPr>
      <w:t>284</w:t>
    </w:r>
    <w:r w:rsidR="00211F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C8" w:rsidRDefault="00F94BC8">
      <w:r>
        <w:separator/>
      </w:r>
    </w:p>
  </w:footnote>
  <w:footnote w:type="continuationSeparator" w:id="0">
    <w:p w:rsidR="00F94BC8" w:rsidRDefault="00F94BC8">
      <w:r>
        <w:continuationSeparator/>
      </w:r>
    </w:p>
    <w:p w:rsidR="00F94BC8" w:rsidRDefault="00F94BC8"/>
    <w:p w:rsidR="00F94BC8" w:rsidRDefault="00F94BC8"/>
    <w:p w:rsidR="00F94BC8" w:rsidRDefault="00F94BC8"/>
    <w:p w:rsidR="00F94BC8" w:rsidRDefault="00F94B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33C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1F52"/>
    <w:rsid w:val="0021204C"/>
    <w:rsid w:val="00212F69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DC7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28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4BC8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070F-5D1E-4759-84BB-BC78CAB2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10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3128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4</cp:revision>
  <cp:lastPrinted>2013-02-26T21:42:00Z</cp:lastPrinted>
  <dcterms:created xsi:type="dcterms:W3CDTF">2013-02-27T15:21:00Z</dcterms:created>
  <dcterms:modified xsi:type="dcterms:W3CDTF">2013-03-22T12:11:00Z</dcterms:modified>
</cp:coreProperties>
</file>