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9D1F96" w:rsidRDefault="007E3347" w:rsidP="00D17164">
      <w:pPr>
        <w:pStyle w:val="TableTitle"/>
      </w:pPr>
      <w:proofErr w:type="gramStart"/>
      <w:r>
        <w:t>Table 2, Chapter 32.</w:t>
      </w:r>
      <w:proofErr w:type="gramEnd"/>
      <w:r w:rsidR="00303E7A">
        <w:t xml:space="preserve"> </w:t>
      </w:r>
      <w:r>
        <w:t xml:space="preserve">Evidence </w:t>
      </w:r>
      <w:r w:rsidR="00D17164">
        <w:t>t</w:t>
      </w:r>
      <w:r>
        <w:t xml:space="preserve">able: </w:t>
      </w:r>
      <w:r w:rsidR="00D17164">
        <w:t>p</w:t>
      </w:r>
      <w:r w:rsidRPr="009D1F96">
        <w:t>atient</w:t>
      </w:r>
      <w:r w:rsidR="002F1740">
        <w:t>’</w:t>
      </w:r>
      <w:r w:rsidR="00D17164">
        <w:t>s engagement, risk of bias</w:t>
      </w:r>
    </w:p>
    <w:tbl>
      <w:tblPr>
        <w:tblW w:w="136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287"/>
        <w:gridCol w:w="1170"/>
        <w:gridCol w:w="1440"/>
        <w:gridCol w:w="1620"/>
        <w:gridCol w:w="1785"/>
        <w:gridCol w:w="1710"/>
        <w:gridCol w:w="1710"/>
        <w:gridCol w:w="1890"/>
      </w:tblGrid>
      <w:tr w:rsidR="007E3347" w:rsidRPr="009D1F96" w:rsidTr="00D17164">
        <w:trPr>
          <w:cantSplit/>
        </w:trPr>
        <w:tc>
          <w:tcPr>
            <w:tcW w:w="1068" w:type="dxa"/>
            <w:shd w:val="clear" w:color="auto" w:fill="auto"/>
            <w:noWrap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Was the allocation sequence adequately generated?</w:t>
            </w:r>
          </w:p>
        </w:tc>
        <w:tc>
          <w:tcPr>
            <w:tcW w:w="1170" w:type="dxa"/>
            <w:shd w:val="clear" w:color="auto" w:fill="auto"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Was the allocation adequately concealed?</w:t>
            </w:r>
          </w:p>
        </w:tc>
        <w:tc>
          <w:tcPr>
            <w:tcW w:w="1440" w:type="dxa"/>
            <w:shd w:val="clear" w:color="auto" w:fill="auto"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Were baseline outcome measurements similar?*</w:t>
            </w:r>
          </w:p>
        </w:tc>
        <w:tc>
          <w:tcPr>
            <w:tcW w:w="1620" w:type="dxa"/>
            <w:shd w:val="clear" w:color="auto" w:fill="auto"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Were baseline characteristics similar?</w:t>
            </w:r>
          </w:p>
        </w:tc>
        <w:tc>
          <w:tcPr>
            <w:tcW w:w="1785" w:type="dxa"/>
            <w:shd w:val="clear" w:color="auto" w:fill="auto"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Were incomplete outcome data adequately addressed?*</w:t>
            </w:r>
          </w:p>
        </w:tc>
        <w:tc>
          <w:tcPr>
            <w:tcW w:w="1710" w:type="dxa"/>
            <w:shd w:val="clear" w:color="auto" w:fill="auto"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Was knowledge of the allocated interventions adequately prevented during the study? *</w:t>
            </w:r>
          </w:p>
        </w:tc>
        <w:tc>
          <w:tcPr>
            <w:tcW w:w="1710" w:type="dxa"/>
            <w:shd w:val="clear" w:color="auto" w:fill="auto"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Was the study adequately protected against contamination?</w:t>
            </w:r>
          </w:p>
        </w:tc>
        <w:tc>
          <w:tcPr>
            <w:tcW w:w="1890" w:type="dxa"/>
            <w:shd w:val="clear" w:color="auto" w:fill="auto"/>
          </w:tcPr>
          <w:p w:rsidR="007E3347" w:rsidRPr="009D1F96" w:rsidRDefault="007E3347" w:rsidP="00D171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Was the study free from selective outcome reporting?</w:t>
            </w:r>
          </w:p>
        </w:tc>
      </w:tr>
      <w:tr w:rsidR="007E3347" w:rsidRPr="009D1F96" w:rsidTr="00D17164">
        <w:trPr>
          <w:cantSplit/>
        </w:trPr>
        <w:tc>
          <w:tcPr>
            <w:tcW w:w="1068" w:type="dxa"/>
            <w:shd w:val="clear" w:color="auto" w:fill="auto"/>
            <w:noWrap/>
          </w:tcPr>
          <w:p w:rsidR="007E3347" w:rsidRPr="009D1F96" w:rsidRDefault="007E3347" w:rsidP="00D171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1F96">
              <w:rPr>
                <w:rFonts w:ascii="Arial" w:hAnsi="Arial" w:cs="Arial"/>
                <w:color w:val="000000"/>
                <w:sz w:val="18"/>
                <w:szCs w:val="18"/>
              </w:rPr>
              <w:t>Weingart</w:t>
            </w:r>
            <w:proofErr w:type="spellEnd"/>
            <w:r w:rsidRPr="009D1F96">
              <w:rPr>
                <w:rFonts w:ascii="Arial" w:hAnsi="Arial" w:cs="Arial"/>
                <w:color w:val="000000"/>
                <w:sz w:val="18"/>
                <w:szCs w:val="18"/>
              </w:rPr>
              <w:t xml:space="preserve">, 2004 </w:t>
            </w:r>
            <w:r w:rsidR="00892E13" w:rsidRPr="009D1F9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D1F9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9D1F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9D1F9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9D1F9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D1F9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ÿ\11\05‘\19\02\00\00\00\011\01\01\00\01\00\00\01\00\00\00\1BM_\00\00\00\00XZ\06\01˜@\06\01\01\00\00\008\00\00\00\00\00\00\00\00\003\00L\04\00\00uC:\5CDocuments and Settings\5Crwilson8\5CDesktop\5CPSP temp\5CPR draft\5CPatient Roles Database 26Oct PM_all searches deduped.pdt!Weingart, Toth, et al. 2004 #1101\00!\00 </w:instrText>
            </w:r>
            <w:r w:rsidR="00892E13" w:rsidRPr="009D1F9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9D1F9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D1F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892E13" w:rsidRPr="009D1F9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E3347" w:rsidRPr="009D1F96" w:rsidTr="00D17164">
        <w:trPr>
          <w:cantSplit/>
        </w:trPr>
        <w:tc>
          <w:tcPr>
            <w:tcW w:w="1068" w:type="dxa"/>
            <w:shd w:val="clear" w:color="auto" w:fill="auto"/>
            <w:noWrap/>
          </w:tcPr>
          <w:p w:rsidR="007E3347" w:rsidRPr="009D1F96" w:rsidRDefault="007E3347" w:rsidP="00D171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1F96">
              <w:rPr>
                <w:rFonts w:ascii="Arial" w:hAnsi="Arial" w:cs="Arial"/>
                <w:color w:val="000000"/>
                <w:sz w:val="18"/>
                <w:szCs w:val="18"/>
              </w:rPr>
              <w:t>McGuckin</w:t>
            </w:r>
            <w:proofErr w:type="spellEnd"/>
            <w:r w:rsidRPr="009D1F96">
              <w:rPr>
                <w:rFonts w:ascii="Arial" w:hAnsi="Arial" w:cs="Arial"/>
                <w:color w:val="000000"/>
                <w:sz w:val="18"/>
                <w:szCs w:val="18"/>
              </w:rPr>
              <w:t xml:space="preserve">, 2004 </w:t>
            </w:r>
            <w:r w:rsidR="00892E13" w:rsidRPr="009D1F9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D1F9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9D1F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9D1F9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9D1F9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D1F9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ÿ\11\05‘\19\02\00\00\00\012\01\01\00\01\00\00\01\00\00\00\1BM_\00\00\00\00ÈH\09\01ˆ\09\09\01\01\00\00\008\00\00\00\00\00\00\008\00\00\00s\04\00\00uC:\5CDocuments and Settings\5Crwilson8\5CDesktop\5CPSP temp\5CPR draft\5CPatient Roles Database 26Oct PM_all searches deduped.pdt#McGuckin, Taylor, et al. 2004 #1140\00#\00 </w:instrText>
            </w:r>
            <w:r w:rsidR="00892E13" w:rsidRPr="009D1F9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9D1F9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D1F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892E13" w:rsidRPr="009D1F9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7E3347" w:rsidRPr="009D1F96" w:rsidTr="00D17164">
        <w:trPr>
          <w:cantSplit/>
        </w:trPr>
        <w:tc>
          <w:tcPr>
            <w:tcW w:w="1068" w:type="dxa"/>
            <w:shd w:val="clear" w:color="auto" w:fill="auto"/>
            <w:noWrap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hAnsi="Arial" w:cs="Arial"/>
                <w:sz w:val="18"/>
                <w:szCs w:val="18"/>
              </w:rPr>
              <w:t xml:space="preserve">Stone 2007 </w:t>
            </w:r>
            <w:r w:rsidR="00892E13" w:rsidRPr="009D1F9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D1F96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9D1F96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9D1F9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9D1F9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D1F9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ÿ\11\05‘\19\02\00\00\00\013\01\01\00\01\00\00\01\00\00\00\1BM_\00\00\00\00ÐÎ\08\01ÀÒ\08\01\01\00\00\008\00\00\00\00\00\00\008\00\00\00×\0B\00\00uC:\5CDocuments and Settings\5Crwilson8\5CDesktop\5CPSP temp\5CPR draft\5CPatient Roles Database 26Oct PM_all searches deduped.pdt\1FStone, Slade, et al. 2007 #3930\00\1F\00 </w:instrText>
            </w:r>
            <w:r w:rsidR="00892E13" w:rsidRPr="009D1F9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892E13" w:rsidRPr="009D1F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1F9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92E13" w:rsidRPr="009D1F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E3347" w:rsidRPr="009D1F96" w:rsidRDefault="007E3347" w:rsidP="00D1716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1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</w:tbl>
    <w:p w:rsidR="007E3347" w:rsidRDefault="007E3347" w:rsidP="00E366AE"/>
    <w:p w:rsidR="007E3347" w:rsidRDefault="007E3347" w:rsidP="00E366AE"/>
    <w:p w:rsidR="007E3347" w:rsidRDefault="007E3347" w:rsidP="00E366AE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7E3347" w:rsidSect="00A37A98">
          <w:footerReference w:type="default" r:id="rId9"/>
          <w:pgSz w:w="15840" w:h="12240" w:orient="landscape" w:code="1"/>
          <w:pgMar w:top="1440" w:right="1440" w:bottom="1440" w:left="1440" w:header="720" w:footer="720" w:gutter="0"/>
          <w:paperSrc w:first="4267" w:other="4267"/>
          <w:pgNumType w:start="196"/>
          <w:cols w:space="720"/>
          <w:docGrid w:linePitch="360"/>
        </w:sectPr>
      </w:pPr>
      <w:bookmarkStart w:id="0" w:name="PCRefList_Patient_RoleEvidence_Table_1De"/>
    </w:p>
    <w:p w:rsidR="007E3347" w:rsidRPr="00A22F2B" w:rsidRDefault="007E3347" w:rsidP="00D17164">
      <w:pPr>
        <w:pStyle w:val="Level2Heading"/>
        <w:rPr>
          <w:sz w:val="28"/>
          <w:szCs w:val="28"/>
        </w:rPr>
      </w:pPr>
      <w:r w:rsidRPr="00E70328">
        <w:lastRenderedPageBreak/>
        <w:t>References</w:t>
      </w:r>
    </w:p>
    <w:p w:rsidR="007E3347" w:rsidRDefault="007E3347" w:rsidP="00E366AE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szCs w:val="18"/>
        </w:rPr>
        <w:sectPr w:rsidR="007E3347" w:rsidSect="0010736C">
          <w:pgSz w:w="12240" w:h="15840" w:code="1"/>
          <w:pgMar w:top="1440" w:right="1440" w:bottom="1440" w:left="1440" w:header="720" w:footer="720" w:gutter="0"/>
          <w:paperSrc w:first="4267" w:other="4267"/>
          <w:cols w:space="720"/>
          <w:docGrid w:linePitch="360"/>
        </w:sectPr>
      </w:pPr>
    </w:p>
    <w:p w:rsidR="007E3347" w:rsidRPr="00E70328" w:rsidRDefault="007E3347" w:rsidP="00D17164">
      <w:pPr>
        <w:pStyle w:val="Reference"/>
        <w:rPr>
          <w:noProof/>
        </w:rPr>
      </w:pPr>
      <w:r w:rsidRPr="00E70328">
        <w:rPr>
          <w:noProof/>
        </w:rPr>
        <w:lastRenderedPageBreak/>
        <w:t>1.</w:t>
      </w:r>
      <w:r w:rsidR="00303E7A">
        <w:rPr>
          <w:noProof/>
        </w:rPr>
        <w:t xml:space="preserve"> </w:t>
      </w:r>
      <w:r w:rsidR="00D17164">
        <w:rPr>
          <w:noProof/>
        </w:rPr>
        <w:tab/>
      </w:r>
      <w:r w:rsidRPr="00E70328">
        <w:rPr>
          <w:noProof/>
        </w:rPr>
        <w:t>Weingart SN, Toth M, Eneman J et al. Int J Qual Health Care: Lessons from a patient partnership intervention to prevent adverse drug events. 2004; 16:499-507.</w:t>
      </w:r>
    </w:p>
    <w:p w:rsidR="007E3347" w:rsidRPr="00E70328" w:rsidRDefault="007E3347" w:rsidP="00D17164">
      <w:pPr>
        <w:pStyle w:val="Reference"/>
        <w:rPr>
          <w:noProof/>
        </w:rPr>
      </w:pPr>
      <w:r w:rsidRPr="00E70328">
        <w:rPr>
          <w:noProof/>
        </w:rPr>
        <w:t>2.</w:t>
      </w:r>
      <w:r w:rsidR="00D17164">
        <w:rPr>
          <w:noProof/>
        </w:rPr>
        <w:tab/>
      </w:r>
      <w:r w:rsidRPr="00E70328">
        <w:rPr>
          <w:noProof/>
        </w:rPr>
        <w:t>McGuckin M, Taylor A, Martin V, Porten L, Salcido R. Am J Infect Control: Evaluation of a patient education model for increasing hand hygiene compliance in an inpatient rehabilitation unit. 2004; 32:235-8.</w:t>
      </w:r>
    </w:p>
    <w:p w:rsidR="00BB193B" w:rsidRPr="00BB193B" w:rsidRDefault="007E3347" w:rsidP="00BB193B">
      <w:pPr>
        <w:pStyle w:val="Reference"/>
        <w:rPr>
          <w:noProof/>
        </w:rPr>
        <w:sectPr w:rsidR="00BB193B" w:rsidRPr="00BB193B" w:rsidSect="0010736C">
          <w:type w:val="continuous"/>
          <w:pgSz w:w="12240" w:h="15840" w:code="1"/>
          <w:pgMar w:top="1440" w:right="1440" w:bottom="1440" w:left="1440" w:header="720" w:footer="720" w:gutter="0"/>
          <w:paperSrc w:first="4267" w:other="4267"/>
          <w:cols w:num="2" w:space="720"/>
          <w:docGrid w:linePitch="360"/>
        </w:sectPr>
      </w:pPr>
      <w:r w:rsidRPr="00E70328">
        <w:rPr>
          <w:noProof/>
        </w:rPr>
        <w:lastRenderedPageBreak/>
        <w:t>3.</w:t>
      </w:r>
      <w:r w:rsidR="00303E7A">
        <w:rPr>
          <w:noProof/>
        </w:rPr>
        <w:t xml:space="preserve"> </w:t>
      </w:r>
      <w:r w:rsidR="00D17164">
        <w:rPr>
          <w:noProof/>
        </w:rPr>
        <w:tab/>
      </w:r>
      <w:r w:rsidRPr="00E70328">
        <w:rPr>
          <w:noProof/>
        </w:rPr>
        <w:t>Stone S, Slade R, Fuller C et al. Journal of Hospital Infection: Early communication: Does a national campaign to improve hand hygiene in the NHS work? Initial English and Welsh experience from the NOSEC study (National Observational Study to Evaluate the CleanYou</w:t>
      </w:r>
      <w:r w:rsidR="00BB193B">
        <w:rPr>
          <w:noProof/>
        </w:rPr>
        <w:t>rHandsCampaign). 2007; 66:293</w:t>
      </w:r>
    </w:p>
    <w:p w:rsidR="007E3347" w:rsidRDefault="007E3347" w:rsidP="00BB193B">
      <w:bookmarkStart w:id="1" w:name="_GoBack"/>
      <w:bookmarkEnd w:id="0"/>
      <w:bookmarkEnd w:id="1"/>
    </w:p>
    <w:sectPr w:rsidR="007E3347" w:rsidSect="00BB193B">
      <w:footerReference w:type="default" r:id="rId10"/>
      <w:type w:val="continuous"/>
      <w:pgSz w:w="12240" w:h="15840" w:code="1"/>
      <w:pgMar w:top="1440" w:right="1440" w:bottom="1440" w:left="1440" w:header="720" w:footer="720" w:gutter="0"/>
      <w:paperSrc w:first="4267" w:other="4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4B" w:rsidRDefault="006F564B" w:rsidP="006D31C5"/>
  </w:endnote>
  <w:endnote w:type="continuationSeparator" w:id="0">
    <w:p w:rsidR="006F564B" w:rsidRDefault="006F564B" w:rsidP="006D31C5"/>
  </w:endnote>
  <w:endnote w:type="continuationNotice" w:id="1">
    <w:p w:rsidR="006F564B" w:rsidRPr="006D31C5" w:rsidRDefault="006F564B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923A62" w:rsidP="006B03FC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A37A98">
      <w:rPr>
        <w:noProof/>
      </w:rPr>
      <w:t>196</w:t>
    </w:r>
    <w:r w:rsidR="00211F5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BB193B">
      <w:rPr>
        <w:noProof/>
      </w:rPr>
      <w:t>103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4B" w:rsidRDefault="006F564B">
      <w:r>
        <w:separator/>
      </w:r>
    </w:p>
  </w:footnote>
  <w:footnote w:type="continuationSeparator" w:id="0">
    <w:p w:rsidR="006F564B" w:rsidRDefault="006F564B">
      <w:r>
        <w:continuationSeparator/>
      </w:r>
    </w:p>
    <w:p w:rsidR="006F564B" w:rsidRDefault="006F564B"/>
    <w:p w:rsidR="006F564B" w:rsidRDefault="006F564B"/>
    <w:p w:rsidR="006F564B" w:rsidRDefault="006F564B"/>
    <w:p w:rsidR="006F564B" w:rsidRDefault="006F56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64B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37A98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93B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5DA2-336B-4F02-A611-543B1625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13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2389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5</cp:revision>
  <cp:lastPrinted>2013-02-26T21:42:00Z</cp:lastPrinted>
  <dcterms:created xsi:type="dcterms:W3CDTF">2013-02-27T15:21:00Z</dcterms:created>
  <dcterms:modified xsi:type="dcterms:W3CDTF">2013-03-22T10:39:00Z</dcterms:modified>
</cp:coreProperties>
</file>