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755823" w:rsidRDefault="00A83288" w:rsidP="00B146A9">
      <w:pPr>
        <w:pStyle w:val="TableTitle"/>
      </w:pPr>
      <w:proofErr w:type="gramStart"/>
      <w:r>
        <w:t xml:space="preserve">Appendix Table </w:t>
      </w:r>
      <w:proofErr w:type="spellStart"/>
      <w:r>
        <w:t>C3d</w:t>
      </w:r>
      <w:proofErr w:type="spellEnd"/>
      <w:r w:rsidRPr="00755823">
        <w:t>-Update</w:t>
      </w:r>
      <w:r>
        <w:t>.</w:t>
      </w:r>
      <w:proofErr w:type="gramEnd"/>
      <w:r w:rsidRPr="00755823">
        <w:t xml:space="preserve"> </w:t>
      </w:r>
      <w:r>
        <w:t xml:space="preserve">Intervention characteristics for </w:t>
      </w:r>
      <w:proofErr w:type="spellStart"/>
      <w:r>
        <w:t>CAUTI</w:t>
      </w:r>
      <w:proofErr w:type="spellEnd"/>
      <w:r w:rsidRPr="00755823">
        <w:t xml:space="preserve"> which control for secular trend or confounding from the update search</w:t>
      </w:r>
    </w:p>
    <w:tbl>
      <w:tblPr>
        <w:tblW w:w="5000" w:type="pct"/>
        <w:tblLook w:val="04A0" w:firstRow="1" w:lastRow="0" w:firstColumn="1" w:lastColumn="0" w:noHBand="0" w:noVBand="1"/>
      </w:tblPr>
      <w:tblGrid>
        <w:gridCol w:w="3531"/>
        <w:gridCol w:w="2081"/>
        <w:gridCol w:w="4537"/>
        <w:gridCol w:w="4467"/>
      </w:tblGrid>
      <w:tr w:rsidR="00A83288" w:rsidRPr="00AE7F0E" w:rsidTr="00A83288">
        <w:trPr>
          <w:trHeight w:val="288"/>
          <w:tblHeader/>
        </w:trPr>
        <w:tc>
          <w:tcPr>
            <w:tcW w:w="1208" w:type="pct"/>
            <w:tcBorders>
              <w:top w:val="single" w:sz="4" w:space="0" w:color="auto"/>
              <w:left w:val="single" w:sz="4" w:space="0" w:color="auto"/>
              <w:bottom w:val="single" w:sz="4" w:space="0" w:color="auto"/>
              <w:right w:val="single" w:sz="4" w:space="0" w:color="auto"/>
            </w:tcBorders>
            <w:shd w:val="clear" w:color="000000" w:fill="C0C0C0"/>
            <w:vAlign w:val="bottom"/>
            <w:hideMark/>
          </w:tcPr>
          <w:p w:rsidR="00A83288" w:rsidRPr="00AE7F0E" w:rsidRDefault="00A83288" w:rsidP="00A83288">
            <w:pPr>
              <w:jc w:val="center"/>
              <w:rPr>
                <w:rFonts w:ascii="Arial" w:hAnsi="Arial" w:cs="Arial"/>
                <w:b/>
                <w:bCs/>
                <w:color w:val="000000"/>
                <w:sz w:val="18"/>
                <w:szCs w:val="18"/>
              </w:rPr>
            </w:pPr>
            <w:r w:rsidRPr="00AE7F0E">
              <w:rPr>
                <w:rFonts w:ascii="Arial" w:hAnsi="Arial" w:cs="Arial"/>
                <w:b/>
                <w:bCs/>
                <w:color w:val="000000"/>
                <w:sz w:val="18"/>
                <w:szCs w:val="18"/>
              </w:rPr>
              <w:t>Study</w:t>
            </w:r>
          </w:p>
        </w:tc>
        <w:tc>
          <w:tcPr>
            <w:tcW w:w="712" w:type="pct"/>
            <w:tcBorders>
              <w:top w:val="single" w:sz="4" w:space="0" w:color="auto"/>
              <w:left w:val="nil"/>
              <w:bottom w:val="single" w:sz="4" w:space="0" w:color="auto"/>
              <w:right w:val="single" w:sz="4" w:space="0" w:color="auto"/>
            </w:tcBorders>
            <w:shd w:val="clear" w:color="000000" w:fill="C0C0C0"/>
            <w:vAlign w:val="bottom"/>
            <w:hideMark/>
          </w:tcPr>
          <w:p w:rsidR="00A83288" w:rsidRPr="00AE7F0E" w:rsidRDefault="00A83288" w:rsidP="00A83288">
            <w:pPr>
              <w:jc w:val="center"/>
              <w:rPr>
                <w:rFonts w:ascii="Arial" w:hAnsi="Arial" w:cs="Arial"/>
                <w:b/>
                <w:bCs/>
                <w:color w:val="000000"/>
                <w:sz w:val="18"/>
                <w:szCs w:val="18"/>
              </w:rPr>
            </w:pPr>
            <w:r w:rsidRPr="00AE7F0E">
              <w:rPr>
                <w:rFonts w:ascii="Arial" w:hAnsi="Arial" w:cs="Arial"/>
                <w:b/>
                <w:bCs/>
                <w:color w:val="000000"/>
                <w:sz w:val="18"/>
                <w:szCs w:val="18"/>
              </w:rPr>
              <w:t>Infection</w:t>
            </w:r>
          </w:p>
        </w:tc>
        <w:tc>
          <w:tcPr>
            <w:tcW w:w="1552" w:type="pct"/>
            <w:tcBorders>
              <w:top w:val="single" w:sz="4" w:space="0" w:color="auto"/>
              <w:left w:val="nil"/>
              <w:bottom w:val="single" w:sz="4" w:space="0" w:color="auto"/>
              <w:right w:val="single" w:sz="4" w:space="0" w:color="auto"/>
            </w:tcBorders>
            <w:shd w:val="clear" w:color="000000" w:fill="C0C0C0"/>
            <w:vAlign w:val="bottom"/>
            <w:hideMark/>
          </w:tcPr>
          <w:p w:rsidR="00A83288" w:rsidRPr="00AE7F0E" w:rsidRDefault="00A83288" w:rsidP="00A83288">
            <w:pPr>
              <w:jc w:val="center"/>
              <w:rPr>
                <w:rFonts w:ascii="Arial" w:hAnsi="Arial" w:cs="Arial"/>
                <w:b/>
                <w:bCs/>
                <w:color w:val="000000"/>
                <w:sz w:val="18"/>
                <w:szCs w:val="18"/>
              </w:rPr>
            </w:pPr>
            <w:r w:rsidRPr="00AE7F0E">
              <w:rPr>
                <w:rFonts w:ascii="Arial" w:hAnsi="Arial" w:cs="Arial"/>
                <w:b/>
                <w:bCs/>
                <w:color w:val="000000"/>
                <w:sz w:val="18"/>
                <w:szCs w:val="18"/>
              </w:rPr>
              <w:t>Intervention specifics</w:t>
            </w:r>
          </w:p>
        </w:tc>
        <w:tc>
          <w:tcPr>
            <w:tcW w:w="1528" w:type="pct"/>
            <w:tcBorders>
              <w:top w:val="single" w:sz="4" w:space="0" w:color="auto"/>
              <w:left w:val="nil"/>
              <w:bottom w:val="single" w:sz="4" w:space="0" w:color="auto"/>
              <w:right w:val="single" w:sz="4" w:space="0" w:color="auto"/>
            </w:tcBorders>
            <w:shd w:val="clear" w:color="000000" w:fill="C0C0C0"/>
            <w:vAlign w:val="bottom"/>
            <w:hideMark/>
          </w:tcPr>
          <w:p w:rsidR="00A83288" w:rsidRPr="00AE7F0E" w:rsidRDefault="00A83288" w:rsidP="00A83288">
            <w:pPr>
              <w:jc w:val="center"/>
              <w:rPr>
                <w:rFonts w:ascii="Arial" w:hAnsi="Arial" w:cs="Arial"/>
                <w:b/>
                <w:bCs/>
                <w:color w:val="000000"/>
                <w:sz w:val="18"/>
                <w:szCs w:val="18"/>
              </w:rPr>
            </w:pPr>
            <w:r w:rsidRPr="00AE7F0E">
              <w:rPr>
                <w:rFonts w:ascii="Arial" w:hAnsi="Arial" w:cs="Arial"/>
                <w:b/>
                <w:bCs/>
                <w:color w:val="000000"/>
                <w:sz w:val="18"/>
                <w:szCs w:val="18"/>
              </w:rPr>
              <w:t>Comment</w:t>
            </w:r>
          </w:p>
        </w:tc>
      </w:tr>
      <w:tr w:rsidR="00A83288" w:rsidRPr="00AE7F0E" w:rsidTr="00A83288">
        <w:trPr>
          <w:trHeight w:val="1584"/>
        </w:trPr>
        <w:tc>
          <w:tcPr>
            <w:tcW w:w="1208" w:type="pct"/>
            <w:tcBorders>
              <w:top w:val="nil"/>
              <w:left w:val="single" w:sz="4" w:space="0" w:color="auto"/>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t>Fakih</w:t>
            </w:r>
            <w:proofErr w:type="spellEnd"/>
            <w:r w:rsidRPr="00AE7F0E">
              <w:rPr>
                <w:rFonts w:ascii="Arial" w:hAnsi="Arial" w:cs="Arial"/>
                <w:color w:val="000000"/>
                <w:sz w:val="18"/>
                <w:szCs w:val="18"/>
              </w:rPr>
              <w:t>, United States - 2012</w:t>
            </w:r>
          </w:p>
        </w:tc>
        <w:tc>
          <w:tcPr>
            <w:tcW w:w="71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t>CAUTI</w:t>
            </w:r>
            <w:proofErr w:type="spellEnd"/>
          </w:p>
        </w:tc>
        <w:tc>
          <w:tcPr>
            <w:tcW w:w="155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Multidisciplinary team garnered unit support from physicians and nurses to facilitate implementation of QI strategy.</w:t>
            </w:r>
            <w:r>
              <w:rPr>
                <w:rFonts w:ascii="Arial" w:hAnsi="Arial" w:cs="Arial"/>
                <w:color w:val="000000"/>
                <w:sz w:val="18"/>
                <w:szCs w:val="18"/>
              </w:rPr>
              <w:t xml:space="preserve"> </w:t>
            </w:r>
            <w:r w:rsidRPr="00AE7F0E">
              <w:rPr>
                <w:rFonts w:ascii="Arial" w:hAnsi="Arial" w:cs="Arial"/>
                <w:color w:val="000000"/>
                <w:sz w:val="18"/>
                <w:szCs w:val="18"/>
              </w:rPr>
              <w:t>Strategy consisted of nurse education, evaluation of catheter placement, feedback to units [changes in catheter use, appropriateness of placed catheters], webinar education,</w:t>
            </w:r>
            <w:r>
              <w:rPr>
                <w:rFonts w:ascii="Arial" w:hAnsi="Arial" w:cs="Arial"/>
                <w:color w:val="000000"/>
                <w:sz w:val="18"/>
                <w:szCs w:val="18"/>
              </w:rPr>
              <w:t xml:space="preserve"> </w:t>
            </w:r>
            <w:r w:rsidRPr="00AE7F0E">
              <w:rPr>
                <w:rFonts w:ascii="Arial" w:hAnsi="Arial" w:cs="Arial"/>
                <w:color w:val="000000"/>
                <w:sz w:val="18"/>
                <w:szCs w:val="18"/>
              </w:rPr>
              <w:t xml:space="preserve">and a </w:t>
            </w:r>
            <w:r w:rsidR="001029A6">
              <w:rPr>
                <w:rFonts w:ascii="Arial" w:hAnsi="Arial" w:cs="Arial"/>
                <w:color w:val="000000"/>
                <w:sz w:val="18"/>
                <w:szCs w:val="18"/>
              </w:rPr>
              <w:t>‘</w:t>
            </w:r>
            <w:r w:rsidRPr="00AE7F0E">
              <w:rPr>
                <w:rFonts w:ascii="Arial" w:hAnsi="Arial" w:cs="Arial"/>
                <w:color w:val="000000"/>
                <w:sz w:val="18"/>
                <w:szCs w:val="18"/>
              </w:rPr>
              <w:t>bladder bundle</w:t>
            </w:r>
            <w:r w:rsidR="001029A6">
              <w:rPr>
                <w:rFonts w:ascii="Arial" w:hAnsi="Arial" w:cs="Arial"/>
                <w:color w:val="000000"/>
                <w:sz w:val="18"/>
                <w:szCs w:val="18"/>
              </w:rPr>
              <w:t>’</w:t>
            </w:r>
            <w:r w:rsidRPr="00AE7F0E">
              <w:rPr>
                <w:rFonts w:ascii="Arial" w:hAnsi="Arial" w:cs="Arial"/>
                <w:color w:val="000000"/>
                <w:sz w:val="18"/>
                <w:szCs w:val="18"/>
              </w:rPr>
              <w:t xml:space="preserve"> with educational information for the unit and healthcare workers.</w:t>
            </w:r>
          </w:p>
        </w:tc>
        <w:tc>
          <w:tcPr>
            <w:tcW w:w="1528"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w:t>
            </w:r>
          </w:p>
        </w:tc>
      </w:tr>
      <w:tr w:rsidR="00A83288" w:rsidRPr="00AE7F0E" w:rsidTr="00A83288">
        <w:trPr>
          <w:trHeight w:val="2592"/>
        </w:trPr>
        <w:tc>
          <w:tcPr>
            <w:tcW w:w="1208" w:type="pct"/>
            <w:tcBorders>
              <w:top w:val="nil"/>
              <w:left w:val="single" w:sz="4" w:space="0" w:color="auto"/>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t>Marra</w:t>
            </w:r>
            <w:proofErr w:type="spellEnd"/>
            <w:r w:rsidRPr="00AE7F0E">
              <w:rPr>
                <w:rFonts w:ascii="Arial" w:hAnsi="Arial" w:cs="Arial"/>
                <w:color w:val="000000"/>
                <w:sz w:val="18"/>
                <w:szCs w:val="18"/>
              </w:rPr>
              <w:t>, Brazil - 2011</w:t>
            </w:r>
          </w:p>
        </w:tc>
        <w:tc>
          <w:tcPr>
            <w:tcW w:w="71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t>CAUTI</w:t>
            </w:r>
            <w:proofErr w:type="spellEnd"/>
          </w:p>
        </w:tc>
        <w:tc>
          <w:tcPr>
            <w:tcW w:w="155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xml:space="preserve">A nurse group was created to remove unnecessary catheters daily. Study carried out in two phases. Phase I (2005-2007): adopt 2% </w:t>
            </w:r>
            <w:proofErr w:type="spellStart"/>
            <w:r w:rsidRPr="00AE7F0E">
              <w:rPr>
                <w:rFonts w:ascii="Arial" w:hAnsi="Arial" w:cs="Arial"/>
                <w:color w:val="000000"/>
                <w:sz w:val="18"/>
                <w:szCs w:val="18"/>
              </w:rPr>
              <w:t>chlorhexidine</w:t>
            </w:r>
            <w:proofErr w:type="spellEnd"/>
            <w:r w:rsidRPr="00AE7F0E">
              <w:rPr>
                <w:rFonts w:ascii="Arial" w:hAnsi="Arial" w:cs="Arial"/>
                <w:color w:val="000000"/>
                <w:sz w:val="18"/>
                <w:szCs w:val="18"/>
              </w:rPr>
              <w:t xml:space="preserve"> skin prep., insertion and maintenance according to CDC guidelines; Phase II (2008-2010): Audit of random sample of urinary catheters once per month, bladder bundle: catheter insertion cart, hand hygiene, </w:t>
            </w:r>
            <w:proofErr w:type="spellStart"/>
            <w:r w:rsidRPr="00AE7F0E">
              <w:rPr>
                <w:rFonts w:ascii="Arial" w:hAnsi="Arial" w:cs="Arial"/>
                <w:color w:val="000000"/>
                <w:sz w:val="18"/>
                <w:szCs w:val="18"/>
              </w:rPr>
              <w:t>chlorhexidine</w:t>
            </w:r>
            <w:proofErr w:type="spellEnd"/>
            <w:r w:rsidRPr="00AE7F0E">
              <w:rPr>
                <w:rFonts w:ascii="Arial" w:hAnsi="Arial" w:cs="Arial"/>
                <w:color w:val="000000"/>
                <w:sz w:val="18"/>
                <w:szCs w:val="18"/>
              </w:rPr>
              <w:t xml:space="preserve"> skin and </w:t>
            </w:r>
            <w:proofErr w:type="spellStart"/>
            <w:r w:rsidRPr="00AE7F0E">
              <w:rPr>
                <w:rFonts w:ascii="Arial" w:hAnsi="Arial" w:cs="Arial"/>
                <w:color w:val="000000"/>
                <w:sz w:val="18"/>
                <w:szCs w:val="18"/>
              </w:rPr>
              <w:t>meatal</w:t>
            </w:r>
            <w:proofErr w:type="spellEnd"/>
            <w:r w:rsidRPr="00AE7F0E">
              <w:rPr>
                <w:rFonts w:ascii="Arial" w:hAnsi="Arial" w:cs="Arial"/>
                <w:color w:val="000000"/>
                <w:sz w:val="18"/>
                <w:szCs w:val="18"/>
              </w:rPr>
              <w:t xml:space="preserve"> antisepsis, sterile field and gloves, adequate urinary catheter balloon inflation, daily review of catheter need,</w:t>
            </w:r>
            <w:r>
              <w:rPr>
                <w:rFonts w:ascii="Arial" w:hAnsi="Arial" w:cs="Arial"/>
                <w:color w:val="000000"/>
                <w:sz w:val="18"/>
                <w:szCs w:val="18"/>
              </w:rPr>
              <w:t xml:space="preserve"> </w:t>
            </w:r>
            <w:r w:rsidRPr="00AE7F0E">
              <w:rPr>
                <w:rFonts w:ascii="Arial" w:hAnsi="Arial" w:cs="Arial"/>
                <w:color w:val="000000"/>
                <w:sz w:val="18"/>
                <w:szCs w:val="18"/>
              </w:rPr>
              <w:t xml:space="preserve">Nurse intervention if process was not following best practices, feedback provided monthly to ICU and </w:t>
            </w:r>
            <w:proofErr w:type="spellStart"/>
            <w:r w:rsidRPr="00AE7F0E">
              <w:rPr>
                <w:rFonts w:ascii="Arial" w:hAnsi="Arial" w:cs="Arial"/>
                <w:color w:val="000000"/>
                <w:sz w:val="18"/>
                <w:szCs w:val="18"/>
              </w:rPr>
              <w:t>SDU</w:t>
            </w:r>
            <w:proofErr w:type="spellEnd"/>
            <w:r w:rsidRPr="00AE7F0E">
              <w:rPr>
                <w:rFonts w:ascii="Arial" w:hAnsi="Arial" w:cs="Arial"/>
                <w:color w:val="000000"/>
                <w:sz w:val="18"/>
                <w:szCs w:val="18"/>
              </w:rPr>
              <w:t xml:space="preserve"> staff.</w:t>
            </w:r>
          </w:p>
        </w:tc>
        <w:tc>
          <w:tcPr>
            <w:tcW w:w="1528"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w:t>
            </w:r>
          </w:p>
        </w:tc>
      </w:tr>
      <w:tr w:rsidR="00A83288" w:rsidRPr="00AE7F0E" w:rsidTr="00A83288">
        <w:trPr>
          <w:trHeight w:val="2448"/>
        </w:trPr>
        <w:tc>
          <w:tcPr>
            <w:tcW w:w="1208" w:type="pct"/>
            <w:tcBorders>
              <w:top w:val="nil"/>
              <w:left w:val="single" w:sz="4" w:space="0" w:color="auto"/>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xml:space="preserve">van den </w:t>
            </w:r>
            <w:proofErr w:type="spellStart"/>
            <w:r w:rsidRPr="00AE7F0E">
              <w:rPr>
                <w:rFonts w:ascii="Arial" w:hAnsi="Arial" w:cs="Arial"/>
                <w:color w:val="000000"/>
                <w:sz w:val="18"/>
                <w:szCs w:val="18"/>
              </w:rPr>
              <w:t>Broek</w:t>
            </w:r>
            <w:proofErr w:type="spellEnd"/>
            <w:r w:rsidRPr="00AE7F0E">
              <w:rPr>
                <w:rFonts w:ascii="Arial" w:hAnsi="Arial" w:cs="Arial"/>
                <w:color w:val="000000"/>
                <w:sz w:val="18"/>
                <w:szCs w:val="18"/>
              </w:rPr>
              <w:t>, Netherlands - 2011</w:t>
            </w:r>
          </w:p>
        </w:tc>
        <w:tc>
          <w:tcPr>
            <w:tcW w:w="71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t>CAUTI</w:t>
            </w:r>
            <w:proofErr w:type="spellEnd"/>
          </w:p>
        </w:tc>
        <w:tc>
          <w:tcPr>
            <w:tcW w:w="155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Hospitals were randomized to group A or B.</w:t>
            </w:r>
            <w:r>
              <w:rPr>
                <w:rFonts w:ascii="Arial" w:hAnsi="Arial" w:cs="Arial"/>
                <w:color w:val="000000"/>
                <w:sz w:val="18"/>
                <w:szCs w:val="18"/>
              </w:rPr>
              <w:t xml:space="preserve"> </w:t>
            </w:r>
            <w:r w:rsidRPr="00AE7F0E">
              <w:rPr>
                <w:rFonts w:ascii="Arial" w:hAnsi="Arial" w:cs="Arial"/>
                <w:color w:val="000000"/>
                <w:sz w:val="18"/>
                <w:szCs w:val="18"/>
              </w:rPr>
              <w:t>Group A implemented intervention at 4 months and discontinued at 9: group B then began their intervention at 9 months and discontinued at 14 months.</w:t>
            </w:r>
            <w:r>
              <w:rPr>
                <w:rFonts w:ascii="Arial" w:hAnsi="Arial" w:cs="Arial"/>
                <w:color w:val="000000"/>
                <w:sz w:val="18"/>
                <w:szCs w:val="18"/>
              </w:rPr>
              <w:t xml:space="preserve"> </w:t>
            </w:r>
            <w:r w:rsidRPr="00AE7F0E">
              <w:rPr>
                <w:rFonts w:ascii="Arial" w:hAnsi="Arial" w:cs="Arial"/>
                <w:color w:val="000000"/>
                <w:sz w:val="18"/>
                <w:szCs w:val="18"/>
              </w:rPr>
              <w:t>A small multidisciplinary team at each hospital designed the intervention and introduced it to the participating wards.</w:t>
            </w:r>
            <w:r>
              <w:rPr>
                <w:rFonts w:ascii="Arial" w:hAnsi="Arial" w:cs="Arial"/>
                <w:color w:val="000000"/>
                <w:sz w:val="18"/>
                <w:szCs w:val="18"/>
              </w:rPr>
              <w:t xml:space="preserve"> </w:t>
            </w:r>
            <w:r w:rsidRPr="00AE7F0E">
              <w:rPr>
                <w:rFonts w:ascii="Arial" w:hAnsi="Arial" w:cs="Arial"/>
                <w:color w:val="000000"/>
                <w:sz w:val="18"/>
                <w:szCs w:val="18"/>
              </w:rPr>
              <w:t>Because of this, each intervention varied by hospital, but the domains could be categorized as revision to existing protocols and materials (done in seven hospitals), education (done in ten hospitals), and change in daily practice (done in eight hospitals).</w:t>
            </w:r>
          </w:p>
        </w:tc>
        <w:tc>
          <w:tcPr>
            <w:tcW w:w="1528"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xml:space="preserve">Interventions seemed to be inconsistent between hospitals with each hospital developing their own intervention implementation strategy for </w:t>
            </w:r>
            <w:proofErr w:type="spellStart"/>
            <w:r w:rsidRPr="00AE7F0E">
              <w:rPr>
                <w:rFonts w:ascii="Arial" w:hAnsi="Arial" w:cs="Arial"/>
                <w:color w:val="000000"/>
                <w:sz w:val="18"/>
                <w:szCs w:val="18"/>
              </w:rPr>
              <w:t>CAUTI</w:t>
            </w:r>
            <w:proofErr w:type="spellEnd"/>
            <w:r w:rsidRPr="00AE7F0E">
              <w:rPr>
                <w:rFonts w:ascii="Arial" w:hAnsi="Arial" w:cs="Arial"/>
                <w:color w:val="000000"/>
                <w:sz w:val="18"/>
                <w:szCs w:val="18"/>
              </w:rPr>
              <w:t xml:space="preserve"> prevention</w:t>
            </w:r>
          </w:p>
        </w:tc>
      </w:tr>
      <w:tr w:rsidR="00A83288" w:rsidRPr="00AE7F0E" w:rsidTr="00A83288">
        <w:trPr>
          <w:trHeight w:val="432"/>
        </w:trPr>
        <w:tc>
          <w:tcPr>
            <w:tcW w:w="1208" w:type="pct"/>
            <w:tcBorders>
              <w:top w:val="nil"/>
              <w:left w:val="single" w:sz="4" w:space="0" w:color="auto"/>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Barrera, Colombia - 2011</w:t>
            </w:r>
          </w:p>
        </w:tc>
        <w:tc>
          <w:tcPr>
            <w:tcW w:w="71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t>CAUTI</w:t>
            </w:r>
            <w:proofErr w:type="spellEnd"/>
            <w:r w:rsidRPr="00AE7F0E">
              <w:rPr>
                <w:rFonts w:ascii="Arial" w:hAnsi="Arial" w:cs="Arial"/>
                <w:color w:val="000000"/>
                <w:sz w:val="18"/>
                <w:szCs w:val="18"/>
              </w:rPr>
              <w:t xml:space="preserve">, </w:t>
            </w:r>
            <w:proofErr w:type="spellStart"/>
            <w:r w:rsidRPr="00AE7F0E">
              <w:rPr>
                <w:rFonts w:ascii="Arial" w:hAnsi="Arial" w:cs="Arial"/>
                <w:color w:val="000000"/>
                <w:sz w:val="18"/>
                <w:szCs w:val="18"/>
              </w:rPr>
              <w:t>CLABSI</w:t>
            </w:r>
            <w:proofErr w:type="spellEnd"/>
            <w:r w:rsidRPr="00AE7F0E">
              <w:rPr>
                <w:rFonts w:ascii="Arial" w:hAnsi="Arial" w:cs="Arial"/>
                <w:color w:val="000000"/>
                <w:sz w:val="18"/>
                <w:szCs w:val="18"/>
              </w:rPr>
              <w:t xml:space="preserve">, </w:t>
            </w:r>
            <w:proofErr w:type="spellStart"/>
            <w:r w:rsidRPr="00AE7F0E">
              <w:rPr>
                <w:rFonts w:ascii="Arial" w:hAnsi="Arial" w:cs="Arial"/>
                <w:color w:val="000000"/>
                <w:sz w:val="18"/>
                <w:szCs w:val="18"/>
              </w:rPr>
              <w:t>VAP</w:t>
            </w:r>
            <w:proofErr w:type="spellEnd"/>
          </w:p>
        </w:tc>
        <w:tc>
          <w:tcPr>
            <w:tcW w:w="155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alcohol-based hand rub (</w:t>
            </w:r>
            <w:proofErr w:type="spellStart"/>
            <w:r w:rsidRPr="00AE7F0E">
              <w:rPr>
                <w:rFonts w:ascii="Arial" w:hAnsi="Arial" w:cs="Arial"/>
                <w:color w:val="000000"/>
                <w:sz w:val="18"/>
                <w:szCs w:val="18"/>
              </w:rPr>
              <w:t>ABHR</w:t>
            </w:r>
            <w:proofErr w:type="spellEnd"/>
            <w:r w:rsidRPr="00AE7F0E">
              <w:rPr>
                <w:rFonts w:ascii="Arial" w:hAnsi="Arial" w:cs="Arial"/>
                <w:color w:val="000000"/>
                <w:sz w:val="18"/>
                <w:szCs w:val="18"/>
              </w:rPr>
              <w:t xml:space="preserve">) dispensers placed by every ICU bed; education on hand hygiene; each unit given feedback on </w:t>
            </w:r>
            <w:proofErr w:type="spellStart"/>
            <w:r w:rsidRPr="00AE7F0E">
              <w:rPr>
                <w:rFonts w:ascii="Arial" w:hAnsi="Arial" w:cs="Arial"/>
                <w:color w:val="000000"/>
                <w:sz w:val="18"/>
                <w:szCs w:val="18"/>
              </w:rPr>
              <w:t>HAI</w:t>
            </w:r>
            <w:proofErr w:type="spellEnd"/>
            <w:r w:rsidRPr="00AE7F0E">
              <w:rPr>
                <w:rFonts w:ascii="Arial" w:hAnsi="Arial" w:cs="Arial"/>
                <w:color w:val="000000"/>
                <w:sz w:val="18"/>
                <w:szCs w:val="18"/>
              </w:rPr>
              <w:t xml:space="preserve"> rates</w:t>
            </w:r>
          </w:p>
        </w:tc>
        <w:tc>
          <w:tcPr>
            <w:tcW w:w="1528"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xml:space="preserve">indirect measure of adherence - no observation of hand hygiene, only measurement of </w:t>
            </w:r>
            <w:proofErr w:type="spellStart"/>
            <w:r w:rsidRPr="00AE7F0E">
              <w:rPr>
                <w:rFonts w:ascii="Arial" w:hAnsi="Arial" w:cs="Arial"/>
                <w:color w:val="000000"/>
                <w:sz w:val="18"/>
                <w:szCs w:val="18"/>
              </w:rPr>
              <w:t>amt</w:t>
            </w:r>
            <w:proofErr w:type="spellEnd"/>
            <w:r w:rsidRPr="00AE7F0E">
              <w:rPr>
                <w:rFonts w:ascii="Arial" w:hAnsi="Arial" w:cs="Arial"/>
                <w:color w:val="000000"/>
                <w:sz w:val="18"/>
                <w:szCs w:val="18"/>
              </w:rPr>
              <w:t xml:space="preserve"> of </w:t>
            </w:r>
            <w:proofErr w:type="spellStart"/>
            <w:r w:rsidRPr="00AE7F0E">
              <w:rPr>
                <w:rFonts w:ascii="Arial" w:hAnsi="Arial" w:cs="Arial"/>
                <w:color w:val="000000"/>
                <w:sz w:val="18"/>
                <w:szCs w:val="18"/>
              </w:rPr>
              <w:t>ABHR</w:t>
            </w:r>
            <w:proofErr w:type="spellEnd"/>
            <w:r w:rsidRPr="00AE7F0E">
              <w:rPr>
                <w:rFonts w:ascii="Arial" w:hAnsi="Arial" w:cs="Arial"/>
                <w:color w:val="000000"/>
                <w:sz w:val="18"/>
                <w:szCs w:val="18"/>
              </w:rPr>
              <w:t xml:space="preserve"> used</w:t>
            </w:r>
          </w:p>
        </w:tc>
      </w:tr>
      <w:tr w:rsidR="00A83288" w:rsidRPr="00AE7F0E" w:rsidTr="00A83288">
        <w:trPr>
          <w:trHeight w:val="2160"/>
        </w:trPr>
        <w:tc>
          <w:tcPr>
            <w:tcW w:w="1208" w:type="pct"/>
            <w:tcBorders>
              <w:top w:val="nil"/>
              <w:left w:val="single" w:sz="4" w:space="0" w:color="auto"/>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lastRenderedPageBreak/>
              <w:t>Salim</w:t>
            </w:r>
            <w:proofErr w:type="spellEnd"/>
            <w:r w:rsidRPr="00AE7F0E">
              <w:rPr>
                <w:rFonts w:ascii="Arial" w:hAnsi="Arial" w:cs="Arial"/>
                <w:color w:val="000000"/>
                <w:sz w:val="18"/>
                <w:szCs w:val="18"/>
              </w:rPr>
              <w:t>, Israel - 2011</w:t>
            </w:r>
          </w:p>
        </w:tc>
        <w:tc>
          <w:tcPr>
            <w:tcW w:w="71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proofErr w:type="spellStart"/>
            <w:r w:rsidRPr="00AE7F0E">
              <w:rPr>
                <w:rFonts w:ascii="Arial" w:hAnsi="Arial" w:cs="Arial"/>
                <w:color w:val="000000"/>
                <w:sz w:val="18"/>
                <w:szCs w:val="18"/>
              </w:rPr>
              <w:t>CAUTI</w:t>
            </w:r>
            <w:proofErr w:type="spellEnd"/>
            <w:r w:rsidRPr="00AE7F0E">
              <w:rPr>
                <w:rFonts w:ascii="Arial" w:hAnsi="Arial" w:cs="Arial"/>
                <w:color w:val="000000"/>
                <w:sz w:val="18"/>
                <w:szCs w:val="18"/>
              </w:rPr>
              <w:t>, SSI</w:t>
            </w:r>
          </w:p>
        </w:tc>
        <w:tc>
          <w:tcPr>
            <w:tcW w:w="1552"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xml:space="preserve">All medical personnel underwent a refresher course in aseptic and scrub techniques led by the infection control nurse. The OR nursing staff underwent a refresher course in hand hygiene, urinary catheter insertion, patient preparation, and aseptic principles. Observation and feedback took place in the </w:t>
            </w:r>
            <w:proofErr w:type="spellStart"/>
            <w:r w:rsidRPr="00AE7F0E">
              <w:rPr>
                <w:rFonts w:ascii="Arial" w:hAnsi="Arial" w:cs="Arial"/>
                <w:color w:val="000000"/>
                <w:sz w:val="18"/>
                <w:szCs w:val="18"/>
              </w:rPr>
              <w:t>postintervention</w:t>
            </w:r>
            <w:proofErr w:type="spellEnd"/>
            <w:r w:rsidRPr="00AE7F0E">
              <w:rPr>
                <w:rFonts w:ascii="Arial" w:hAnsi="Arial" w:cs="Arial"/>
                <w:color w:val="000000"/>
                <w:sz w:val="18"/>
                <w:szCs w:val="18"/>
              </w:rPr>
              <w:t xml:space="preserve"> period. Also, all women undergoing cesarean were given prophylactic antibiotics after cord clamping. In the baseline period, only women undergoing </w:t>
            </w:r>
            <w:proofErr w:type="spellStart"/>
            <w:r w:rsidRPr="00AE7F0E">
              <w:rPr>
                <w:rFonts w:ascii="Arial" w:hAnsi="Arial" w:cs="Arial"/>
                <w:color w:val="000000"/>
                <w:sz w:val="18"/>
                <w:szCs w:val="18"/>
              </w:rPr>
              <w:t>nonelective</w:t>
            </w:r>
            <w:proofErr w:type="spellEnd"/>
            <w:r w:rsidRPr="00AE7F0E">
              <w:rPr>
                <w:rFonts w:ascii="Arial" w:hAnsi="Arial" w:cs="Arial"/>
                <w:color w:val="000000"/>
                <w:sz w:val="18"/>
                <w:szCs w:val="18"/>
              </w:rPr>
              <w:t xml:space="preserve"> cesarean were given antibiotic prophylaxis.</w:t>
            </w:r>
          </w:p>
        </w:tc>
        <w:tc>
          <w:tcPr>
            <w:tcW w:w="1528" w:type="pct"/>
            <w:tcBorders>
              <w:top w:val="nil"/>
              <w:left w:val="nil"/>
              <w:bottom w:val="single" w:sz="4" w:space="0" w:color="auto"/>
              <w:right w:val="single" w:sz="4" w:space="0" w:color="auto"/>
            </w:tcBorders>
            <w:shd w:val="clear" w:color="auto" w:fill="auto"/>
            <w:vAlign w:val="bottom"/>
            <w:hideMark/>
          </w:tcPr>
          <w:p w:rsidR="00A83288" w:rsidRPr="00AE7F0E" w:rsidRDefault="00A83288" w:rsidP="00A83288">
            <w:pPr>
              <w:rPr>
                <w:rFonts w:ascii="Arial" w:hAnsi="Arial" w:cs="Arial"/>
                <w:color w:val="000000"/>
                <w:sz w:val="18"/>
                <w:szCs w:val="18"/>
              </w:rPr>
            </w:pPr>
            <w:r w:rsidRPr="00AE7F0E">
              <w:rPr>
                <w:rFonts w:ascii="Arial" w:hAnsi="Arial" w:cs="Arial"/>
                <w:color w:val="000000"/>
                <w:sz w:val="18"/>
                <w:szCs w:val="18"/>
              </w:rPr>
              <w:t xml:space="preserve">Patient populations were significantly different in the proportion of ruptured membranes (with the baseline period having more, p=0.01) and mean duration of operation (with the </w:t>
            </w:r>
            <w:proofErr w:type="spellStart"/>
            <w:r w:rsidRPr="00AE7F0E">
              <w:rPr>
                <w:rFonts w:ascii="Arial" w:hAnsi="Arial" w:cs="Arial"/>
                <w:color w:val="000000"/>
                <w:sz w:val="18"/>
                <w:szCs w:val="18"/>
              </w:rPr>
              <w:t>postintervention</w:t>
            </w:r>
            <w:proofErr w:type="spellEnd"/>
            <w:r w:rsidRPr="00AE7F0E">
              <w:rPr>
                <w:rFonts w:ascii="Arial" w:hAnsi="Arial" w:cs="Arial"/>
                <w:color w:val="000000"/>
                <w:sz w:val="18"/>
                <w:szCs w:val="18"/>
              </w:rPr>
              <w:t xml:space="preserve"> period being longer, p=0.001).</w:t>
            </w:r>
          </w:p>
        </w:tc>
      </w:tr>
    </w:tbl>
    <w:p w:rsidR="00A83288" w:rsidRDefault="00A83288" w:rsidP="00A83288">
      <w:pPr>
        <w:rPr>
          <w:rFonts w:ascii="Arial" w:hAnsi="Arial" w:cs="Arial"/>
          <w:sz w:val="18"/>
          <w:szCs w:val="18"/>
        </w:rPr>
      </w:pPr>
    </w:p>
    <w:p w:rsidR="00AF31C3" w:rsidRDefault="00E83DEE" w:rsidP="00E83DEE">
      <w:pPr>
        <w:pStyle w:val="TableTitle"/>
      </w:pPr>
      <w:r>
        <w:t xml:space="preserve"> </w:t>
      </w:r>
      <w:bookmarkStart w:id="0" w:name="_GoBack"/>
      <w:bookmarkEnd w:id="0"/>
    </w:p>
    <w:sectPr w:rsidR="00AF31C3" w:rsidSect="00E83DEE">
      <w:footerReference w:type="default" r:id="rId9"/>
      <w:pgSz w:w="15840" w:h="12240" w:orient="landscape"/>
      <w:pgMar w:top="1440" w:right="720" w:bottom="1440" w:left="720" w:header="720" w:footer="720" w:gutter="0"/>
      <w:pgNumType w:start="24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3F" w:rsidRDefault="0087263F" w:rsidP="00926CB5">
      <w:r>
        <w:separator/>
      </w:r>
    </w:p>
  </w:endnote>
  <w:endnote w:type="continuationSeparator" w:id="0">
    <w:p w:rsidR="0087263F" w:rsidRDefault="0087263F"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E83DEE">
    <w:pPr>
      <w:pStyle w:val="PageNumber"/>
    </w:pPr>
    <w:r>
      <w:t>C</w:t>
    </w:r>
    <w:r w:rsidR="001029A6">
      <w:t>-</w:t>
    </w:r>
    <w:r w:rsidR="0014224C">
      <w:fldChar w:fldCharType="begin"/>
    </w:r>
    <w:r w:rsidR="0014224C">
      <w:instrText xml:space="preserve"> PAGE   \* MERGEFORMAT </w:instrText>
    </w:r>
    <w:r w:rsidR="0014224C">
      <w:fldChar w:fldCharType="separate"/>
    </w:r>
    <w:r>
      <w:rPr>
        <w:noProof/>
      </w:rPr>
      <w:t>247</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3F" w:rsidRDefault="0087263F" w:rsidP="00926CB5">
      <w:r>
        <w:separator/>
      </w:r>
    </w:p>
  </w:footnote>
  <w:footnote w:type="continuationSeparator" w:id="0">
    <w:p w:rsidR="0087263F" w:rsidRDefault="0087263F"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7263F"/>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83DEE"/>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D7F3-1268-4BDE-BB29-978F0123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2012-12-18T05:11:00Z</dcterms:modified>
</cp:coreProperties>
</file>