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88" w:rsidRPr="00650241" w:rsidRDefault="00A83288" w:rsidP="00650241">
      <w:pPr>
        <w:pStyle w:val="ChapterHeading"/>
      </w:pPr>
      <w:bookmarkStart w:id="0" w:name="_Toc311025553"/>
      <w:bookmarkStart w:id="1" w:name="_Toc311025816"/>
      <w:bookmarkStart w:id="2" w:name="_GoBack"/>
      <w:bookmarkEnd w:id="2"/>
      <w:r w:rsidRPr="00650241">
        <w:t>Appendix C. Evidence Tables</w:t>
      </w:r>
      <w:bookmarkEnd w:id="0"/>
      <w:bookmarkEnd w:id="1"/>
      <w:r w:rsidR="0040035E">
        <w:rPr>
          <w:rStyle w:val="FootnoteReference"/>
        </w:rPr>
        <w:footnoteReference w:id="1"/>
      </w:r>
    </w:p>
    <w:p w:rsidR="00A83288" w:rsidRPr="003C5898" w:rsidRDefault="00A83288" w:rsidP="00650241">
      <w:pPr>
        <w:pStyle w:val="TableTitle"/>
      </w:pPr>
      <w:proofErr w:type="gramStart"/>
      <w:r w:rsidRPr="003C5898">
        <w:t>Appendix Table C1</w:t>
      </w:r>
      <w:r>
        <w:t>a.</w:t>
      </w:r>
      <w:proofErr w:type="gramEnd"/>
      <w:r w:rsidRPr="003C5898">
        <w:t xml:space="preserve"> Study characteristics for VAP which control for secular trend or confounding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608"/>
        <w:gridCol w:w="1275"/>
        <w:gridCol w:w="1356"/>
        <w:gridCol w:w="2049"/>
        <w:gridCol w:w="1304"/>
        <w:gridCol w:w="1076"/>
        <w:gridCol w:w="4242"/>
      </w:tblGrid>
      <w:tr w:rsidR="00A83288" w:rsidRPr="00650241" w:rsidTr="00650241">
        <w:trPr>
          <w:cantSplit/>
          <w:tblHeader/>
        </w:trPr>
        <w:tc>
          <w:tcPr>
            <w:tcW w:w="1706" w:type="dxa"/>
            <w:shd w:val="clear" w:color="000000" w:fill="BFBFBF"/>
            <w:vAlign w:val="bottom"/>
            <w:hideMark/>
          </w:tcPr>
          <w:p w:rsidR="00A83288" w:rsidRPr="00650241" w:rsidRDefault="00A83288" w:rsidP="00A83288">
            <w:pPr>
              <w:jc w:val="center"/>
              <w:rPr>
                <w:rFonts w:ascii="Arial" w:hAnsi="Arial" w:cs="Arial"/>
                <w:b/>
                <w:bCs/>
                <w:sz w:val="18"/>
                <w:szCs w:val="18"/>
              </w:rPr>
            </w:pPr>
            <w:r w:rsidRPr="00650241">
              <w:rPr>
                <w:rFonts w:ascii="Arial" w:hAnsi="Arial" w:cs="Arial"/>
                <w:b/>
                <w:bCs/>
                <w:sz w:val="18"/>
                <w:szCs w:val="18"/>
              </w:rPr>
              <w:t>Study</w:t>
            </w:r>
          </w:p>
        </w:tc>
        <w:tc>
          <w:tcPr>
            <w:tcW w:w="1608" w:type="dxa"/>
            <w:shd w:val="clear" w:color="000000" w:fill="BFBFBF"/>
            <w:vAlign w:val="bottom"/>
            <w:hideMark/>
          </w:tcPr>
          <w:p w:rsidR="00A83288" w:rsidRPr="00650241" w:rsidRDefault="00A83288" w:rsidP="00A83288">
            <w:pPr>
              <w:jc w:val="center"/>
              <w:rPr>
                <w:rFonts w:ascii="Arial" w:hAnsi="Arial" w:cs="Arial"/>
                <w:b/>
                <w:bCs/>
                <w:sz w:val="18"/>
                <w:szCs w:val="18"/>
              </w:rPr>
            </w:pPr>
            <w:r w:rsidRPr="00650241">
              <w:rPr>
                <w:rFonts w:ascii="Arial" w:hAnsi="Arial" w:cs="Arial"/>
                <w:b/>
                <w:bCs/>
                <w:sz w:val="18"/>
                <w:szCs w:val="18"/>
              </w:rPr>
              <w:t>Study Design</w:t>
            </w:r>
          </w:p>
        </w:tc>
        <w:tc>
          <w:tcPr>
            <w:tcW w:w="1275" w:type="dxa"/>
            <w:shd w:val="clear" w:color="000000" w:fill="BFBFBF"/>
            <w:vAlign w:val="bottom"/>
            <w:hideMark/>
          </w:tcPr>
          <w:p w:rsidR="00A83288" w:rsidRPr="00650241" w:rsidRDefault="00A83288" w:rsidP="00A83288">
            <w:pPr>
              <w:jc w:val="center"/>
              <w:rPr>
                <w:rFonts w:ascii="Arial" w:hAnsi="Arial" w:cs="Arial"/>
                <w:b/>
                <w:bCs/>
                <w:sz w:val="18"/>
                <w:szCs w:val="18"/>
              </w:rPr>
            </w:pPr>
            <w:r w:rsidRPr="00650241">
              <w:rPr>
                <w:rFonts w:ascii="Arial" w:hAnsi="Arial" w:cs="Arial"/>
                <w:b/>
                <w:bCs/>
                <w:sz w:val="18"/>
                <w:szCs w:val="18"/>
              </w:rPr>
              <w:t>Infection</w:t>
            </w:r>
          </w:p>
        </w:tc>
        <w:tc>
          <w:tcPr>
            <w:tcW w:w="1356" w:type="dxa"/>
            <w:shd w:val="clear" w:color="000000" w:fill="BFBFBF"/>
            <w:vAlign w:val="bottom"/>
            <w:hideMark/>
          </w:tcPr>
          <w:p w:rsidR="00A83288" w:rsidRPr="00650241" w:rsidRDefault="00A83288" w:rsidP="00A83288">
            <w:pPr>
              <w:jc w:val="center"/>
              <w:rPr>
                <w:rFonts w:ascii="Arial" w:hAnsi="Arial" w:cs="Arial"/>
                <w:b/>
                <w:bCs/>
                <w:sz w:val="18"/>
                <w:szCs w:val="18"/>
              </w:rPr>
            </w:pPr>
            <w:r w:rsidRPr="00650241">
              <w:rPr>
                <w:rFonts w:ascii="Arial" w:hAnsi="Arial" w:cs="Arial"/>
                <w:b/>
                <w:bCs/>
                <w:sz w:val="18"/>
                <w:szCs w:val="18"/>
              </w:rPr>
              <w:t>Healthcare Setting</w:t>
            </w:r>
          </w:p>
        </w:tc>
        <w:tc>
          <w:tcPr>
            <w:tcW w:w="2049" w:type="dxa"/>
            <w:shd w:val="clear" w:color="000000" w:fill="BFBFBF"/>
            <w:vAlign w:val="bottom"/>
            <w:hideMark/>
          </w:tcPr>
          <w:p w:rsidR="00A83288" w:rsidRPr="00650241" w:rsidRDefault="00A83288" w:rsidP="00A83288">
            <w:pPr>
              <w:jc w:val="center"/>
              <w:rPr>
                <w:rFonts w:ascii="Arial" w:hAnsi="Arial" w:cs="Arial"/>
                <w:b/>
                <w:bCs/>
                <w:sz w:val="18"/>
                <w:szCs w:val="18"/>
              </w:rPr>
            </w:pPr>
            <w:r w:rsidRPr="00650241">
              <w:rPr>
                <w:rFonts w:ascii="Arial" w:hAnsi="Arial" w:cs="Arial"/>
                <w:b/>
                <w:bCs/>
                <w:sz w:val="18"/>
                <w:szCs w:val="18"/>
              </w:rPr>
              <w:t>Clinical Setting</w:t>
            </w:r>
          </w:p>
        </w:tc>
        <w:tc>
          <w:tcPr>
            <w:tcW w:w="1304" w:type="dxa"/>
            <w:shd w:val="clear" w:color="000000" w:fill="BFBFBF"/>
            <w:vAlign w:val="bottom"/>
            <w:hideMark/>
          </w:tcPr>
          <w:p w:rsidR="00A83288" w:rsidRPr="00650241" w:rsidRDefault="00A83288" w:rsidP="00A83288">
            <w:pPr>
              <w:jc w:val="center"/>
              <w:rPr>
                <w:rFonts w:ascii="Arial" w:hAnsi="Arial" w:cs="Arial"/>
                <w:b/>
                <w:bCs/>
                <w:sz w:val="18"/>
                <w:szCs w:val="18"/>
              </w:rPr>
            </w:pPr>
            <w:r w:rsidRPr="00650241">
              <w:rPr>
                <w:rFonts w:ascii="Arial" w:hAnsi="Arial" w:cs="Arial"/>
                <w:b/>
                <w:bCs/>
                <w:sz w:val="18"/>
                <w:szCs w:val="18"/>
              </w:rPr>
              <w:t>Intervention Years</w:t>
            </w:r>
          </w:p>
        </w:tc>
        <w:tc>
          <w:tcPr>
            <w:tcW w:w="1076" w:type="dxa"/>
            <w:shd w:val="clear" w:color="000000" w:fill="BFBFBF"/>
            <w:vAlign w:val="bottom"/>
            <w:hideMark/>
          </w:tcPr>
          <w:p w:rsidR="00A83288" w:rsidRPr="00650241" w:rsidRDefault="00A83288" w:rsidP="00A83288">
            <w:pPr>
              <w:jc w:val="center"/>
              <w:rPr>
                <w:rFonts w:ascii="Arial" w:hAnsi="Arial" w:cs="Arial"/>
                <w:b/>
                <w:bCs/>
                <w:sz w:val="18"/>
                <w:szCs w:val="18"/>
              </w:rPr>
            </w:pPr>
            <w:r w:rsidRPr="00650241">
              <w:rPr>
                <w:rFonts w:ascii="Arial" w:hAnsi="Arial" w:cs="Arial"/>
                <w:b/>
                <w:bCs/>
                <w:sz w:val="18"/>
                <w:szCs w:val="18"/>
              </w:rPr>
              <w:t>Follow-up (months)</w:t>
            </w:r>
          </w:p>
        </w:tc>
        <w:tc>
          <w:tcPr>
            <w:tcW w:w="4242" w:type="dxa"/>
            <w:shd w:val="clear" w:color="000000" w:fill="BFBFBF"/>
            <w:vAlign w:val="bottom"/>
            <w:hideMark/>
          </w:tcPr>
          <w:p w:rsidR="00A83288" w:rsidRPr="00650241" w:rsidRDefault="00A83288" w:rsidP="00A83288">
            <w:pPr>
              <w:jc w:val="center"/>
              <w:rPr>
                <w:rFonts w:ascii="Arial" w:hAnsi="Arial" w:cs="Arial"/>
                <w:b/>
                <w:bCs/>
                <w:sz w:val="18"/>
                <w:szCs w:val="18"/>
              </w:rPr>
            </w:pPr>
            <w:r w:rsidRPr="00650241">
              <w:rPr>
                <w:rFonts w:ascii="Arial" w:hAnsi="Arial" w:cs="Arial"/>
                <w:b/>
                <w:bCs/>
                <w:sz w:val="18"/>
                <w:szCs w:val="18"/>
              </w:rPr>
              <w:t>Comment</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Apisarnthanarak, Thailand - 2007</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Controlled interrupted time series</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Tertiary care or university hospital</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Medical Intensive Care Unit Coronary Care Unit</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2004 - 2006</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36</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CDC definition was used. Baseline period (Period 1) was from January 1, 2003 through December 31, 2003. Intervention (Period 2) was implemented from January 1, 2004 through December 31, 2004. Follow-up period (Period 3) was from January 1, 2005 through December 31, 2006. The surgical ICU and coronary care unit served as controls.</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Berenholtz, United States - 2011</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Simple before-after</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More than one hospital of different types</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Medical Intensive Care Unit Mixed ICU, Surgical/Trauma ICU, Cardiac ICU</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2004 - 2006</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30</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CDC definition was used. 112 ICUs from 72 hospitals participated. March 2004 ICUs began implementing patient safety interventions.</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Bouadma, France - 2010</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Interrupted time series</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Tertiary care or university hospital</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Medical Intensive Care Unit</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2005 - 2008</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30</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 definition is spelled out on page 1117. Baseline period was from January 1, 2002 through September 30, 2005. Intervention was implemented from October 1, 2005 through December 31, 2005. Follow-up period was from January 1, 2006 through June 30, 2008. Baseline period for VAP rates was 45 months long while baseline period for compliance was one time point before the intervention.</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DePalo, United States - 2010</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Simple before-after</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CLABSI;</w:t>
            </w:r>
            <w:r w:rsidR="0025714E">
              <w:rPr>
                <w:rFonts w:ascii="Arial" w:hAnsi="Arial" w:cs="Arial"/>
                <w:sz w:val="18"/>
                <w:szCs w:val="18"/>
              </w:rPr>
              <w:t xml:space="preserve"> </w:t>
            </w: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 </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coronary ICU, respiratory ICU, intermediate care ICU, neurosurgery ICU, trauma ICU</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2005 - 2008</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27</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23 adult ICUs total. All ICUs in Rhode Island were included. CLABSI Education intervention began November 2005. Baseline data collected January 2006 to March 2006 which was during the intervention period. Education intervention for VAP began March 2006. CLABSI and VAP Intervention dates: April 1, 2006 to June 30 2008.</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Dubose, United States - 2010</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Simple before-after</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Tertiary care or university hospital</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Trauma ICU</w:t>
            </w:r>
          </w:p>
        </w:tc>
        <w:tc>
          <w:tcPr>
            <w:tcW w:w="1304" w:type="dxa"/>
            <w:shd w:val="clear" w:color="auto" w:fill="auto"/>
            <w:vAlign w:val="bottom"/>
            <w:hideMark/>
          </w:tcPr>
          <w:p w:rsidR="00A83288" w:rsidRPr="00650241" w:rsidRDefault="00A83288" w:rsidP="00A83288">
            <w:pPr>
              <w:rPr>
                <w:rFonts w:ascii="Arial" w:hAnsi="Arial" w:cs="Arial"/>
                <w:sz w:val="18"/>
                <w:szCs w:val="18"/>
              </w:rPr>
            </w:pP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14</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CDC/NNIS definition was used. Specific dates were not given. First month was used as baseline for process measures and year prior to study was used as baseline for infection rates.</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lastRenderedPageBreak/>
              <w:t>Hawe, United Kingdom - 2009</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Interrupted time series</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Community hospital with residents</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Medical/Surgical ICU</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2007 - 2007</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10</w:t>
            </w:r>
          </w:p>
        </w:tc>
        <w:tc>
          <w:tcPr>
            <w:tcW w:w="4242" w:type="dxa"/>
            <w:shd w:val="clear" w:color="auto" w:fill="auto"/>
            <w:vAlign w:val="bottom"/>
            <w:hideMark/>
          </w:tcPr>
          <w:p w:rsidR="00A83288" w:rsidRPr="00650241" w:rsidRDefault="00A83288" w:rsidP="00A83288">
            <w:pPr>
              <w:rPr>
                <w:rFonts w:ascii="Arial" w:hAnsi="Arial" w:cs="Arial"/>
                <w:sz w:val="18"/>
                <w:szCs w:val="18"/>
              </w:rPr>
            </w:pPr>
            <w:proofErr w:type="gramStart"/>
            <w:r w:rsidRPr="00650241">
              <w:rPr>
                <w:rFonts w:ascii="Arial" w:hAnsi="Arial" w:cs="Arial"/>
                <w:sz w:val="18"/>
                <w:szCs w:val="18"/>
              </w:rPr>
              <w:t>Hospitals in Europe Links for Infection Control Surveillance (HELICS) definition was</w:t>
            </w:r>
            <w:proofErr w:type="gramEnd"/>
            <w:r w:rsidRPr="00650241">
              <w:rPr>
                <w:rFonts w:ascii="Arial" w:hAnsi="Arial" w:cs="Arial"/>
                <w:sz w:val="18"/>
                <w:szCs w:val="18"/>
              </w:rPr>
              <w:t xml:space="preserve"> used. Passive Implementation was from September 2005 through February 28, 2007. Active Implementation was from March 1, 2007 through December 31, 2007.</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Kulvatunyou, Thailand - 2007</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Simple before-after</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 </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 </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2003 - 2003</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12</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Used CDC definition. Baseline period was from July 1, 2002 through June 30, 2003. The intervention was given April 2003. Follow-up period was from July 1, 2003 through June 30, 2004.</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Marra, Brazil - 2009</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Interrupted time series</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Tertiary care or university hospital</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Medical/Surgical ICU</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2001 - 2008</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90</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CDC definition was used. Phase 1 was from March 2001 through December 2002. Phase 2 was from January 2003 through December 2006. Phase 3 was from January 2007 through September 2008.</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Omrane, Canada - 2007</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Simple before-after</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Tertiary care or university hospital</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Mixed ICU</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2004 - 2005</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6</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Definition from Zack et al (Crit Care Med 2002; 30: 2407-12) and Babcock et al (Chest 2004; 125: 2224-31) was used. Baseline period was from November 8, 2003 through May 8, 2004. The education and protocol was initiated in October 2004. The follow-up period was from November 8, 2004 through May 8, 2005.</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Papadimos, United States - 2008</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Interrupted time series</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Tertiary care or university hospital</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Surgical Intensive Care Unit</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2004 - 2005</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54</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CDC definition was used. Baseline period was from January 1, 2003 through December 31, 2003. The Pre-FASTHUG period was from January 1, 2004 through December 31, 2004. The post-FASTHUG period was from January 1, 2005 through June 30, 2007. Infection rates were not reported for the overall pre-intervention period. It is broken into 2 time periods.</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Prospero, Italy – 2008</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Simple before-after</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Tertiary care or university hospital</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Medical/Surgical ICU</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2006 - 2006</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4</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CDC definition was used. Baseline period was from January 2006 through April 2006. The intervention was given in April of 2006. Post-intervention period was from May 2006 through August 2006.</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lastRenderedPageBreak/>
              <w:t>Scales, Canada - 2011</w:t>
            </w:r>
          </w:p>
        </w:tc>
        <w:tc>
          <w:tcPr>
            <w:tcW w:w="1608" w:type="dxa"/>
            <w:shd w:val="clear" w:color="auto" w:fill="auto"/>
            <w:noWrap/>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RCT – Location</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CLABSI;VAP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More than one hospital of different types</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Medical/Surgical ICU</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2005 - 2007</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4</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15 ICUs, one per hospital, took part in this study. All hospitals were community hospitals. Trial ran from November 1, 2005 to October 31, 2006. From December 1, 2006 through August 31, 2007, ICU</w:t>
            </w:r>
            <w:r w:rsidR="001029A6">
              <w:rPr>
                <w:rFonts w:ascii="Arial" w:hAnsi="Arial" w:cs="Arial"/>
                <w:sz w:val="18"/>
                <w:szCs w:val="18"/>
              </w:rPr>
              <w:t>’</w:t>
            </w:r>
            <w:r w:rsidRPr="00650241">
              <w:rPr>
                <w:rFonts w:ascii="Arial" w:hAnsi="Arial" w:cs="Arial"/>
                <w:sz w:val="18"/>
                <w:szCs w:val="18"/>
              </w:rPr>
              <w:t>s received interventions that they had not received during the trial. The study design details are outlined in Scales et al. Implement Sci 2009; 4:5.; Only adherence rates</w:t>
            </w:r>
          </w:p>
        </w:tc>
      </w:tr>
      <w:tr w:rsidR="00A83288" w:rsidRPr="00650241" w:rsidTr="00650241">
        <w:trPr>
          <w:cantSplit/>
        </w:trPr>
        <w:tc>
          <w:tcPr>
            <w:tcW w:w="170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Zaydfudim, United States - 2009</w:t>
            </w:r>
          </w:p>
        </w:tc>
        <w:tc>
          <w:tcPr>
            <w:tcW w:w="1608"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Controlled interrupted time series</w:t>
            </w:r>
          </w:p>
        </w:tc>
        <w:tc>
          <w:tcPr>
            <w:tcW w:w="1275"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VAP</w:t>
            </w:r>
          </w:p>
        </w:tc>
        <w:tc>
          <w:tcPr>
            <w:tcW w:w="1356"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Tertiary care or university hospital</w:t>
            </w:r>
          </w:p>
        </w:tc>
        <w:tc>
          <w:tcPr>
            <w:tcW w:w="2049"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Surgical Intensive Care Unit</w:t>
            </w:r>
          </w:p>
        </w:tc>
        <w:tc>
          <w:tcPr>
            <w:tcW w:w="1304"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2007 - 2008</w:t>
            </w:r>
          </w:p>
        </w:tc>
        <w:tc>
          <w:tcPr>
            <w:tcW w:w="1076" w:type="dxa"/>
            <w:shd w:val="clear" w:color="auto" w:fill="auto"/>
            <w:vAlign w:val="bottom"/>
            <w:hideMark/>
          </w:tcPr>
          <w:p w:rsidR="00A83288" w:rsidRPr="00650241" w:rsidRDefault="00A83288" w:rsidP="00A83288">
            <w:pPr>
              <w:jc w:val="right"/>
              <w:rPr>
                <w:rFonts w:ascii="Arial" w:hAnsi="Arial" w:cs="Arial"/>
                <w:sz w:val="18"/>
                <w:szCs w:val="18"/>
              </w:rPr>
            </w:pPr>
            <w:r w:rsidRPr="00650241">
              <w:rPr>
                <w:rFonts w:ascii="Arial" w:hAnsi="Arial" w:cs="Arial"/>
                <w:sz w:val="18"/>
                <w:szCs w:val="18"/>
              </w:rPr>
              <w:t>12</w:t>
            </w:r>
          </w:p>
        </w:tc>
        <w:tc>
          <w:tcPr>
            <w:tcW w:w="4242" w:type="dxa"/>
            <w:shd w:val="clear" w:color="auto" w:fill="auto"/>
            <w:vAlign w:val="bottom"/>
            <w:hideMark/>
          </w:tcPr>
          <w:p w:rsidR="00A83288" w:rsidRPr="00650241" w:rsidRDefault="00A83288" w:rsidP="00A83288">
            <w:pPr>
              <w:rPr>
                <w:rFonts w:ascii="Arial" w:hAnsi="Arial" w:cs="Arial"/>
                <w:sz w:val="18"/>
                <w:szCs w:val="18"/>
              </w:rPr>
            </w:pPr>
            <w:r w:rsidRPr="00650241">
              <w:rPr>
                <w:rFonts w:ascii="Arial" w:hAnsi="Arial" w:cs="Arial"/>
                <w:sz w:val="18"/>
                <w:szCs w:val="18"/>
              </w:rPr>
              <w:t>Pre-intervention period was from January 2005 through June 2007. Post-intervention period was from August 2007 through July 2008.</w:t>
            </w:r>
          </w:p>
        </w:tc>
      </w:tr>
    </w:tbl>
    <w:p w:rsidR="00A83288" w:rsidRPr="00324FAB" w:rsidRDefault="00A83288" w:rsidP="00A83288">
      <w:pPr>
        <w:rPr>
          <w:rFonts w:ascii="Arial" w:hAnsi="Arial" w:cs="Arial"/>
          <w:sz w:val="18"/>
          <w:szCs w:val="18"/>
        </w:rPr>
      </w:pPr>
    </w:p>
    <w:p w:rsidR="00A83288" w:rsidRDefault="00A83288" w:rsidP="00A83288">
      <w:pPr>
        <w:rPr>
          <w:rFonts w:ascii="Arial" w:hAnsi="Arial" w:cs="Arial"/>
          <w:b/>
          <w:sz w:val="18"/>
          <w:szCs w:val="18"/>
        </w:rPr>
      </w:pPr>
    </w:p>
    <w:sectPr w:rsidR="00A83288" w:rsidSect="0087275C">
      <w:footerReference w:type="default" r:id="rId9"/>
      <w:footnotePr>
        <w:numStart w:val="3"/>
      </w:footnotePr>
      <w:pgSz w:w="15840" w:h="12240" w:orient="landscape"/>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6D" w:rsidRDefault="0077626D" w:rsidP="00926CB5">
      <w:r>
        <w:separator/>
      </w:r>
    </w:p>
  </w:endnote>
  <w:endnote w:type="continuationSeparator" w:id="0">
    <w:p w:rsidR="0077626D" w:rsidRDefault="0077626D" w:rsidP="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A6" w:rsidRDefault="0087275C">
    <w:pPr>
      <w:pStyle w:val="PageNumber"/>
    </w:pPr>
    <w:r>
      <w:t>C</w:t>
    </w:r>
    <w:r w:rsidR="001029A6">
      <w:t>-</w:t>
    </w:r>
    <w:r w:rsidR="0014224C">
      <w:fldChar w:fldCharType="begin"/>
    </w:r>
    <w:r w:rsidR="0014224C">
      <w:instrText xml:space="preserve"> PAGE   \* MERGEFORMAT </w:instrText>
    </w:r>
    <w:r w:rsidR="0014224C">
      <w:fldChar w:fldCharType="separate"/>
    </w:r>
    <w:r>
      <w:rPr>
        <w:noProof/>
      </w:rPr>
      <w:t>3</w:t>
    </w:r>
    <w:r w:rsidR="0014224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6D" w:rsidRDefault="0077626D" w:rsidP="00926CB5">
      <w:r>
        <w:separator/>
      </w:r>
    </w:p>
  </w:footnote>
  <w:footnote w:type="continuationSeparator" w:id="0">
    <w:p w:rsidR="0077626D" w:rsidRDefault="0077626D" w:rsidP="00926CB5">
      <w:r>
        <w:continuationSeparator/>
      </w:r>
    </w:p>
  </w:footnote>
  <w:footnote w:id="1">
    <w:p w:rsidR="0040035E" w:rsidRDefault="0040035E">
      <w:pPr>
        <w:pStyle w:val="FootnoteText"/>
      </w:pPr>
      <w:r>
        <w:rPr>
          <w:rStyle w:val="FootnoteReference"/>
        </w:rPr>
        <w:footnoteRef/>
      </w:r>
      <w:r>
        <w:t xml:space="preserve"> </w:t>
      </w:r>
      <w:r w:rsidRPr="003D44EF">
        <w:rPr>
          <w:rFonts w:ascii="Times New Roman" w:hAnsi="Times New Roman"/>
          <w:sz w:val="18"/>
          <w:szCs w:val="18"/>
        </w:rPr>
        <w:t>Tables for studies identified during the updated search are found in the tables at the end of this appendix.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0D"/>
    <w:multiLevelType w:val="hybridMultilevel"/>
    <w:tmpl w:val="C71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4166"/>
    <w:multiLevelType w:val="hybridMultilevel"/>
    <w:tmpl w:val="7498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1FF9"/>
    <w:multiLevelType w:val="hybridMultilevel"/>
    <w:tmpl w:val="8E1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034E7"/>
    <w:multiLevelType w:val="hybridMultilevel"/>
    <w:tmpl w:val="A55C3108"/>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A611D"/>
    <w:multiLevelType w:val="hybridMultilevel"/>
    <w:tmpl w:val="B692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A56B0F"/>
    <w:multiLevelType w:val="hybridMultilevel"/>
    <w:tmpl w:val="BA66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ED259F"/>
    <w:multiLevelType w:val="hybridMultilevel"/>
    <w:tmpl w:val="EE6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02FED"/>
    <w:multiLevelType w:val="hybridMultilevel"/>
    <w:tmpl w:val="8D84A58A"/>
    <w:lvl w:ilvl="0" w:tplc="04090005">
      <w:start w:val="1"/>
      <w:numFmt w:val="bullet"/>
      <w:lvlText w:val=""/>
      <w:lvlJc w:val="left"/>
      <w:pPr>
        <w:ind w:left="1440" w:hanging="360"/>
      </w:pPr>
      <w:rPr>
        <w:rFonts w:ascii="Wingdings" w:hAnsi="Wingding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A127F2"/>
    <w:multiLevelType w:val="hybridMultilevel"/>
    <w:tmpl w:val="6C9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7AE8"/>
    <w:multiLevelType w:val="hybridMultilevel"/>
    <w:tmpl w:val="B5D2A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F9646C"/>
    <w:multiLevelType w:val="hybridMultilevel"/>
    <w:tmpl w:val="C54EEAB0"/>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8E1297"/>
    <w:multiLevelType w:val="hybridMultilevel"/>
    <w:tmpl w:val="9C2E3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F1688C"/>
    <w:multiLevelType w:val="hybridMultilevel"/>
    <w:tmpl w:val="8424E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693B29"/>
    <w:multiLevelType w:val="hybridMultilevel"/>
    <w:tmpl w:val="BEA4287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5">
    <w:nsid w:val="2AFF2562"/>
    <w:multiLevelType w:val="hybridMultilevel"/>
    <w:tmpl w:val="4D6E0ACA"/>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663D1A"/>
    <w:multiLevelType w:val="hybridMultilevel"/>
    <w:tmpl w:val="AE2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E24B5"/>
    <w:multiLevelType w:val="hybridMultilevel"/>
    <w:tmpl w:val="B888C9F2"/>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4046EE"/>
    <w:multiLevelType w:val="hybridMultilevel"/>
    <w:tmpl w:val="59326C98"/>
    <w:lvl w:ilvl="0" w:tplc="0409000F">
      <w:start w:val="1"/>
      <w:numFmt w:val="decimal"/>
      <w:pStyle w:val="textbullets2"/>
      <w:lvlText w:val="%1."/>
      <w:lvlJc w:val="left"/>
      <w:pPr>
        <w:tabs>
          <w:tab w:val="num" w:pos="810"/>
        </w:tabs>
        <w:ind w:left="810" w:hanging="360"/>
      </w:pPr>
      <w:rPr>
        <w:rFonts w:hint="default"/>
      </w:rPr>
    </w:lvl>
    <w:lvl w:ilvl="1" w:tplc="8F702954">
      <w:start w:val="1"/>
      <w:numFmt w:val="bullet"/>
      <w:pStyle w:val="text-bullets3"/>
      <w:lvlText w:val=""/>
      <w:lvlJc w:val="left"/>
      <w:pPr>
        <w:tabs>
          <w:tab w:val="num" w:pos="1620"/>
        </w:tabs>
        <w:ind w:left="1620" w:hanging="360"/>
      </w:pPr>
      <w:rPr>
        <w:rFonts w:ascii="Symbol" w:hAnsi="Symbol" w:hint="default"/>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19">
    <w:nsid w:val="3DE53129"/>
    <w:multiLevelType w:val="hybridMultilevel"/>
    <w:tmpl w:val="63D09312"/>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682D05"/>
    <w:multiLevelType w:val="hybridMultilevel"/>
    <w:tmpl w:val="D4A4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BA7EC5"/>
    <w:multiLevelType w:val="hybridMultilevel"/>
    <w:tmpl w:val="73920F4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5133BC"/>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D74AB8"/>
    <w:multiLevelType w:val="hybridMultilevel"/>
    <w:tmpl w:val="8FF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F6083"/>
    <w:multiLevelType w:val="hybridMultilevel"/>
    <w:tmpl w:val="F2B82CF6"/>
    <w:lvl w:ilvl="0" w:tplc="33406E54">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C69EF"/>
    <w:multiLevelType w:val="hybridMultilevel"/>
    <w:tmpl w:val="9E4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062DC"/>
    <w:multiLevelType w:val="hybridMultilevel"/>
    <w:tmpl w:val="A59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947C8"/>
    <w:multiLevelType w:val="hybridMultilevel"/>
    <w:tmpl w:val="19C06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C24E4B"/>
    <w:multiLevelType w:val="hybridMultilevel"/>
    <w:tmpl w:val="91C82498"/>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7019C1"/>
    <w:multiLevelType w:val="hybridMultilevel"/>
    <w:tmpl w:val="62921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C5DA8"/>
    <w:multiLevelType w:val="hybridMultilevel"/>
    <w:tmpl w:val="F796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A4791"/>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345119"/>
    <w:multiLevelType w:val="hybridMultilevel"/>
    <w:tmpl w:val="F6BC1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
  </w:num>
  <w:num w:numId="8">
    <w:abstractNumId w:val="6"/>
  </w:num>
  <w:num w:numId="9">
    <w:abstractNumId w:val="25"/>
  </w:num>
  <w:num w:numId="10">
    <w:abstractNumId w:val="23"/>
  </w:num>
  <w:num w:numId="11">
    <w:abstractNumId w:val="32"/>
  </w:num>
  <w:num w:numId="12">
    <w:abstractNumId w:val="4"/>
  </w:num>
  <w:num w:numId="13">
    <w:abstractNumId w:val="5"/>
  </w:num>
  <w:num w:numId="14">
    <w:abstractNumId w:val="20"/>
  </w:num>
  <w:num w:numId="15">
    <w:abstractNumId w:val="22"/>
    <w:lvlOverride w:ilvl="0">
      <w:startOverride w:val="1"/>
    </w:lvlOverride>
  </w:num>
  <w:num w:numId="16">
    <w:abstractNumId w:val="13"/>
  </w:num>
  <w:num w:numId="17">
    <w:abstractNumId w:val="29"/>
  </w:num>
  <w:num w:numId="18">
    <w:abstractNumId w:val="1"/>
  </w:num>
  <w:num w:numId="19">
    <w:abstractNumId w:val="21"/>
  </w:num>
  <w:num w:numId="20">
    <w:abstractNumId w:val="12"/>
  </w:num>
  <w:num w:numId="21">
    <w:abstractNumId w:val="3"/>
  </w:num>
  <w:num w:numId="22">
    <w:abstractNumId w:val="17"/>
  </w:num>
  <w:num w:numId="23">
    <w:abstractNumId w:val="28"/>
  </w:num>
  <w:num w:numId="24">
    <w:abstractNumId w:val="19"/>
  </w:num>
  <w:num w:numId="25">
    <w:abstractNumId w:val="15"/>
  </w:num>
  <w:num w:numId="26">
    <w:abstractNumId w:val="11"/>
  </w:num>
  <w:num w:numId="27">
    <w:abstractNumId w:val="7"/>
  </w:num>
  <w:num w:numId="28">
    <w:abstractNumId w:val="30"/>
  </w:num>
  <w:num w:numId="29">
    <w:abstractNumId w:val="10"/>
  </w:num>
  <w:num w:numId="30">
    <w:abstractNumId w:val="27"/>
  </w:num>
  <w:num w:numId="31">
    <w:abstractNumId w:val="31"/>
  </w:num>
  <w:num w:numId="32">
    <w:abstractNumId w:val="26"/>
  </w:num>
  <w:num w:numId="33">
    <w:abstractNumId w:val="8"/>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926CB5"/>
    <w:rsid w:val="00030A8F"/>
    <w:rsid w:val="00052D0C"/>
    <w:rsid w:val="00053427"/>
    <w:rsid w:val="00064CBD"/>
    <w:rsid w:val="000654B9"/>
    <w:rsid w:val="000842A0"/>
    <w:rsid w:val="00091BEE"/>
    <w:rsid w:val="000935B0"/>
    <w:rsid w:val="000A7D84"/>
    <w:rsid w:val="000B37EF"/>
    <w:rsid w:val="000C108E"/>
    <w:rsid w:val="000C1366"/>
    <w:rsid w:val="000C1AE0"/>
    <w:rsid w:val="000D26D0"/>
    <w:rsid w:val="000D5FE7"/>
    <w:rsid w:val="000F1D8F"/>
    <w:rsid w:val="000F21AD"/>
    <w:rsid w:val="001012BB"/>
    <w:rsid w:val="001029A6"/>
    <w:rsid w:val="00114237"/>
    <w:rsid w:val="00124136"/>
    <w:rsid w:val="00125505"/>
    <w:rsid w:val="00127DC1"/>
    <w:rsid w:val="00131341"/>
    <w:rsid w:val="00134B22"/>
    <w:rsid w:val="00141F18"/>
    <w:rsid w:val="0014224C"/>
    <w:rsid w:val="0016018F"/>
    <w:rsid w:val="00163601"/>
    <w:rsid w:val="001744EB"/>
    <w:rsid w:val="00177247"/>
    <w:rsid w:val="00190C41"/>
    <w:rsid w:val="001B4D40"/>
    <w:rsid w:val="001D135E"/>
    <w:rsid w:val="001E510E"/>
    <w:rsid w:val="001F6B6C"/>
    <w:rsid w:val="001F6D22"/>
    <w:rsid w:val="00201162"/>
    <w:rsid w:val="00222EAA"/>
    <w:rsid w:val="00235EF7"/>
    <w:rsid w:val="00242E6C"/>
    <w:rsid w:val="0024793E"/>
    <w:rsid w:val="0025714E"/>
    <w:rsid w:val="00274AD1"/>
    <w:rsid w:val="00295E8D"/>
    <w:rsid w:val="002C55B1"/>
    <w:rsid w:val="0032203C"/>
    <w:rsid w:val="003812BC"/>
    <w:rsid w:val="0039077A"/>
    <w:rsid w:val="00392218"/>
    <w:rsid w:val="00393D14"/>
    <w:rsid w:val="003942BD"/>
    <w:rsid w:val="003B37CF"/>
    <w:rsid w:val="003C6080"/>
    <w:rsid w:val="003D1BAA"/>
    <w:rsid w:val="003D2FBE"/>
    <w:rsid w:val="003D44EF"/>
    <w:rsid w:val="003E63D7"/>
    <w:rsid w:val="003E76AC"/>
    <w:rsid w:val="003F70CA"/>
    <w:rsid w:val="0040035E"/>
    <w:rsid w:val="00425C32"/>
    <w:rsid w:val="00427EF5"/>
    <w:rsid w:val="00433961"/>
    <w:rsid w:val="00435A5C"/>
    <w:rsid w:val="004732BD"/>
    <w:rsid w:val="00477133"/>
    <w:rsid w:val="0048232C"/>
    <w:rsid w:val="004B4131"/>
    <w:rsid w:val="004E05F8"/>
    <w:rsid w:val="004E67A9"/>
    <w:rsid w:val="004F13BA"/>
    <w:rsid w:val="004F544D"/>
    <w:rsid w:val="004F5CDF"/>
    <w:rsid w:val="00501AE5"/>
    <w:rsid w:val="0053448E"/>
    <w:rsid w:val="0054150C"/>
    <w:rsid w:val="00541D74"/>
    <w:rsid w:val="0054457E"/>
    <w:rsid w:val="005605A9"/>
    <w:rsid w:val="0059120B"/>
    <w:rsid w:val="005946DE"/>
    <w:rsid w:val="005A7CA6"/>
    <w:rsid w:val="005B3975"/>
    <w:rsid w:val="005C2386"/>
    <w:rsid w:val="005D22E8"/>
    <w:rsid w:val="005E21BA"/>
    <w:rsid w:val="005E63ED"/>
    <w:rsid w:val="005F7B6E"/>
    <w:rsid w:val="005F7DC1"/>
    <w:rsid w:val="0063594B"/>
    <w:rsid w:val="0063630E"/>
    <w:rsid w:val="006440A7"/>
    <w:rsid w:val="006468FD"/>
    <w:rsid w:val="00650241"/>
    <w:rsid w:val="0065511A"/>
    <w:rsid w:val="00684B0A"/>
    <w:rsid w:val="006A5ACA"/>
    <w:rsid w:val="006C2428"/>
    <w:rsid w:val="006C3BDD"/>
    <w:rsid w:val="006E307F"/>
    <w:rsid w:val="006E7D37"/>
    <w:rsid w:val="006F090D"/>
    <w:rsid w:val="006F135E"/>
    <w:rsid w:val="006F194D"/>
    <w:rsid w:val="0070376E"/>
    <w:rsid w:val="00704A2E"/>
    <w:rsid w:val="00707D32"/>
    <w:rsid w:val="0072164A"/>
    <w:rsid w:val="00721EFC"/>
    <w:rsid w:val="007267F3"/>
    <w:rsid w:val="007276BF"/>
    <w:rsid w:val="0073720B"/>
    <w:rsid w:val="00743627"/>
    <w:rsid w:val="0074422D"/>
    <w:rsid w:val="00763E91"/>
    <w:rsid w:val="00766E87"/>
    <w:rsid w:val="00767FE8"/>
    <w:rsid w:val="00770E92"/>
    <w:rsid w:val="00771E2A"/>
    <w:rsid w:val="00775F17"/>
    <w:rsid w:val="0077626D"/>
    <w:rsid w:val="007A36A9"/>
    <w:rsid w:val="007A4048"/>
    <w:rsid w:val="007A7FD7"/>
    <w:rsid w:val="007C68E3"/>
    <w:rsid w:val="007C6C0C"/>
    <w:rsid w:val="007E3500"/>
    <w:rsid w:val="007E7233"/>
    <w:rsid w:val="007F0C48"/>
    <w:rsid w:val="007F17EA"/>
    <w:rsid w:val="00812623"/>
    <w:rsid w:val="008154CF"/>
    <w:rsid w:val="008158BF"/>
    <w:rsid w:val="008215CF"/>
    <w:rsid w:val="0084529E"/>
    <w:rsid w:val="008518D8"/>
    <w:rsid w:val="00864C23"/>
    <w:rsid w:val="0087275C"/>
    <w:rsid w:val="00887E38"/>
    <w:rsid w:val="0089410C"/>
    <w:rsid w:val="008A325B"/>
    <w:rsid w:val="008A7280"/>
    <w:rsid w:val="008B7111"/>
    <w:rsid w:val="008C139F"/>
    <w:rsid w:val="008D01C7"/>
    <w:rsid w:val="008D6016"/>
    <w:rsid w:val="008E0223"/>
    <w:rsid w:val="008F668E"/>
    <w:rsid w:val="008F674B"/>
    <w:rsid w:val="008F7CB6"/>
    <w:rsid w:val="00926CB5"/>
    <w:rsid w:val="00936AF6"/>
    <w:rsid w:val="00955E57"/>
    <w:rsid w:val="00960979"/>
    <w:rsid w:val="00973F25"/>
    <w:rsid w:val="0097717B"/>
    <w:rsid w:val="00992049"/>
    <w:rsid w:val="0099437C"/>
    <w:rsid w:val="009A624D"/>
    <w:rsid w:val="009C1C3F"/>
    <w:rsid w:val="009C604D"/>
    <w:rsid w:val="009C73A8"/>
    <w:rsid w:val="009D768C"/>
    <w:rsid w:val="009F34A6"/>
    <w:rsid w:val="009F6805"/>
    <w:rsid w:val="00A158C7"/>
    <w:rsid w:val="00A16097"/>
    <w:rsid w:val="00A362F9"/>
    <w:rsid w:val="00A41E31"/>
    <w:rsid w:val="00A42E0B"/>
    <w:rsid w:val="00A60150"/>
    <w:rsid w:val="00A61FC8"/>
    <w:rsid w:val="00A8174D"/>
    <w:rsid w:val="00A83288"/>
    <w:rsid w:val="00A93C2A"/>
    <w:rsid w:val="00AA1FF9"/>
    <w:rsid w:val="00AA2ACD"/>
    <w:rsid w:val="00AC06F2"/>
    <w:rsid w:val="00AC2900"/>
    <w:rsid w:val="00AF31C3"/>
    <w:rsid w:val="00B01124"/>
    <w:rsid w:val="00B069FB"/>
    <w:rsid w:val="00B10403"/>
    <w:rsid w:val="00B138E2"/>
    <w:rsid w:val="00B146A9"/>
    <w:rsid w:val="00B40504"/>
    <w:rsid w:val="00B65AC4"/>
    <w:rsid w:val="00B7566D"/>
    <w:rsid w:val="00B85E78"/>
    <w:rsid w:val="00B871AC"/>
    <w:rsid w:val="00B909B3"/>
    <w:rsid w:val="00BB3A3F"/>
    <w:rsid w:val="00BC6126"/>
    <w:rsid w:val="00BD2228"/>
    <w:rsid w:val="00BD5AF4"/>
    <w:rsid w:val="00BE589B"/>
    <w:rsid w:val="00BF6D9D"/>
    <w:rsid w:val="00C65C7F"/>
    <w:rsid w:val="00C65E5D"/>
    <w:rsid w:val="00CA6E26"/>
    <w:rsid w:val="00CD1E5A"/>
    <w:rsid w:val="00CD3F5F"/>
    <w:rsid w:val="00CD7F1C"/>
    <w:rsid w:val="00D075EE"/>
    <w:rsid w:val="00D07CAC"/>
    <w:rsid w:val="00D17455"/>
    <w:rsid w:val="00D40331"/>
    <w:rsid w:val="00D41B1F"/>
    <w:rsid w:val="00D46894"/>
    <w:rsid w:val="00D61F59"/>
    <w:rsid w:val="00DB75AA"/>
    <w:rsid w:val="00DC31CE"/>
    <w:rsid w:val="00DC4E83"/>
    <w:rsid w:val="00DD40CF"/>
    <w:rsid w:val="00DD6B14"/>
    <w:rsid w:val="00DF4746"/>
    <w:rsid w:val="00DF4D95"/>
    <w:rsid w:val="00E03BA8"/>
    <w:rsid w:val="00E14615"/>
    <w:rsid w:val="00E4118C"/>
    <w:rsid w:val="00E457E8"/>
    <w:rsid w:val="00E50ACD"/>
    <w:rsid w:val="00E64F96"/>
    <w:rsid w:val="00E91B71"/>
    <w:rsid w:val="00EA0D54"/>
    <w:rsid w:val="00EA21AC"/>
    <w:rsid w:val="00EA7F4E"/>
    <w:rsid w:val="00EB3583"/>
    <w:rsid w:val="00EC42B5"/>
    <w:rsid w:val="00EC69AD"/>
    <w:rsid w:val="00ED7B9D"/>
    <w:rsid w:val="00EF6355"/>
    <w:rsid w:val="00F03E45"/>
    <w:rsid w:val="00F13F71"/>
    <w:rsid w:val="00F41BF5"/>
    <w:rsid w:val="00F43165"/>
    <w:rsid w:val="00F435A5"/>
    <w:rsid w:val="00F606C4"/>
    <w:rsid w:val="00F81689"/>
    <w:rsid w:val="00FB4799"/>
    <w:rsid w:val="00FB7521"/>
    <w:rsid w:val="00FC02B7"/>
    <w:rsid w:val="00FC14A4"/>
    <w:rsid w:val="00FC732C"/>
    <w:rsid w:val="00FC76DF"/>
    <w:rsid w:val="00FD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BC1D-0DF2-4DD4-BD5D-72699B42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Chopra</dc:creator>
  <cp:lastModifiedBy>Priyanka Pawar</cp:lastModifiedBy>
  <cp:revision>4</cp:revision>
  <cp:lastPrinted>2012-11-15T22:32:00Z</cp:lastPrinted>
  <dcterms:created xsi:type="dcterms:W3CDTF">2012-12-17T11:21:00Z</dcterms:created>
  <dcterms:modified xsi:type="dcterms:W3CDTF">2012-12-17T11:24:00Z</dcterms:modified>
</cp:coreProperties>
</file>