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F4183B" w:rsidRDefault="008B7429" w:rsidP="00F4183B">
      <w:pPr>
        <w:pStyle w:val="TableTitle"/>
      </w:pPr>
      <w:r w:rsidRPr="00F4183B">
        <w:t>Table D24. Morbidity outcomes 3</w:t>
      </w:r>
    </w:p>
    <w:tbl>
      <w:tblPr>
        <w:tblStyle w:val="EPC"/>
        <w:tblW w:w="1288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569"/>
        <w:gridCol w:w="2499"/>
        <w:gridCol w:w="2520"/>
        <w:gridCol w:w="1350"/>
        <w:gridCol w:w="1170"/>
        <w:gridCol w:w="3780"/>
      </w:tblGrid>
      <w:tr w:rsidR="008B7429" w:rsidRPr="00F4183B" w:rsidTr="00F4183B">
        <w:trPr>
          <w:cnfStyle w:val="100000000000"/>
          <w:cantSplit/>
          <w:tblHeader/>
        </w:trPr>
        <w:tc>
          <w:tcPr>
            <w:tcW w:w="1569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499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</w:p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Morbidity Outcome 3</w:t>
            </w:r>
          </w:p>
        </w:tc>
        <w:tc>
          <w:tcPr>
            <w:tcW w:w="2520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350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170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3780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F4183B" w:rsidTr="00F4183B">
        <w:trPr>
          <w:cantSplit/>
        </w:trPr>
        <w:tc>
          <w:tcPr>
            <w:tcW w:w="156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Bogner et al., 2008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49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Diastolic BP, mean (SD), mm Hg - compared at 6 weeks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measured at baseline and at 6 weeks</w:t>
            </w:r>
          </w:p>
        </w:tc>
        <w:tc>
          <w:tcPr>
            <w:tcW w:w="135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automated BP monitor</w:t>
            </w:r>
          </w:p>
        </w:tc>
        <w:tc>
          <w:tcPr>
            <w:tcW w:w="117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32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37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75.8 (10.7)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85.0 (11.9)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.002</w:t>
            </w:r>
          </w:p>
        </w:tc>
      </w:tr>
      <w:tr w:rsidR="008B7429" w:rsidRPr="00F4183B" w:rsidTr="00F4183B">
        <w:trPr>
          <w:cantSplit/>
        </w:trPr>
        <w:tc>
          <w:tcPr>
            <w:tcW w:w="1569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Choudhry et al., 2011</w:t>
            </w:r>
            <w:r w:rsidR="00DF57C2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szCs w:val="18"/>
              </w:rPr>
            </w:r>
            <w:r w:rsidR="00DF57C2" w:rsidRPr="00F4183B">
              <w:rPr>
                <w:rFonts w:ascii="Arial" w:hAnsi="Arial" w:cs="Arial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szCs w:val="18"/>
              </w:rPr>
            </w:r>
            <w:r w:rsidR="00DF57C2" w:rsidRPr="00F4183B">
              <w:rPr>
                <w:rFonts w:ascii="Arial" w:hAnsi="Arial" w:cs="Arial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szCs w:val="18"/>
                <w:vertAlign w:val="superscript"/>
              </w:rPr>
              <w:t>13</w:t>
            </w:r>
            <w:r w:rsidR="00DF57C2" w:rsidRPr="00F4183B">
              <w:rPr>
                <w:rFonts w:ascii="Arial" w:hAnsi="Arial" w:cs="Arial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szCs w:val="18"/>
              </w:rPr>
              <w:br/>
              <w:t>MI FREEE</w:t>
            </w:r>
          </w:p>
        </w:tc>
        <w:tc>
          <w:tcPr>
            <w:tcW w:w="2499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First fatal or nonfatal vascular event</w:t>
            </w:r>
          </w:p>
        </w:tc>
        <w:tc>
          <w:tcPr>
            <w:tcW w:w="25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 NA</w:t>
            </w:r>
          </w:p>
        </w:tc>
        <w:tc>
          <w:tcPr>
            <w:tcW w:w="135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health claims data</w:t>
            </w:r>
          </w:p>
        </w:tc>
        <w:tc>
          <w:tcPr>
            <w:tcW w:w="117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2845</w:t>
            </w:r>
            <w:r w:rsidRPr="00F4183B">
              <w:rPr>
                <w:rFonts w:ascii="Arial" w:hAnsi="Arial" w:cs="Arial"/>
                <w:szCs w:val="18"/>
              </w:rPr>
              <w:br/>
              <w:t>G2: 3010</w:t>
            </w:r>
          </w:p>
        </w:tc>
        <w:tc>
          <w:tcPr>
            <w:tcW w:w="378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329 patients; 11.0 per 100 person-years</w:t>
            </w:r>
            <w:r w:rsidRPr="00F4183B">
              <w:rPr>
                <w:rFonts w:ascii="Arial" w:hAnsi="Arial" w:cs="Arial"/>
                <w:szCs w:val="18"/>
              </w:rPr>
              <w:br/>
              <w:t>G2: 405 patients; 12.8 per 100 person-years</w:t>
            </w:r>
            <w:r w:rsidRPr="00F4183B">
              <w:rPr>
                <w:rFonts w:ascii="Arial" w:hAnsi="Arial" w:cs="Arial"/>
                <w:szCs w:val="18"/>
              </w:rPr>
              <w:br/>
            </w:r>
            <w:r w:rsidRPr="00F4183B">
              <w:rPr>
                <w:rFonts w:ascii="Arial" w:hAnsi="Arial" w:cs="Arial"/>
                <w:szCs w:val="18"/>
              </w:rPr>
              <w:br/>
              <w:t>Adjusted hazard ratio: 0.86, 95% CI, 0.74-0.99</w:t>
            </w:r>
            <w:r w:rsidRPr="00F4183B">
              <w:rPr>
                <w:rFonts w:ascii="Arial" w:hAnsi="Arial" w:cs="Arial"/>
                <w:szCs w:val="18"/>
              </w:rPr>
              <w:br/>
              <w:t>p: 0.03</w:t>
            </w:r>
          </w:p>
        </w:tc>
      </w:tr>
      <w:tr w:rsidR="008B7429" w:rsidRPr="00F4183B" w:rsidTr="00F4183B">
        <w:trPr>
          <w:cantSplit/>
        </w:trPr>
        <w:tc>
          <w:tcPr>
            <w:tcW w:w="156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Janson et al., 2003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49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Perceived control of asthma at week 7; between group difference in change from baseline to final visit at week 7 (95% CI) 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timeframe of measure not reported; measured at each study visit</w:t>
            </w:r>
          </w:p>
        </w:tc>
        <w:tc>
          <w:tcPr>
            <w:tcW w:w="135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questionnaire</w:t>
            </w:r>
          </w:p>
        </w:tc>
        <w:tc>
          <w:tcPr>
            <w:tcW w:w="117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33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37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42 (5)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42 (5)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Between group difference: 2.6 (0.1 to 5), p= 0.04</w:t>
            </w:r>
          </w:p>
        </w:tc>
      </w:tr>
      <w:tr w:rsidR="008B7429" w:rsidRPr="00F4183B" w:rsidTr="00F4183B">
        <w:trPr>
          <w:cantSplit/>
        </w:trPr>
        <w:tc>
          <w:tcPr>
            <w:tcW w:w="156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lastRenderedPageBreak/>
              <w:t>Janson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2009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21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49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Mean change Eosinophil cationic protein (ECP) (nanograms/mL);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Eosinophils &gt; 0% (&gt; 1/500 cells), During intervention(T0-T1), following intervention (T1-T2), and for entire study duration (T0-T2)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collected once at the end of each time period; During intervention(T0-T1), following intervention (T1-T2), and for entire study duration (T0-T2)</w:t>
            </w:r>
          </w:p>
        </w:tc>
        <w:tc>
          <w:tcPr>
            <w:tcW w:w="135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sputum sample</w:t>
            </w:r>
          </w:p>
        </w:tc>
        <w:tc>
          <w:tcPr>
            <w:tcW w:w="117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45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G2: 39</w:t>
            </w:r>
          </w:p>
        </w:tc>
        <w:tc>
          <w:tcPr>
            <w:tcW w:w="37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F4183B">
              <w:rPr>
                <w:rFonts w:ascii="Arial" w:hAnsi="Arial" w:cs="Arial"/>
                <w:b/>
                <w:szCs w:val="18"/>
              </w:rPr>
              <w:t>T0-T1</w:t>
            </w:r>
            <w:r w:rsidRPr="00F4183B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0.88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G2: 1.05</w:t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br w:type="page"/>
              <w:t>p: 0.55</w:t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br w:type="page"/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F4183B">
              <w:rPr>
                <w:rFonts w:ascii="Arial" w:hAnsi="Arial" w:cs="Arial"/>
                <w:b/>
                <w:szCs w:val="18"/>
              </w:rPr>
              <w:t>T1-T2</w:t>
            </w:r>
            <w:r w:rsidRPr="00F4183B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 xml:space="preserve">G1: 0.88 </w:t>
            </w:r>
            <w:r w:rsidRPr="00F4183B">
              <w:rPr>
                <w:rFonts w:ascii="Arial" w:hAnsi="Arial" w:cs="Arial"/>
                <w:szCs w:val="18"/>
              </w:rPr>
              <w:br w:type="page"/>
              <w:t>G2: 1.11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 xml:space="preserve">95% CI, </w:t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br w:type="page"/>
              <w:t>p: .44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F4183B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F4183B">
              <w:rPr>
                <w:rFonts w:ascii="Arial" w:hAnsi="Arial" w:cs="Arial"/>
                <w:b/>
                <w:szCs w:val="18"/>
              </w:rPr>
              <w:t>T0-T2</w:t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br w:type="page"/>
              <w:t>G1: 0.77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G2: 1.17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p: 0.18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 xml:space="preserve">Odds Ratios of &gt;0% </w:t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ECP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b/>
                <w:szCs w:val="18"/>
              </w:rPr>
              <w:t>T0-T1</w:t>
            </w:r>
            <w:r w:rsidRPr="00F4183B">
              <w:rPr>
                <w:rFonts w:ascii="Arial" w:hAnsi="Arial" w:cs="Arial"/>
                <w:szCs w:val="18"/>
              </w:rPr>
              <w:t>: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0.5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G2: 1.0</w:t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br w:type="page"/>
              <w:t>p: 0.4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b/>
                <w:szCs w:val="18"/>
              </w:rPr>
              <w:t>T1-T2</w:t>
            </w:r>
            <w:r w:rsidRPr="00F4183B">
              <w:rPr>
                <w:rFonts w:ascii="Arial" w:hAnsi="Arial" w:cs="Arial"/>
                <w:szCs w:val="18"/>
              </w:rPr>
              <w:t>: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3.1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G2: 0.6</w:t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br w:type="page"/>
              <w:t>p: 0.09</w:t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br w:type="page"/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F4183B">
              <w:rPr>
                <w:rFonts w:ascii="Arial" w:hAnsi="Arial" w:cs="Arial"/>
                <w:b/>
                <w:szCs w:val="18"/>
              </w:rPr>
              <w:t>T0-T2:</w:t>
            </w:r>
            <w:r w:rsidRPr="00F4183B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1.7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G2: 0.6</w:t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br w:type="page"/>
              <w:t>p: 0.29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</w:tc>
      </w:tr>
      <w:tr w:rsidR="008B7429" w:rsidRPr="00F4183B" w:rsidTr="00F4183B">
        <w:trPr>
          <w:cantSplit/>
        </w:trPr>
        <w:tc>
          <w:tcPr>
            <w:tcW w:w="156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lastRenderedPageBreak/>
              <w:t>Katon et al., 2001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28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Ludman et al., 2003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29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Van Korff et al., 2003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30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49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Functional impairment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(Von Korff et al.)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BL, 3, 6, 9, 12 months </w:t>
            </w:r>
          </w:p>
        </w:tc>
        <w:tc>
          <w:tcPr>
            <w:tcW w:w="135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Self-report, SF-36 Social functioning Scale( using imputed data and adjusting for age, sex, chronic disease score, neuroticism, and baseline SCL) </w:t>
            </w:r>
          </w:p>
        </w:tc>
        <w:tc>
          <w:tcPr>
            <w:tcW w:w="117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194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192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3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186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186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6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181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170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9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175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164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12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174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153</w:t>
            </w:r>
          </w:p>
        </w:tc>
        <w:tc>
          <w:tcPr>
            <w:tcW w:w="37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3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mean (SD)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81.4 (20.5)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G2: 81.1 (21.1)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6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mean (SD)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83.3 (20.2)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83.0 (20.9)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9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mean (SD)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84.7 (19.7)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G2: 81.4 (22.4)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12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mean (SD)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86.9 (17.8)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81.7 (20.4)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Effects: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Intervention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Estimate: 0.27 (1.42)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T-statistic: 0.19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0.85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Time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Estimate: 0.66 (0.48)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T-statistic: 1.38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0.17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Intervention x time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Estimate: 1.31 (0.66)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T-statistic: 1.98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0.047</w:t>
            </w:r>
          </w:p>
        </w:tc>
      </w:tr>
      <w:tr w:rsidR="008B7429" w:rsidRPr="00F4183B" w:rsidTr="00F4183B">
        <w:trPr>
          <w:cantSplit/>
        </w:trPr>
        <w:tc>
          <w:tcPr>
            <w:tcW w:w="156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lastRenderedPageBreak/>
              <w:t>Katon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1996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49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50% or more improvement on IDS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4-month follow up</w:t>
            </w:r>
          </w:p>
        </w:tc>
        <w:tc>
          <w:tcPr>
            <w:tcW w:w="135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IDS</w:t>
            </w:r>
          </w:p>
        </w:tc>
        <w:tc>
          <w:tcPr>
            <w:tcW w:w="117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77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G2: 76</w:t>
            </w:r>
          </w:p>
        </w:tc>
        <w:tc>
          <w:tcPr>
            <w:tcW w:w="37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Major Depression Group 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(% showing </w:t>
            </w:r>
            <w:r w:rsidRPr="00F4183B">
              <w:rPr>
                <w:rFonts w:ascii="Arial" w:hAnsi="Arial" w:cs="Arial"/>
                <w:color w:val="000000"/>
                <w:szCs w:val="18"/>
                <w:u w:val="single"/>
              </w:rPr>
              <w:t>&gt;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>50% improvement)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G1: 74.1%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G2: 42.3%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p:0.02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No significant differences between G1 and G2 in the minor depression group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51.3%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G2: 52.8%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 xml:space="preserve">p: 0.90 </w:t>
            </w:r>
          </w:p>
        </w:tc>
      </w:tr>
      <w:tr w:rsidR="008B7429" w:rsidRPr="00F4183B" w:rsidTr="00F4183B">
        <w:trPr>
          <w:cantSplit/>
        </w:trPr>
        <w:tc>
          <w:tcPr>
            <w:tcW w:w="156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Lin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2006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49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Adjusted mean BMI difference (baseline minus endpoint)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5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17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164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165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164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165</w:t>
            </w:r>
          </w:p>
        </w:tc>
        <w:tc>
          <w:tcPr>
            <w:tcW w:w="37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(kg/m^2) = NA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NA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NA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 xml:space="preserve">EP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>(kg/m^2) = 0.70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0.17 to 1.24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p: </w:t>
            </w:r>
            <w:r w:rsidRPr="00F4183B">
              <w:rPr>
                <w:rFonts w:ascii="Arial" w:hAnsi="Arial" w:cs="Arial"/>
                <w:color w:val="000000"/>
                <w:szCs w:val="18"/>
                <w:u w:val="single"/>
              </w:rPr>
              <w:t>&lt;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>0.01 with adjustment</w:t>
            </w:r>
          </w:p>
        </w:tc>
      </w:tr>
      <w:tr w:rsidR="008B7429" w:rsidRPr="00F4183B" w:rsidTr="00F4183B">
        <w:trPr>
          <w:cantSplit/>
        </w:trPr>
        <w:tc>
          <w:tcPr>
            <w:tcW w:w="156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Pearce et al.,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2008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Cardiovascular Risk Education and Social Support (CaRESS) Trial</w:t>
            </w:r>
          </w:p>
        </w:tc>
        <w:tc>
          <w:tcPr>
            <w:tcW w:w="249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Mean LDL cholesterol level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6 times over a 12-month period</w:t>
            </w:r>
          </w:p>
        </w:tc>
        <w:tc>
          <w:tcPr>
            <w:tcW w:w="135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Phlebotomy during study practice site visits</w:t>
            </w:r>
          </w:p>
        </w:tc>
        <w:tc>
          <w:tcPr>
            <w:tcW w:w="117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G1 + G2: 24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16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Midpoint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 + G2: 18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11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Endpoint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 + G2: 18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11</w:t>
            </w:r>
          </w:p>
        </w:tc>
        <w:tc>
          <w:tcPr>
            <w:tcW w:w="37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G1 + G2: 137.0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137.3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 (G1 + G2 vs. G3): 0.9471 (unadjusted), NA (adjusted)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F4183B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Midpoint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 + G2: 139.4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130.5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 (G1 + G2 vs. G3): 0.6716 (unadjusted), NA (adjusted)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 + G2: 135.4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110.6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 (G1 + G2 vs. G3): 0.3238 (unadjusted), NA (adjusted)</w:t>
            </w:r>
          </w:p>
        </w:tc>
      </w:tr>
      <w:tr w:rsidR="008B7429" w:rsidRPr="00F4183B" w:rsidTr="00F4183B">
        <w:trPr>
          <w:cantSplit/>
        </w:trPr>
        <w:tc>
          <w:tcPr>
            <w:tcW w:w="156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Schaffer et al.,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2004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47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49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PQAQ(higher=better): mean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baseline, 3, 6 months; timeframe: specific to time of measurement</w:t>
            </w:r>
          </w:p>
        </w:tc>
        <w:tc>
          <w:tcPr>
            <w:tcW w:w="135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questionnaire</w:t>
            </w:r>
          </w:p>
        </w:tc>
        <w:tc>
          <w:tcPr>
            <w:tcW w:w="117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11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G2: 10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G3: 12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G4: 13</w:t>
            </w:r>
          </w:p>
        </w:tc>
        <w:tc>
          <w:tcPr>
            <w:tcW w:w="37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</w:t>
            </w:r>
            <w:r w:rsidR="00F4183B">
              <w:rPr>
                <w:rFonts w:ascii="Arial" w:hAnsi="Arial" w:cs="Arial"/>
                <w:color w:val="000000"/>
                <w:szCs w:val="18"/>
              </w:rPr>
              <w:t xml:space="preserve">: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Pre: 43.72 (5.14)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3 mo: 49.90 (4.6)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6 mo: 43.33 (14.43)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  <w:r w:rsidR="00F4183B">
              <w:rPr>
                <w:rFonts w:ascii="Arial" w:hAnsi="Arial" w:cs="Arial"/>
                <w:color w:val="000000"/>
                <w:szCs w:val="18"/>
              </w:rPr>
              <w:t xml:space="preserve">: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>Pre: 42.70 (6.696)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3 mo: 44.0 (4.97)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6 mo: 44.20 (6.16)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G3 :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Pre: 44.50 (4.62)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3 mo: 45.75 (6.27)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6 mo: 43.33 (14.44)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G4</w:t>
            </w:r>
            <w:r w:rsidR="00F4183B">
              <w:rPr>
                <w:rFonts w:ascii="Arial" w:hAnsi="Arial" w:cs="Arial"/>
                <w:color w:val="000000"/>
                <w:szCs w:val="18"/>
              </w:rPr>
              <w:t>: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Pre: 44.61 (6.47)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3 mo: 44.67 (6.82)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6 mo: 45.27 (5.57)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Pre-3: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 xml:space="preserve">G4 vs. G2 p = .8 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G4 vs. G1 p = .6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 xml:space="preserve">G4 vs. G3 p = .3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Pre-6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G4 vs. G3 p = .2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G4 vs. G2 p = .4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G4 vs. G1 p = .8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</w:tc>
      </w:tr>
      <w:tr w:rsidR="008B7429" w:rsidRPr="00F4183B" w:rsidTr="00F4183B">
        <w:trPr>
          <w:cantSplit/>
        </w:trPr>
        <w:tc>
          <w:tcPr>
            <w:tcW w:w="156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Schneider et al.,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2008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DF57C2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49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Occurrence of angina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6 and 12 months for the past 6 months</w:t>
            </w:r>
          </w:p>
        </w:tc>
        <w:tc>
          <w:tcPr>
            <w:tcW w:w="135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Medical chart review</w:t>
            </w:r>
          </w:p>
        </w:tc>
        <w:tc>
          <w:tcPr>
            <w:tcW w:w="117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47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G2: 38</w:t>
            </w:r>
          </w:p>
        </w:tc>
        <w:tc>
          <w:tcPr>
            <w:tcW w:w="37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NR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G2: NR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95% CI, NR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p: NR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Numbers not reported, but results were not significant</w:t>
            </w:r>
          </w:p>
        </w:tc>
      </w:tr>
      <w:tr w:rsidR="008B7429" w:rsidRPr="00F4183B" w:rsidTr="00F4183B">
        <w:trPr>
          <w:cantSplit/>
        </w:trPr>
        <w:tc>
          <w:tcPr>
            <w:tcW w:w="156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br w:type="page"/>
              <w:t xml:space="preserve">Wilson et al., </w:t>
            </w:r>
            <w:r w:rsidRPr="00F4183B">
              <w:rPr>
                <w:rFonts w:ascii="Arial" w:hAnsi="Arial" w:cs="Arial"/>
                <w:szCs w:val="18"/>
              </w:rPr>
              <w:br w:type="page"/>
              <w:t>2010</w:t>
            </w:r>
            <w:r w:rsidR="00DF57C2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DF57C2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DF57C2" w:rsidRPr="00F4183B">
              <w:rPr>
                <w:rFonts w:ascii="Arial" w:hAnsi="Arial" w:cs="Arial"/>
                <w:szCs w:val="18"/>
              </w:rPr>
            </w:r>
            <w:r w:rsidR="00DF57C2" w:rsidRPr="00F4183B">
              <w:rPr>
                <w:rFonts w:ascii="Arial" w:hAnsi="Arial" w:cs="Arial"/>
                <w:szCs w:val="18"/>
              </w:rPr>
              <w:fldChar w:fldCharType="end"/>
            </w:r>
            <w:r w:rsidR="00DF57C2" w:rsidRPr="00F4183B">
              <w:rPr>
                <w:rFonts w:ascii="Arial" w:hAnsi="Arial" w:cs="Arial"/>
                <w:szCs w:val="18"/>
              </w:rPr>
            </w:r>
            <w:r w:rsidR="00DF57C2" w:rsidRPr="00F4183B">
              <w:rPr>
                <w:rFonts w:ascii="Arial" w:hAnsi="Arial" w:cs="Arial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DF57C2" w:rsidRPr="00F4183B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br w:type="page"/>
              <w:t>Better Outcomes of Asthma Treatment (BOAT</w:t>
            </w:r>
          </w:p>
        </w:tc>
        <w:tc>
          <w:tcPr>
            <w:tcW w:w="2499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 xml:space="preserve">Change in Asthma control; 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measured baseline and at FU year 1; measured for the preceding 4 weeks and reported as change in ATAQ score</w:t>
            </w:r>
          </w:p>
        </w:tc>
        <w:tc>
          <w:tcPr>
            <w:tcW w:w="135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Asthma Therapy Assessment Questionnaire (ATAQ); 4-item scale.</w:t>
            </w:r>
          </w:p>
        </w:tc>
        <w:tc>
          <w:tcPr>
            <w:tcW w:w="117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182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G2: 180</w:t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br w:type="page"/>
              <w:t>G3: 189</w:t>
            </w:r>
          </w:p>
        </w:tc>
        <w:tc>
          <w:tcPr>
            <w:tcW w:w="37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Change in ATAQ score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-.80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G2: -.54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G3: -.46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ATAQ =0 (no asthma control problems)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G1:G3</w:t>
            </w:r>
            <w:r w:rsidRPr="00F4183B">
              <w:rPr>
                <w:rFonts w:ascii="Arial" w:hAnsi="Arial" w:cs="Arial"/>
                <w:szCs w:val="18"/>
              </w:rPr>
              <w:br w:type="page"/>
              <w:t xml:space="preserve"> OR: 1.9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95% CI, 1.3-2.9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p-0.002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 xml:space="preserve">G2:G3 </w:t>
            </w:r>
            <w:r w:rsidRPr="00F4183B">
              <w:rPr>
                <w:rFonts w:ascii="Arial" w:hAnsi="Arial" w:cs="Arial"/>
                <w:szCs w:val="18"/>
              </w:rPr>
              <w:br w:type="page"/>
              <w:t>OR: 1.6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95% CI, 1.1-2.4</w:t>
            </w:r>
            <w:r w:rsidRPr="00F4183B">
              <w:rPr>
                <w:rFonts w:ascii="Arial" w:hAnsi="Arial" w:cs="Arial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p=0.0239</w:t>
            </w:r>
          </w:p>
        </w:tc>
      </w:tr>
    </w:tbl>
    <w:p w:rsidR="00124C78" w:rsidRDefault="00124C78" w:rsidP="00796B61">
      <w:pPr>
        <w:rPr>
          <w:rFonts w:ascii="Arial" w:hAnsi="Arial" w:cs="Arial"/>
          <w:sz w:val="18"/>
          <w:szCs w:val="18"/>
        </w:rPr>
      </w:pPr>
    </w:p>
    <w:sectPr w:rsidR="00124C78" w:rsidSect="00796B61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033" w:rsidRDefault="001C1033">
      <w:r>
        <w:separator/>
      </w:r>
    </w:p>
  </w:endnote>
  <w:endnote w:type="continuationSeparator" w:id="0">
    <w:p w:rsidR="001C1033" w:rsidRDefault="001C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796B61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796B61">
      <w:rPr>
        <w:rFonts w:ascii="Times New Roman" w:hAnsi="Times New Roman"/>
        <w:sz w:val="24"/>
        <w:szCs w:val="24"/>
      </w:rPr>
      <w:t>D</w:t>
    </w:r>
    <w:r w:rsidR="00124C78" w:rsidRPr="00796B61">
      <w:rPr>
        <w:rFonts w:ascii="Times New Roman" w:hAnsi="Times New Roman"/>
        <w:sz w:val="24"/>
        <w:szCs w:val="24"/>
      </w:rPr>
      <w:t>-</w:t>
    </w:r>
    <w:r w:rsidR="00DF57C2" w:rsidRPr="00796B61">
      <w:rPr>
        <w:rFonts w:ascii="Times New Roman" w:hAnsi="Times New Roman"/>
        <w:b/>
        <w:sz w:val="24"/>
        <w:szCs w:val="24"/>
      </w:rPr>
      <w:fldChar w:fldCharType="begin"/>
    </w:r>
    <w:r w:rsidR="00124C78" w:rsidRPr="00796B61">
      <w:rPr>
        <w:rFonts w:ascii="Times New Roman" w:hAnsi="Times New Roman"/>
        <w:sz w:val="24"/>
        <w:szCs w:val="24"/>
      </w:rPr>
      <w:instrText xml:space="preserve"> PAGE   \* MERGEFORMAT </w:instrText>
    </w:r>
    <w:r w:rsidR="00DF57C2" w:rsidRPr="00796B61">
      <w:rPr>
        <w:rFonts w:ascii="Times New Roman" w:hAnsi="Times New Roman"/>
        <w:b/>
        <w:sz w:val="24"/>
        <w:szCs w:val="24"/>
      </w:rPr>
      <w:fldChar w:fldCharType="separate"/>
    </w:r>
    <w:r w:rsidR="00796B61">
      <w:rPr>
        <w:rFonts w:ascii="Times New Roman" w:hAnsi="Times New Roman"/>
        <w:noProof/>
        <w:sz w:val="24"/>
        <w:szCs w:val="24"/>
      </w:rPr>
      <w:t>239</w:t>
    </w:r>
    <w:r w:rsidR="00DF57C2" w:rsidRPr="00796B6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033" w:rsidRDefault="001C1033">
      <w:r>
        <w:separator/>
      </w:r>
    </w:p>
  </w:footnote>
  <w:footnote w:type="continuationSeparator" w:id="0">
    <w:p w:rsidR="001C1033" w:rsidRDefault="001C1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033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96B61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57C2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D1D77-F9B9-45C0-A59C-9D09C1A909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D0B81-6DB5-456E-8C52-9425C949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7305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2012-09-29T13:14:00Z</dcterms:modified>
</cp:coreProperties>
</file>