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674B93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#341)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005"/>
        <w:gridCol w:w="1980"/>
        <w:gridCol w:w="2700"/>
        <w:gridCol w:w="2114"/>
        <w:gridCol w:w="2476"/>
        <w:gridCol w:w="1915"/>
      </w:tblGrid>
      <w:tr w:rsidR="0068123F" w:rsidRPr="00BD0191" w:rsidTr="008C5F18">
        <w:trPr>
          <w:tblHeader/>
          <w:jc w:val="center"/>
        </w:trPr>
        <w:tc>
          <w:tcPr>
            <w:tcW w:w="2005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1980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700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14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476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915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2005" w:type="dxa"/>
            <w:noWrap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Reid and Virtanen-Kari, 2005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period: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May 1996 to December 1998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District general hospital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Schering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Oy</w:t>
            </w:r>
            <w:proofErr w:type="spellEnd"/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2/2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Blinding: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, 52 mg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levonorgestrel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in cylinder initial release rate 20 µg per 24 hours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Oral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500 mg three times daily for first 4 days of cycle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cycles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keepNext/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18 to 47 years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Good general health with regular, ovulatory menstrual cycles of 21 to 35 days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Idiopathic menorrhagia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≥80 mL) confirmed in one cycle within 4 month period preceding study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Undiagnosed abnormal bleeding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Anovulatory</w:t>
            </w:r>
            <w:proofErr w:type="spellEnd"/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Submucous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fibroids or fibroids with total volume of &gt;5 cm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defined by ultrasound scan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Uterine size of &gt;10 cm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Abnormal cervical cytology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Untreated hypertension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Abnormal thyroid or liver function tests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Intrauterine device</w:t>
            </w:r>
          </w:p>
          <w:p w:rsidR="0068123F" w:rsidRPr="00BD0191" w:rsidRDefault="0068123F" w:rsidP="008C5F18">
            <w:pPr>
              <w:keepNext/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Treated for menorrhagia or used hormonal contraceptives within previous 4 months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(cycle 6):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Age, mean years: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39.4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38.5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NR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NR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114" w:type="dxa"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, measured by modified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technique, median ml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122 (81, 375)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121 (85, 389)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Total menstrual fluid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loss,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median mL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183 (103-527)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211 (91-491)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score, median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240 (91-545)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233 (77-469)</w:t>
            </w:r>
          </w:p>
        </w:tc>
        <w:tc>
          <w:tcPr>
            <w:tcW w:w="2476" w:type="dxa"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, measured by modified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technique, median ml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3: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 (0, 240)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94 (29, 219)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6: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(0, 45)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100 (46, 168)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 0.001</w:t>
            </w:r>
          </w:p>
          <w:p w:rsidR="0068123F" w:rsidRPr="00BD0191" w:rsidRDefault="0068123F" w:rsidP="008C5F18">
            <w:pPr>
              <w:keepNext/>
              <w:ind w:left="72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Total menstrual fluid loss, median mL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3: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53 (0, 459)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151 (57, 280)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6: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 (0, 156)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157 (76, 319)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score, median  (range):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3: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49 (0, 286)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161 (77, 262)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6: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 (0, 402)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159 (50, 307)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events, 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Abdominal pain: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2/26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Headache: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10/25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Breast pain: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2/26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Nausea: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4/26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Diarrhea: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Upper respiratory infection: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5/25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5/26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expulsion: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4/25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NA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Arial" w:eastAsia="Calibri" w:hAnsi="Arial"/>
          <w:b/>
          <w:bCs/>
          <w:color w:val="000000"/>
          <w:sz w:val="20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 xml:space="preserve">Table Notes: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24"/>
        </w:rPr>
        <w:t xml:space="preserve">Total menstrual fluid loss was determined by difference in weight between returned sanitary material and original weight. Correlations between change in total menstrual fluid loss and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PBAC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scores over the six cycles when all patients were analyzed together (r=0.88, p&lt;0.0001).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PBAC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scores correlated with changes in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MBL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(r=0.53, p= 0.0007) and total menstrual fluid loss (r=0.58, p=0.0002). </w:t>
      </w:r>
    </w:p>
    <w:p w:rsidR="0068123F" w:rsidRDefault="0068123F" w:rsidP="00674B93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674B93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98"/>
          <w:cols w:space="720"/>
          <w:docGrid w:linePitch="360"/>
        </w:sectPr>
      </w:pPr>
      <w:bookmarkStart w:id="0" w:name="_GoBack"/>
      <w:bookmarkEnd w:id="0"/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DE" w:rsidRDefault="00B74EDE">
      <w:r>
        <w:separator/>
      </w:r>
    </w:p>
  </w:endnote>
  <w:endnote w:type="continuationSeparator" w:id="0">
    <w:p w:rsidR="00B74EDE" w:rsidRDefault="00B74EDE">
      <w:r>
        <w:continuationSeparator/>
      </w:r>
    </w:p>
  </w:endnote>
  <w:endnote w:type="continuationNotice" w:id="1">
    <w:p w:rsidR="00B74EDE" w:rsidRDefault="00B74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674B93">
          <w:rPr>
            <w:noProof/>
          </w:rPr>
          <w:t>98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674B93">
          <w:rPr>
            <w:noProof/>
          </w:rPr>
          <w:t>100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DE" w:rsidRDefault="00B74EDE">
      <w:r>
        <w:separator/>
      </w:r>
    </w:p>
  </w:footnote>
  <w:footnote w:type="continuationSeparator" w:id="0">
    <w:p w:rsidR="00B74EDE" w:rsidRDefault="00B74EDE">
      <w:r>
        <w:continuationSeparator/>
      </w:r>
    </w:p>
  </w:footnote>
  <w:footnote w:type="continuationNotice" w:id="1">
    <w:p w:rsidR="00B74EDE" w:rsidRDefault="00B74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74B93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74EDE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EC6E-F872-4F2F-A7FF-CE8CC2E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3260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2013-04-16T08:11:00Z</dcterms:modified>
</cp:coreProperties>
</file>