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671614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bookmarkStart w:id="0" w:name="_GoBack"/>
      <w:bookmarkEnd w:id="0"/>
      <w:proofErr w:type="spellStart"/>
      <w:r w:rsidRPr="00BD0191">
        <w:rPr>
          <w:rFonts w:ascii="Arial" w:eastAsia="Calibri" w:hAnsi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KQ1 Evidence Table (Reference ID #935)</w:t>
      </w:r>
      <w:r w:rsidRPr="00BD0191">
        <w:rPr>
          <w:rFonts w:ascii="Arial" w:eastAsia="Calibri" w:hAnsi="Arial"/>
          <w:b/>
          <w:bCs/>
          <w:color w:val="000000"/>
          <w:sz w:val="20"/>
          <w:szCs w:val="24"/>
        </w:rPr>
        <w:t xml:space="preserve"> </w:t>
      </w:r>
    </w:p>
    <w:tbl>
      <w:tblPr>
        <w:tblStyle w:val="TableGrid2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794"/>
        <w:gridCol w:w="2034"/>
        <w:gridCol w:w="2297"/>
        <w:gridCol w:w="2209"/>
        <w:gridCol w:w="2209"/>
        <w:gridCol w:w="2647"/>
      </w:tblGrid>
      <w:tr w:rsidR="0068123F" w:rsidRPr="00BD0191" w:rsidTr="008C5F18">
        <w:trPr>
          <w:tblHeader/>
          <w:jc w:val="center"/>
        </w:trPr>
        <w:tc>
          <w:tcPr>
            <w:tcW w:w="1736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1968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223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138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138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2562" w:type="dxa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736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Preston et al., 1995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setting: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Hospitals and clinics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Pharmacia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>, double blind, placebo controlled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Blinding: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Patients, clinicians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Tranexamic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gm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, 4 times a day on days 1 to 4 and placebo on days 19 to 26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Placebo on days 1 to 4 and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norethisterone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5 mg twice per day on days 19 to 26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1: Placebo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2: Placebo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3: Treatment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4: Treatment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Tranexamic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Norethisterone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4 months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18 or older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Cycle length 28 ± 7 days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hormone therapy within previous 3 months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Not taking medication which might affect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contraindication to either drug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Normal renal function (serum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&lt;125 µ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mol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/l)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Normal pelvic examination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Negative cervical cytology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Menorrhagia (average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over 2 cycles &gt;80 ml per cycle)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Regular cycle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See inclusion criteria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40.6 ± 4.7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39.3 ± 7.1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Weight, mean kg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71.2 ± 14.9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63.5 ± 9.2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p&lt;0.048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0: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(14)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 (52)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 (48)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3: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 (36)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4: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38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using the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 at cycles 1 and 2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combined,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ml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175 ± 84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173 ± 85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Hemoglobin,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g/dl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12.3 ± 1.2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12.0 ± 1.4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Serum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ferritin,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μg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/l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11.2 ± 11.4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8.9 ± 7.2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Transferrin,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g/dl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3.68 ± 0.42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3.64 ± 0.56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38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using the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 at cycles 3 and 4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combined,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ml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97 ± 89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208 ± 135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p=0.26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estimated reduction from baseline, ml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79 (62, 108)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-34 (-64, 2)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113 (71, 155)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% change from baseline, mean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-45 (-93, 23)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(-62, 114)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&lt; 80 ml per cycle, 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14/25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2/21</w:t>
            </w:r>
          </w:p>
          <w:p w:rsidR="0068123F" w:rsidRPr="00BD0191" w:rsidRDefault="0068123F" w:rsidP="008C5F18">
            <w:pPr>
              <w:ind w:left="72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Hemoglobin, mean g/dl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12.9 ± 0.9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12.6 ± 1.6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Serum ferritin, mean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μg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/l ± SD: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11.5 ± 6.0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10.3 ± 6.8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Transferrin, mean g/dl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3.34 ± 0.34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4.74 ± 0.53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General health,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Better: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 (50)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(30)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Same/worse: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 (50)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 (70)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Amount of flooding and leakage,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Better: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(83)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 (45)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Same/worse: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(17)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 (55)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p=0.008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Limitation of social activities,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Better: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 (67)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 (45)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Same/worse: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 (33)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 (55)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Abdominal pain,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Better: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 (38)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(20)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Same/worse: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 (62)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 (80)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Better: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 (46)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(15)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Same/worse: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 (54)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 (85)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p=0.029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Assessment of blood loss during treatment compared to placebo cycle,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Better: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Same/worse: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p=0.002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Dysmenorrhea, %: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80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85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Headache, %: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Gastrointestinal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symptoms including diarrhea, nausea, vomiting, and dyspepsia, %: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33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Weight gain, 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62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Fair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Pr="00BD0191" w:rsidRDefault="0068123F" w:rsidP="0068123F">
      <w:pPr>
        <w:spacing w:after="240"/>
        <w:rPr>
          <w:rFonts w:ascii="Times New Roman" w:hAnsi="Times New Roman"/>
          <w:sz w:val="18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 xml:space="preserve">Table Notes: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a</w:t>
      </w:r>
      <w:r w:rsidRPr="00BD0191">
        <w:rPr>
          <w:rFonts w:ascii="Times New Roman" w:hAnsi="Times New Roman"/>
          <w:bCs/>
          <w:sz w:val="18"/>
          <w:szCs w:val="24"/>
        </w:rPr>
        <w:t xml:space="preserve"> Data also given for cycles 1 and 2 separately;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b</w:t>
      </w:r>
      <w:r w:rsidRPr="00BD0191">
        <w:rPr>
          <w:rFonts w:ascii="Times New Roman" w:hAnsi="Times New Roman"/>
          <w:bCs/>
          <w:sz w:val="18"/>
          <w:szCs w:val="24"/>
        </w:rPr>
        <w:t xml:space="preserve"> Laboratory values are from the pre-placebo phase;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c</w:t>
      </w:r>
      <w:r w:rsidRPr="00BD0191">
        <w:rPr>
          <w:rFonts w:ascii="Times New Roman" w:hAnsi="Times New Roman"/>
          <w:bCs/>
          <w:sz w:val="18"/>
          <w:szCs w:val="24"/>
        </w:rPr>
        <w:t xml:space="preserve"> Data also given for cycles 3 and 4 separately;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d</w:t>
      </w:r>
      <w:r w:rsidRPr="00BD0191">
        <w:rPr>
          <w:rFonts w:ascii="Times New Roman" w:hAnsi="Times New Roman"/>
          <w:bCs/>
          <w:sz w:val="18"/>
          <w:szCs w:val="24"/>
        </w:rPr>
        <w:t xml:space="preserve"> Patients treated with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tranexamic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acid were significantly better than those treated with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norethisterone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>.</w:t>
      </w:r>
    </w:p>
    <w:p w:rsidR="0068123F" w:rsidRDefault="0068123F" w:rsidP="00CC3F70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CC3F70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91"/>
          <w:cols w:space="720"/>
          <w:docGrid w:linePitch="360"/>
        </w:sectPr>
      </w:pP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DB" w:rsidRDefault="004921DB">
      <w:r>
        <w:separator/>
      </w:r>
    </w:p>
  </w:endnote>
  <w:endnote w:type="continuationSeparator" w:id="0">
    <w:p w:rsidR="004921DB" w:rsidRDefault="004921DB">
      <w:r>
        <w:continuationSeparator/>
      </w:r>
    </w:p>
  </w:endnote>
  <w:endnote w:type="continuationNotice" w:id="1">
    <w:p w:rsidR="004921DB" w:rsidRDefault="00492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671614">
          <w:rPr>
            <w:noProof/>
          </w:rPr>
          <w:t>92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CC3F70">
          <w:rPr>
            <w:noProof/>
          </w:rPr>
          <w:t>95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DB" w:rsidRDefault="004921DB">
      <w:r>
        <w:separator/>
      </w:r>
    </w:p>
  </w:footnote>
  <w:footnote w:type="continuationSeparator" w:id="0">
    <w:p w:rsidR="004921DB" w:rsidRDefault="004921DB">
      <w:r>
        <w:continuationSeparator/>
      </w:r>
    </w:p>
  </w:footnote>
  <w:footnote w:type="continuationNotice" w:id="1">
    <w:p w:rsidR="004921DB" w:rsidRDefault="004921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21DB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161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C3F70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872D-D9AE-405B-96E8-6CF678FB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3957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5</cp:revision>
  <cp:lastPrinted>2013-01-17T16:38:00Z</cp:lastPrinted>
  <dcterms:created xsi:type="dcterms:W3CDTF">2013-03-13T17:19:00Z</dcterms:created>
  <dcterms:modified xsi:type="dcterms:W3CDTF">2013-04-16T07:14:00Z</dcterms:modified>
</cp:coreProperties>
</file>