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F552AF">
      <w:pPr>
        <w:keepNext/>
        <w:spacing w:before="120"/>
        <w:rPr>
          <w:rFonts w:ascii="Arial" w:eastAsia="Calibri" w:hAnsi="Arial" w:cs="Arial"/>
          <w:b/>
          <w:color w:val="000000"/>
          <w:sz w:val="20"/>
        </w:rPr>
      </w:pPr>
      <w:proofErr w:type="spellStart"/>
      <w:r w:rsidRPr="00BD0191">
        <w:rPr>
          <w:rFonts w:ascii="Arial" w:eastAsia="Calibri" w:hAnsi="Arial" w:cs="Arial"/>
          <w:b/>
          <w:color w:val="000000"/>
          <w:sz w:val="20"/>
        </w:rPr>
        <w:t>AUB</w:t>
      </w:r>
      <w:proofErr w:type="spellEnd"/>
      <w:r w:rsidRPr="00BD0191">
        <w:rPr>
          <w:rFonts w:ascii="Arial" w:eastAsia="Calibri" w:hAnsi="Arial" w:cs="Arial"/>
          <w:b/>
          <w:color w:val="000000"/>
          <w:sz w:val="20"/>
        </w:rPr>
        <w:t xml:space="preserve"> KQ1 </w:t>
      </w:r>
      <w:bookmarkStart w:id="0" w:name="_GoBack"/>
      <w:bookmarkEnd w:id="0"/>
      <w:r w:rsidRPr="00BD0191">
        <w:rPr>
          <w:rFonts w:ascii="Arial" w:eastAsia="Calibri" w:hAnsi="Arial" w:cs="Arial"/>
          <w:b/>
          <w:color w:val="000000"/>
          <w:sz w:val="20"/>
        </w:rPr>
        <w:t>Evidence Table (Reference ID #1431)</w:t>
      </w:r>
      <w:r w:rsidRPr="00BD0191">
        <w:rPr>
          <w:rFonts w:ascii="Arial" w:eastAsia="Calibri" w:hAnsi="Arial" w:cs="Arial"/>
          <w:bCs/>
          <w:color w:val="000000"/>
          <w:sz w:val="20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bottom w:val="single" w:sz="4" w:space="0" w:color="auto"/>
          <w:insideH w:val="single" w:sz="12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2340"/>
        <w:gridCol w:w="2520"/>
        <w:gridCol w:w="2340"/>
        <w:gridCol w:w="2250"/>
        <w:gridCol w:w="1825"/>
      </w:tblGrid>
      <w:tr w:rsidR="0068123F" w:rsidRPr="00BD0191" w:rsidTr="008C5F18">
        <w:trPr>
          <w:tblHeader/>
          <w:jc w:val="center"/>
        </w:trPr>
        <w:tc>
          <w:tcPr>
            <w:tcW w:w="191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34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52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34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50" w:type="dxa"/>
            <w:vAlign w:val="center"/>
          </w:tcPr>
          <w:p w:rsidR="0068123F" w:rsidRPr="00BD0191" w:rsidRDefault="0068123F" w:rsidP="008C5F18">
            <w:pPr>
              <w:ind w:left="245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Outcome Measure(s)</w:t>
            </w:r>
          </w:p>
        </w:tc>
        <w:tc>
          <w:tcPr>
            <w:tcW w:w="182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1915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Elkind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-Hirsch et al., 2008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August 2006 to June 2007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Outpatient clinics</w:t>
            </w:r>
          </w:p>
          <w:p w:rsidR="0068123F" w:rsidRPr="00BD0191" w:rsidRDefault="0068123F" w:rsidP="008C5F18">
            <w:pPr>
              <w:ind w:left="216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 xml:space="preserve">Amylin Pharmaceuticals, </w:t>
            </w: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/Eli Lilly Corp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2/5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Blinding: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4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Exenatide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 µg by subcutaneous injection twice a day and increased to 10 µg twice per day after 1 month.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Metformin 500 mg for two weeks and gradually increased to 1000 mg twice a day;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Combination: metformin 500 mg for two weeks and gradually increased to 1000 mg twice a day plus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exenatide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 µg by subcutaneous injection twice a day and increased to 10 µg twice per day after 1 month.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 groups received treatment for 24 weeks.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Exenatide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Metformin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Combination metformin and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exenatide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24 weeks</w:t>
            </w:r>
          </w:p>
        </w:tc>
        <w:tc>
          <w:tcPr>
            <w:tcW w:w="252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Aged 18 to 40 years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Polycystic ovary syndrome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Overweight/obese (BMI &gt;27)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Menstrual disorders (fewer than six menstruations in 12 months)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One of the following two criteria:</w:t>
            </w:r>
          </w:p>
          <w:p w:rsidR="0068123F" w:rsidRPr="00BD0191" w:rsidRDefault="0068123F" w:rsidP="008C5F18">
            <w:pPr>
              <w:ind w:left="247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either clinical and/or biochemical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hyperandrogenism</w:t>
            </w:r>
            <w:proofErr w:type="spellEnd"/>
          </w:p>
          <w:p w:rsidR="0068123F" w:rsidRPr="00BD0191" w:rsidRDefault="0068123F" w:rsidP="008C5F18">
            <w:pPr>
              <w:ind w:left="247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(excluding secondary causes) and/or polycystic ovaries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Diabetics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Smokers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Those who used injectable hormonal contraceptive within 6  months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Those taking sex  hormones, drugs that affect gastrointestinal motility or carbohydrate metabolism, or lipid-lowering and/or anti-obesity drugs within 3 months of</w:t>
            </w:r>
          </w:p>
          <w:p w:rsidR="0068123F" w:rsidRPr="00BD0191" w:rsidRDefault="0068123F" w:rsidP="008C5F18">
            <w:pPr>
              <w:ind w:left="216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the study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mean years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28.2 ± 1.1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27.7 ± 1.3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32.1 ±  0.7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 vs. 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BMI, mean kg/m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  <w:t>2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39.9 ± 1.5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41.3 ± 1.8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41.2 ± 1.7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 vs. 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Parity: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Caucasian: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G1+G2+G3: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40 (67)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African-American: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G1+G2+G3: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20 (33)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Cycle changes measured by menstrual frequency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index,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± SD: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0.22 ± 0.04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0.21 ± 0.04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: 0.29 ± 0.04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Absolute weight, mean kg ± SD: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hAnsi="Arial" w:cs="Arial"/>
                <w:sz w:val="18"/>
                <w:szCs w:val="18"/>
              </w:rPr>
              <w:t>110.5 ± 6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hAnsi="Arial" w:cs="Arial"/>
                <w:sz w:val="18"/>
                <w:szCs w:val="18"/>
              </w:rPr>
              <w:t>113.4 ± 7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hAnsi="Arial" w:cs="Arial"/>
                <w:sz w:val="18"/>
                <w:szCs w:val="18"/>
              </w:rPr>
              <w:t>112 ± 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Abdominal girth, mean cm ± SD: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hAnsi="Arial" w:cs="Arial"/>
                <w:sz w:val="18"/>
                <w:szCs w:val="18"/>
              </w:rPr>
              <w:t>120.4 ±  4.5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123.4 ±  4.3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hAnsi="Arial" w:cs="Arial"/>
                <w:sz w:val="18"/>
                <w:szCs w:val="18"/>
              </w:rPr>
              <w:t>122 ± 4.4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BMI, mean kg/m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± SD: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40.3 ± 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43.3 ± 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40.9 ± 2</w:t>
            </w:r>
          </w:p>
        </w:tc>
        <w:tc>
          <w:tcPr>
            <w:tcW w:w="225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Cycle changes measured by menstrual frequency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index,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± SD: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hAnsi="Arial" w:cs="Arial"/>
                <w:sz w:val="18"/>
                <w:szCs w:val="18"/>
              </w:rPr>
              <w:t>0.57 ± 0.08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hAnsi="Arial" w:cs="Arial"/>
                <w:sz w:val="18"/>
                <w:szCs w:val="18"/>
              </w:rPr>
              <w:t>0.49 ± 0.08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hAnsi="Arial" w:cs="Arial"/>
                <w:sz w:val="18"/>
                <w:szCs w:val="18"/>
              </w:rPr>
              <w:t>0.83 ± 0.08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G1+G2+G3 vs. BL: </w:t>
            </w:r>
            <w:r w:rsidRPr="00BD0191">
              <w:rPr>
                <w:rFonts w:ascii="Arial" w:hAnsi="Arial" w:cs="Arial"/>
                <w:sz w:val="18"/>
                <w:szCs w:val="18"/>
              </w:rPr>
              <w:t>p=0.0001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G3 vs. G1: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p=0.091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G3 vs. G2: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p=0.018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Ovulatory rate,%: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hAnsi="Arial" w:cs="Arial"/>
                <w:sz w:val="18"/>
                <w:szCs w:val="18"/>
              </w:rPr>
              <w:t>86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G3 vs. G1: </w:t>
            </w:r>
            <w:r w:rsidRPr="00BD0191">
              <w:rPr>
                <w:rFonts w:ascii="Arial" w:hAnsi="Arial" w:cs="Arial"/>
                <w:sz w:val="18"/>
                <w:szCs w:val="18"/>
              </w:rPr>
              <w:t>p&lt;0.001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G3 vs. G2</w:t>
            </w:r>
            <w:r w:rsidRPr="00BD0191">
              <w:rPr>
                <w:rFonts w:ascii="Arial" w:hAnsi="Arial" w:cs="Arial"/>
                <w:sz w:val="18"/>
                <w:szCs w:val="18"/>
              </w:rPr>
              <w:t>: p&lt;0.001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Weight changes: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Weight loss, mean kg ± SD: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hAnsi="Arial" w:cs="Arial"/>
                <w:sz w:val="18"/>
                <w:szCs w:val="18"/>
              </w:rPr>
              <w:t>3.2 ± 0.1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hAnsi="Arial" w:cs="Arial"/>
                <w:sz w:val="18"/>
                <w:szCs w:val="18"/>
              </w:rPr>
              <w:t>1.6 ± 0.2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hAnsi="Arial" w:cs="Arial"/>
                <w:sz w:val="18"/>
                <w:szCs w:val="18"/>
              </w:rPr>
              <w:t>6 ± 0.5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G1+G2+G3 vs. BL: </w:t>
            </w:r>
            <w:r w:rsidRPr="00BD0191">
              <w:rPr>
                <w:rFonts w:ascii="Arial" w:hAnsi="Arial" w:cs="Arial"/>
                <w:sz w:val="18"/>
                <w:szCs w:val="18"/>
              </w:rPr>
              <w:t>p=0.001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p=0.019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G3 vs. G2: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p=0.003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Abdominal girth, mean ± SD: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hAnsi="Arial" w:cs="Arial"/>
                <w:sz w:val="18"/>
                <w:szCs w:val="18"/>
              </w:rPr>
              <w:t>119.6 ± 4.3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hAnsi="Arial" w:cs="Arial"/>
                <w:sz w:val="18"/>
                <w:szCs w:val="18"/>
              </w:rPr>
              <w:t>123.9 ± 4.4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hAnsi="Arial" w:cs="Arial"/>
                <w:sz w:val="18"/>
                <w:szCs w:val="18"/>
              </w:rPr>
              <w:t>116 ± 4.3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G1+G2+G3 vs. BL: </w:t>
            </w:r>
            <w:r w:rsidRPr="00BD0191">
              <w:rPr>
                <w:rFonts w:ascii="Arial" w:hAnsi="Arial" w:cs="Arial"/>
                <w:sz w:val="18"/>
                <w:szCs w:val="18"/>
              </w:rPr>
              <w:t>p=0.047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BMI, mean kg/m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± SD: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Theme="minorHAnsi" w:hAnsi="Arial" w:cs="Arial"/>
                <w:sz w:val="18"/>
                <w:szCs w:val="18"/>
              </w:rPr>
              <w:t xml:space="preserve">39.3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± </w:t>
            </w:r>
            <w:r w:rsidRPr="00BD0191">
              <w:rPr>
                <w:rFonts w:ascii="Arial" w:eastAsiaTheme="minorHAnsi" w:hAnsi="Arial" w:cs="Arial"/>
                <w:sz w:val="18"/>
                <w:szCs w:val="18"/>
              </w:rPr>
              <w:t>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Theme="minorHAnsi" w:hAnsi="Arial" w:cs="Arial"/>
                <w:sz w:val="18"/>
                <w:szCs w:val="18"/>
              </w:rPr>
              <w:t xml:space="preserve">42.3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±</w:t>
            </w:r>
            <w:r w:rsidRPr="00BD0191">
              <w:rPr>
                <w:rFonts w:ascii="Arial" w:eastAsiaTheme="minorHAnsi" w:hAnsi="Arial" w:cs="Arial"/>
                <w:sz w:val="18"/>
                <w:szCs w:val="18"/>
              </w:rPr>
              <w:t xml:space="preserve"> 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Theme="minorHAnsi" w:hAnsi="Arial" w:cs="Arial"/>
                <w:sz w:val="18"/>
                <w:szCs w:val="18"/>
              </w:rPr>
              <w:t xml:space="preserve">39.2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± 2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G1+G2+G3 vs. BL: </w:t>
            </w:r>
            <w:r w:rsidRPr="00BD0191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Pr="00BD0191">
              <w:rPr>
                <w:rFonts w:ascii="Arial" w:hAnsi="Arial" w:cs="Arial"/>
                <w:sz w:val="18"/>
                <w:szCs w:val="18"/>
              </w:rPr>
              <w:t>&lt;0.0001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Adverse events,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Nausea: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 (15)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 (20)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9 (45)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Diarrhea: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(30)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 (20)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Bloating: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 (10)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Vomiting: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 (10)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Cramping (gastrointestinal):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Headache: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Indigestion/heartburn: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 (10)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Stomachache: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Constipation: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Fatigue: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 (10)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Dizzy: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 (10)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Injection site pain/bruise: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NA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 (10)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Pregnancy: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 (10)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Menstrual cramps: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Dysfunctional menstrual 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Acne: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Migraines: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Hot flashes: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1825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Poor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</w:tbl>
    <w:p w:rsidR="0068123F" w:rsidRPr="00016952" w:rsidRDefault="0068123F" w:rsidP="00016952">
      <w:pPr>
        <w:rPr>
          <w:sz w:val="18"/>
          <w:szCs w:val="18"/>
        </w:rPr>
        <w:sectPr w:rsidR="0068123F" w:rsidRPr="00016952" w:rsidSect="00016952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6"/>
          <w:cols w:space="720"/>
          <w:docGrid w:linePitch="360"/>
        </w:sectPr>
      </w:pPr>
      <w:r w:rsidRPr="00BD0191">
        <w:rPr>
          <w:b/>
          <w:sz w:val="18"/>
          <w:szCs w:val="18"/>
        </w:rPr>
        <w:lastRenderedPageBreak/>
        <w:t>Table Notes:</w:t>
      </w:r>
      <w:r w:rsidRPr="00BD0191">
        <w:rPr>
          <w:sz w:val="18"/>
          <w:szCs w:val="18"/>
        </w:rPr>
        <w:t xml:space="preserve"> </w:t>
      </w:r>
      <w:r w:rsidRPr="00BD0191">
        <w:rPr>
          <w:sz w:val="18"/>
          <w:szCs w:val="18"/>
          <w:vertAlign w:val="superscript"/>
        </w:rPr>
        <w:t>a</w:t>
      </w:r>
      <w:r w:rsidRPr="00BD0191">
        <w:rPr>
          <w:sz w:val="18"/>
          <w:szCs w:val="18"/>
        </w:rPr>
        <w:t xml:space="preserve"> Baseline measures for the subset of subjects who competed the trial (n=14 in each group); </w:t>
      </w:r>
      <w:r w:rsidRPr="00BD0191">
        <w:rPr>
          <w:sz w:val="18"/>
          <w:szCs w:val="18"/>
          <w:vertAlign w:val="superscript"/>
        </w:rPr>
        <w:t>b</w:t>
      </w:r>
      <w:r w:rsidRPr="00BD0191">
        <w:rPr>
          <w:sz w:val="18"/>
          <w:szCs w:val="18"/>
        </w:rPr>
        <w:t xml:space="preserve"> Cycle event rate (normalized to 12 per 52 weeks)</w:t>
      </w:r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EE" w:rsidRDefault="00C133EE">
      <w:r>
        <w:separator/>
      </w:r>
    </w:p>
  </w:endnote>
  <w:endnote w:type="continuationSeparator" w:id="0">
    <w:p w:rsidR="00C133EE" w:rsidRDefault="00C133EE">
      <w:r>
        <w:continuationSeparator/>
      </w:r>
    </w:p>
  </w:endnote>
  <w:endnote w:type="continuationNotice" w:id="1">
    <w:p w:rsidR="00C133EE" w:rsidRDefault="00C13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522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10494A">
          <w:rPr>
            <w:noProof/>
          </w:rPr>
          <w:t>6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016952">
          <w:rPr>
            <w:noProof/>
          </w:rPr>
          <w:t>10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EE" w:rsidRDefault="00C133EE">
      <w:r>
        <w:separator/>
      </w:r>
    </w:p>
  </w:footnote>
  <w:footnote w:type="continuationSeparator" w:id="0">
    <w:p w:rsidR="00C133EE" w:rsidRDefault="00C133EE">
      <w:r>
        <w:continuationSeparator/>
      </w:r>
    </w:p>
  </w:footnote>
  <w:footnote w:type="continuationNotice" w:id="1">
    <w:p w:rsidR="00C133EE" w:rsidRDefault="00C133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16952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0494A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92037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33EE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244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52AF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23E0-E6BA-416C-BDF2-EB833D6F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4195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7</cp:revision>
  <cp:lastPrinted>2013-01-17T16:38:00Z</cp:lastPrinted>
  <dcterms:created xsi:type="dcterms:W3CDTF">2013-03-13T17:19:00Z</dcterms:created>
  <dcterms:modified xsi:type="dcterms:W3CDTF">2013-04-16T08:59:00Z</dcterms:modified>
</cp:coreProperties>
</file>