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591877">
      <w:pPr>
        <w:keepNext/>
        <w:rPr>
          <w:rFonts w:ascii="Arial" w:eastAsia="Calibri" w:hAnsi="Arial" w:cs="Arial"/>
          <w:b/>
          <w:color w:val="000000"/>
          <w:sz w:val="20"/>
          <w:szCs w:val="24"/>
        </w:rPr>
      </w:pPr>
      <w:proofErr w:type="spellStart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 xml:space="preserve"> KQ1 Evidence Table (Reference ID #</w:t>
      </w:r>
      <w:bookmarkStart w:id="0" w:name="_GoBack"/>
      <w:bookmarkEnd w:id="0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>123)</w:t>
      </w:r>
      <w:r w:rsidRPr="00BD0191">
        <w:rPr>
          <w:rFonts w:ascii="Arial" w:eastAsia="Calibri" w:hAnsi="Arial" w:cs="Arial"/>
          <w:b/>
          <w:bCs/>
          <w:color w:val="000000"/>
          <w:sz w:val="20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2340"/>
        <w:gridCol w:w="2610"/>
        <w:gridCol w:w="1891"/>
        <w:gridCol w:w="2429"/>
        <w:gridCol w:w="1825"/>
      </w:tblGrid>
      <w:tr w:rsidR="0068123F" w:rsidRPr="00BD0191" w:rsidTr="008C5F18">
        <w:trPr>
          <w:tblHeader/>
          <w:jc w:val="center"/>
        </w:trPr>
        <w:tc>
          <w:tcPr>
            <w:tcW w:w="2095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34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61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1891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42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825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trHeight w:val="3692"/>
          <w:jc w:val="center"/>
        </w:trPr>
        <w:tc>
          <w:tcPr>
            <w:tcW w:w="2095" w:type="dxa"/>
            <w:shd w:val="clear" w:color="auto" w:fill="FFFFFF" w:themeFill="background1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Endrikat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et al., 2009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9 centers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Bayer Schering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Pharma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AG, Berlin, Germany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5/6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Blinding: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Open-label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52 mg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levonorgestrel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released up to 20 µg per 24 hours inserted within 7 days of start of last menstrual period for 12 months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One tablet daily for 12 months of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containing 1 mg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norethindrone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acetate and 20 µg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ethinyl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estradiol for days 1-21 and placebo tablet for days 22-28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</w:t>
            </w:r>
          </w:p>
        </w:tc>
        <w:tc>
          <w:tcPr>
            <w:tcW w:w="2610" w:type="dxa"/>
            <w:shd w:val="clear" w:color="auto" w:fill="FFFFFF" w:themeFill="background1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≥30 years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Healthy </w:t>
            </w:r>
          </w:p>
          <w:p w:rsidR="0068123F" w:rsidRPr="00BD0191" w:rsidRDefault="0068123F" w:rsidP="0068123F">
            <w:pPr>
              <w:numPr>
                <w:ilvl w:val="0"/>
                <w:numId w:val="61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Diagnosis of idiopathic menorrhagia assessed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  ≥100 on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PBLAC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for two consecutive cycles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Normal or only slightly enlarged uterus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Contraindications for 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use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Metabolic and endocrine diseases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Diagnostically unclassified genital bleeding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History of liver or vascular disease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Concomitant use of medications that could influence study objective, including: sex steroids;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acid;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NSAIDs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; platelet aggregation inhibitors; anticoagulants; and drugs known to induce or inhibit liver enzymes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Intramural or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subserous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fibroids of mean diameter ≥4 cm or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submucous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fibroids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Adenomyosis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or endometrial abnormalities (e.g., polyps or hyperplasia)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Perimenopausal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since start of menorrhagia,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10.0 ± 8.23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6.1 ± 4.4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41.8 ± 4.3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42.4 ± 4.4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BMI, mean kg/m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 xml:space="preserve">2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± SD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24.3 ± 1.9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22.6 ± 2.3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Births, n (%)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0: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(15.0)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(15.8)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(30.0)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 (21.1)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 (30.0)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 (52.6)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≥3: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(25.0)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 (10.5)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891" w:type="dxa"/>
            <w:shd w:val="clear" w:color="auto" w:fill="FFFFFF" w:themeFill="background1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PBLAC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score, median: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290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Hemoglobin,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g/L: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125</w:t>
            </w:r>
          </w:p>
        </w:tc>
        <w:tc>
          <w:tcPr>
            <w:tcW w:w="2429" w:type="dxa"/>
            <w:shd w:val="clear" w:color="auto" w:fill="FFFFFF" w:themeFill="background1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PBLAC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 at 12 months, median: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72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PBLAC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 at 12 months, estimate for median difference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-62 (-89, -18)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PBLAC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score at 12 months, mean % change: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-83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-68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Treatment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success</w:t>
            </w:r>
            <w:proofErr w:type="gramStart"/>
            <w:r w:rsidRPr="00BD0191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proofErr w:type="gram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16/20 (80.0)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7/19 (36.8)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Hemoglobin at 12 months, mean g/L: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Hemoglobin at 12 months, baseline-adjusted mean g/L change: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+8.6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+9.6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p=0.711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>Hemoglobin, estimate for mean difference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-0.99 (-6.43, 4.45)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Menorrhagia severity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p=0.045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12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Menorrhagia severity score, estimated mean % difference at 6 months (95% CI):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-6.37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d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(-12.61,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-0.14)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Adverse events: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Discontinued study (reasons were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intermenstrual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bleeding, menstrual disorder, and headache), 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825" w:type="dxa"/>
            <w:shd w:val="clear" w:color="auto" w:fill="FFFFFF" w:themeFill="background1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</w:t>
      </w:r>
      <w:r w:rsidRPr="00BD0191">
        <w:rPr>
          <w:rFonts w:ascii="Times New Roman" w:hAnsi="Times New Roman"/>
          <w:bCs/>
          <w:sz w:val="18"/>
          <w:szCs w:val="24"/>
        </w:rPr>
        <w:t xml:space="preserve">: </w:t>
      </w:r>
      <w:proofErr w:type="gramStart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a </w:t>
      </w:r>
      <w:r w:rsidRPr="00BD0191">
        <w:rPr>
          <w:rFonts w:ascii="Times New Roman" w:hAnsi="Times New Roman"/>
          <w:bCs/>
          <w:sz w:val="18"/>
          <w:szCs w:val="24"/>
        </w:rPr>
        <w:t>Hemoglobin</w:t>
      </w:r>
      <w:proofErr w:type="gramEnd"/>
      <w:r w:rsidRPr="00BD0191">
        <w:rPr>
          <w:rFonts w:ascii="Times New Roman" w:hAnsi="Times New Roman"/>
          <w:bCs/>
          <w:sz w:val="18"/>
          <w:szCs w:val="24"/>
        </w:rPr>
        <w:t xml:space="preserve"> analyzed in the sub-population who had not used iron supplements during the study. Results were similar to whole study population (data not shown);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b</w:t>
      </w:r>
      <w:r w:rsidRPr="00BD0191">
        <w:rPr>
          <w:rFonts w:ascii="Times New Roman" w:hAnsi="Times New Roman"/>
          <w:bCs/>
          <w:sz w:val="18"/>
          <w:szCs w:val="24"/>
        </w:rPr>
        <w:t xml:space="preserve"> Treatment success defined as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MBL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score &lt; 100 at 12 months; treatment failure recorded if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MBL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score ≥ 100 or if treatment was discontinued; </w:t>
      </w:r>
      <w:proofErr w:type="gramStart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c  </w:t>
      </w:r>
      <w:r w:rsidRPr="00BD0191">
        <w:rPr>
          <w:rFonts w:ascii="Times New Roman" w:hAnsi="Times New Roman"/>
          <w:bCs/>
          <w:sz w:val="18"/>
          <w:szCs w:val="24"/>
        </w:rPr>
        <w:t>Assessed</w:t>
      </w:r>
      <w:proofErr w:type="gramEnd"/>
      <w:r w:rsidRPr="00BD0191">
        <w:rPr>
          <w:rFonts w:ascii="Times New Roman" w:hAnsi="Times New Roman"/>
          <w:bCs/>
          <w:sz w:val="18"/>
          <w:szCs w:val="24"/>
        </w:rPr>
        <w:t xml:space="preserve"> by condition specific questionnaire (see: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Ruta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et al.) but scores only displayed graphically;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d</w:t>
      </w:r>
      <w:r w:rsidRPr="00BD0191">
        <w:rPr>
          <w:rFonts w:ascii="Times New Roman" w:hAnsi="Times New Roman"/>
          <w:bCs/>
          <w:sz w:val="18"/>
          <w:szCs w:val="24"/>
        </w:rPr>
        <w:t xml:space="preserve"> Menorrhagia severity scores significantly lower (better quality of life) in G1 compared to G2 at 6 months.</w:t>
      </w:r>
    </w:p>
    <w:p w:rsidR="0068123F" w:rsidRDefault="0068123F" w:rsidP="00F6032B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F6032B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36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F5" w:rsidRDefault="00A309F5">
      <w:r>
        <w:separator/>
      </w:r>
    </w:p>
  </w:endnote>
  <w:endnote w:type="continuationSeparator" w:id="0">
    <w:p w:rsidR="00A309F5" w:rsidRDefault="00A309F5">
      <w:r>
        <w:continuationSeparator/>
      </w:r>
    </w:p>
  </w:endnote>
  <w:endnote w:type="continuationNotice" w:id="1">
    <w:p w:rsidR="00A309F5" w:rsidRDefault="00A30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591877">
          <w:rPr>
            <w:noProof/>
          </w:rPr>
          <w:t>37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F6032B">
          <w:rPr>
            <w:noProof/>
          </w:rPr>
          <w:t>4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F5" w:rsidRDefault="00A309F5">
      <w:r>
        <w:separator/>
      </w:r>
    </w:p>
  </w:footnote>
  <w:footnote w:type="continuationSeparator" w:id="0">
    <w:p w:rsidR="00A309F5" w:rsidRDefault="00A309F5">
      <w:r>
        <w:continuationSeparator/>
      </w:r>
    </w:p>
  </w:footnote>
  <w:footnote w:type="continuationNotice" w:id="1">
    <w:p w:rsidR="00A309F5" w:rsidRDefault="00A309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91877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09F5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7E1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6032B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2067-2623-4C75-BC0B-A2B191D3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3937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2013-04-16T09:06:00Z</dcterms:modified>
</cp:coreProperties>
</file>