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H-3b. Nutrition observational studies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4A0"/>
      </w:tblPr>
      <w:tblGrid>
        <w:gridCol w:w="1334"/>
        <w:gridCol w:w="1246"/>
        <w:gridCol w:w="1435"/>
        <w:gridCol w:w="1199"/>
        <w:gridCol w:w="1324"/>
        <w:gridCol w:w="1028"/>
        <w:gridCol w:w="862"/>
        <w:gridCol w:w="1170"/>
        <w:gridCol w:w="1080"/>
        <w:gridCol w:w="1080"/>
        <w:gridCol w:w="900"/>
        <w:gridCol w:w="900"/>
        <w:gridCol w:w="958"/>
      </w:tblGrid>
      <w:tr w:rsidR="00E47CF5" w:rsidRPr="00153F4D" w:rsidTr="00E47CF5">
        <w:trPr>
          <w:cantSplit/>
          <w:tblHeader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Confounders assessed in analysis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Number Screened/ Eligible/ Enrolled/ Analyzed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Sex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Race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Ulcer Type/ Severity at Baseline (Intervention Onset)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Treatment A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Followup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</w:t>
            </w:r>
          </w:p>
        </w:tc>
      </w:tr>
      <w:tr w:rsidR="00E47CF5" w:rsidRPr="00153F4D" w:rsidTr="00E47CF5">
        <w:trPr>
          <w:cantSplit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Barnes,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38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Hypertension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Cardiovascular disease </w:t>
            </w:r>
            <w:r w:rsidRPr="00153F4D">
              <w:rPr>
                <w:rFonts w:cs="Arial"/>
                <w:sz w:val="16"/>
                <w:szCs w:val="16"/>
              </w:rPr>
              <w:br/>
              <w:t>Paraplegia/ quadriplegia</w:t>
            </w:r>
            <w:r w:rsidRPr="00153F4D">
              <w:rPr>
                <w:rFonts w:cs="Arial"/>
                <w:sz w:val="16"/>
                <w:szCs w:val="16"/>
              </w:rPr>
              <w:br/>
              <w:t>organic brain syndrome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III-IV PU; chronically malnourished patients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Extremity decubital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NR/28/28/28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Age (Mean): NR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Race:</w:t>
            </w:r>
            <w:r w:rsidRPr="00153F4D">
              <w:rPr>
                <w:rFonts w:cs="Arial"/>
                <w:sz w:val="16"/>
                <w:szCs w:val="16"/>
              </w:rPr>
              <w:t xml:space="preserve"> NR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Stages III and IV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Prealbumin levels of 18.0 to 45.0 mg/dL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≥30 days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  <w:tr w:rsidR="00E47CF5" w:rsidRPr="00153F4D" w:rsidTr="00E47CF5">
        <w:trPr>
          <w:cantSplit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Breslow,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39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Observational: non-randomized trial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Malnourished; dementia; cerebrovascular accident; anozic encephalopathy; spinal cord injury; Parkinson's disease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NPUAP Stage III-IV PU;</w:t>
            </w:r>
            <w:r w:rsidRPr="00153F4D">
              <w:rPr>
                <w:rFonts w:cs="Arial"/>
                <w:sz w:val="16"/>
                <w:szCs w:val="16"/>
              </w:rPr>
              <w:br/>
              <w:t>malnourished;</w:t>
            </w:r>
            <w:r w:rsidRPr="00153F4D">
              <w:rPr>
                <w:rFonts w:cs="Arial"/>
                <w:sz w:val="16"/>
                <w:szCs w:val="16"/>
              </w:rPr>
              <w:br/>
              <w:t>nutritional risk</w:t>
            </w:r>
            <w:r w:rsidRPr="00153F4D">
              <w:rPr>
                <w:rFonts w:cs="Arial"/>
                <w:sz w:val="16"/>
                <w:szCs w:val="16"/>
              </w:rPr>
              <w:br/>
              <w:t>(Article reports Shea stage II-IV PU criteria)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Insulin dependent diabetes,</w:t>
            </w:r>
            <w:r w:rsidRPr="00153F4D">
              <w:rPr>
                <w:rFonts w:cs="Arial"/>
                <w:sz w:val="16"/>
                <w:szCs w:val="16"/>
              </w:rPr>
              <w:br/>
              <w:t>renal failure,</w:t>
            </w:r>
            <w:r w:rsidRPr="00153F4D">
              <w:rPr>
                <w:rFonts w:cs="Arial"/>
                <w:sz w:val="16"/>
                <w:szCs w:val="16"/>
              </w:rPr>
              <w:br/>
              <w:t>liver dysfunction,</w:t>
            </w:r>
            <w:r w:rsidRPr="00153F4D">
              <w:rPr>
                <w:rFonts w:cs="Arial"/>
                <w:sz w:val="16"/>
                <w:szCs w:val="16"/>
              </w:rPr>
              <w:br/>
              <w:t>hematocrit &lt;25%,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chronic use of steroids; </w:t>
            </w:r>
            <w:r w:rsidRPr="00153F4D">
              <w:rPr>
                <w:rFonts w:cs="Arial"/>
                <w:sz w:val="16"/>
                <w:szCs w:val="16"/>
              </w:rPr>
              <w:br/>
              <w:t>cancer;</w:t>
            </w:r>
            <w:r w:rsidRPr="00153F4D">
              <w:rPr>
                <w:rFonts w:cs="Arial"/>
                <w:sz w:val="16"/>
                <w:szCs w:val="16"/>
              </w:rPr>
              <w:br/>
              <w:t>significant gastrointestinal dysfunction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NR/48/48/28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Age (Mean):</w:t>
            </w:r>
            <w:r w:rsidRPr="00153F4D">
              <w:rPr>
                <w:rFonts w:cs="Arial"/>
                <w:sz w:val="16"/>
                <w:szCs w:val="16"/>
              </w:rPr>
              <w:t xml:space="preserve"> 72 years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Female: 58% Race: NR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Total PU n=33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n=13</w:t>
            </w:r>
            <w:r w:rsidRPr="00153F4D">
              <w:rPr>
                <w:rFonts w:cs="Arial"/>
                <w:sz w:val="16"/>
                <w:szCs w:val="16"/>
              </w:rPr>
              <w:br/>
              <w:t>38% stage III</w:t>
            </w:r>
            <w:r w:rsidRPr="00153F4D">
              <w:rPr>
                <w:rFonts w:cs="Arial"/>
                <w:sz w:val="16"/>
                <w:szCs w:val="16"/>
              </w:rPr>
              <w:br/>
              <w:t>62% stage IV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</w:t>
            </w:r>
            <w:r w:rsidRPr="00153F4D">
              <w:rPr>
                <w:rFonts w:cs="Arial"/>
                <w:sz w:val="16"/>
                <w:szCs w:val="16"/>
              </w:rPr>
              <w:br/>
              <w:t>n=15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47% stage III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53% stage IV 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14% of total calories as protein (brand name Ensure, 1000 calories and 37 g protein/L) tube fed or as meal supplements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24% of total calories as protein (brand name Sustacal, 1060 calories and 61g protein/L) tube fed or as meal supplements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8 weeks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Nursing home/long-term care facility</w:t>
            </w:r>
          </w:p>
        </w:tc>
      </w:tr>
      <w:tr w:rsidR="00E47CF5" w:rsidRPr="00153F4D" w:rsidTr="00E47CF5">
        <w:trPr>
          <w:cantSplit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Brewer,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40</w:t>
            </w:r>
            <w:r w:rsidRPr="00153F4D">
              <w:rPr>
                <w:rFonts w:cs="Arial"/>
                <w:sz w:val="16"/>
                <w:szCs w:val="16"/>
              </w:rPr>
              <w:br/>
              <w:t>Australia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Observational: prospective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spacing w:after="24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Spinal cord injury</w:t>
            </w:r>
            <w:r w:rsidRPr="00153F4D">
              <w:rPr>
                <w:rFonts w:cs="Arial"/>
                <w:sz w:val="16"/>
                <w:szCs w:val="16"/>
              </w:rPr>
              <w:br/>
              <w:t>Paraplegic</w:t>
            </w:r>
            <w:r w:rsidRPr="00153F4D">
              <w:rPr>
                <w:rFonts w:cs="Arial"/>
                <w:sz w:val="16"/>
                <w:szCs w:val="16"/>
              </w:rPr>
              <w:br/>
              <w:t>Quadriplegic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Spinal cord injury, 18+ years of age, residing in Melbourne metropolitan area and category II, III or IV PU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Phenylketonuria, Sepsis, Chronic renal failure, metabolic disease, diabetic foot ulcers and clinical suspicion of osteomyelitis, receiving hydroxyurea or greater than 10 mg prednisolone or 1.5 mg dexamethasone/ day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68/35/35/35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ind w:firstLine="360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Age (Mean): 51 years, </w:t>
            </w:r>
            <w:r w:rsidRPr="00153F4D">
              <w:rPr>
                <w:rFonts w:cs="Arial"/>
                <w:sz w:val="16"/>
                <w:szCs w:val="16"/>
              </w:rPr>
              <w:br/>
              <w:t>Female: 3%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</w:t>
            </w:r>
            <w:r w:rsidRPr="00153F4D">
              <w:rPr>
                <w:rFonts w:cs="Arial"/>
                <w:sz w:val="16"/>
                <w:szCs w:val="16"/>
              </w:rPr>
              <w:br/>
              <w:t>PU n=30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PU n=26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Two sachets of commercially available argine-containing powder per day until full wound healing had been confirmed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Participants were compared to a historical comparator group.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10 months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Community</w:t>
            </w:r>
          </w:p>
        </w:tc>
      </w:tr>
    </w:tbl>
    <w:p w:rsidR="00E47CF5" w:rsidRPr="00153F4D" w:rsidRDefault="00E47CF5" w:rsidP="00E47CF5"/>
    <w:tbl>
      <w:tblPr>
        <w:tblW w:w="5000" w:type="pct"/>
        <w:tblLayout w:type="fixed"/>
        <w:tblCellMar>
          <w:left w:w="58" w:type="dxa"/>
          <w:right w:w="58" w:type="dxa"/>
        </w:tblCellMar>
        <w:tblLook w:val="04A0"/>
      </w:tblPr>
      <w:tblGrid>
        <w:gridCol w:w="1334"/>
        <w:gridCol w:w="1154"/>
        <w:gridCol w:w="1527"/>
        <w:gridCol w:w="1623"/>
        <w:gridCol w:w="900"/>
        <w:gridCol w:w="1028"/>
        <w:gridCol w:w="862"/>
        <w:gridCol w:w="1170"/>
        <w:gridCol w:w="1080"/>
        <w:gridCol w:w="1080"/>
        <w:gridCol w:w="900"/>
        <w:gridCol w:w="900"/>
        <w:gridCol w:w="958"/>
      </w:tblGrid>
      <w:tr w:rsidR="00E47CF5" w:rsidRPr="00153F4D" w:rsidTr="00E47CF5">
        <w:trPr>
          <w:cantSplit/>
          <w:tblHeader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pStyle w:val="Level2Heading"/>
              <w:spacing w:before="0" w:after="0"/>
              <w:rPr>
                <w:sz w:val="16"/>
                <w:szCs w:val="16"/>
              </w:rPr>
            </w:pPr>
            <w:r w:rsidRPr="00153F4D">
              <w:rPr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sz w:val="16"/>
                <w:szCs w:val="16"/>
              </w:rPr>
              <w:t>H-</w:t>
            </w:r>
            <w:r w:rsidRPr="00153F4D">
              <w:rPr>
                <w:sz w:val="16"/>
                <w:szCs w:val="16"/>
              </w:rPr>
              <w:t>3b: Nutrition Observational Studies, continued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Confounders assessed in analysis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Number Screened/ Eligible/ Enrolled/ Analyzed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Sex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Race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Ulcer Type/ Severity at Baseline (Intervention Onset)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Treatment A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Followup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</w:t>
            </w:r>
          </w:p>
        </w:tc>
      </w:tr>
      <w:tr w:rsidR="00E47CF5" w:rsidRPr="00153F4D" w:rsidTr="00E47CF5">
        <w:trPr>
          <w:cantSplit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Houston,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41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Older population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Older; institutionalized; under current PU treatment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NR/NR/70/68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Cs/>
                <w:sz w:val="16"/>
                <w:szCs w:val="16"/>
              </w:rPr>
              <w:t>Age (Mean): NR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bCs/>
                <w:sz w:val="16"/>
                <w:szCs w:val="16"/>
              </w:rPr>
              <w:br/>
              <w:t>Race:</w:t>
            </w:r>
            <w:r w:rsidRPr="00153F4D">
              <w:rPr>
                <w:rFonts w:cs="Arial"/>
                <w:sz w:val="16"/>
                <w:szCs w:val="16"/>
              </w:rPr>
              <w:t xml:space="preserve"> NR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</w:t>
            </w:r>
            <w:r w:rsidRPr="00153F4D">
              <w:rPr>
                <w:rFonts w:cs="Arial"/>
                <w:sz w:val="16"/>
                <w:szCs w:val="16"/>
              </w:rPr>
              <w:br/>
              <w:t>84% stage II</w:t>
            </w:r>
            <w:r w:rsidRPr="00153F4D">
              <w:rPr>
                <w:rFonts w:cs="Arial"/>
                <w:sz w:val="16"/>
                <w:szCs w:val="16"/>
              </w:rPr>
              <w:br/>
              <w:t>16% stage III-IV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</w:t>
            </w:r>
            <w:r w:rsidRPr="00153F4D">
              <w:rPr>
                <w:rFonts w:cs="Arial"/>
                <w:sz w:val="16"/>
                <w:szCs w:val="16"/>
              </w:rPr>
              <w:br/>
              <w:t>91% stage II</w:t>
            </w:r>
            <w:r w:rsidRPr="00153F4D">
              <w:rPr>
                <w:rFonts w:cs="Arial"/>
                <w:sz w:val="16"/>
                <w:szCs w:val="16"/>
              </w:rPr>
              <w:br/>
              <w:t>9% stage III-IV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Zinc sulfate (440mg/d, similar to 100mg elemental zinc/day)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Similar care, no oral supplements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30 days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Nursing home/long-term-care facility</w:t>
            </w:r>
          </w:p>
        </w:tc>
      </w:tr>
      <w:tr w:rsidR="00E47CF5" w:rsidRPr="00153F4D" w:rsidTr="00E47CF5">
        <w:trPr>
          <w:cantSplit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Yamamoto,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42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Observational: retrospective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Malignant neoplasm</w:t>
            </w:r>
            <w:r w:rsidRPr="00153F4D">
              <w:rPr>
                <w:rFonts w:cs="Arial"/>
                <w:sz w:val="16"/>
                <w:szCs w:val="16"/>
              </w:rPr>
              <w:br/>
              <w:t>Cerebral disease</w:t>
            </w:r>
            <w:r w:rsidRPr="00153F4D">
              <w:rPr>
                <w:rFonts w:cs="Arial"/>
                <w:sz w:val="16"/>
                <w:szCs w:val="16"/>
              </w:rPr>
              <w:br/>
              <w:t>Orthopedic disease</w:t>
            </w:r>
            <w:r w:rsidRPr="00153F4D">
              <w:rPr>
                <w:rFonts w:cs="Arial"/>
                <w:sz w:val="16"/>
                <w:szCs w:val="16"/>
              </w:rPr>
              <w:br/>
              <w:t>Cardiovascular disease</w:t>
            </w:r>
            <w:r w:rsidRPr="00153F4D">
              <w:rPr>
                <w:rFonts w:cs="Arial"/>
                <w:sz w:val="16"/>
                <w:szCs w:val="16"/>
              </w:rPr>
              <w:br/>
              <w:t>Gastrointestinal disease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Renal disease </w:t>
            </w:r>
            <w:r w:rsidRPr="00153F4D">
              <w:rPr>
                <w:rFonts w:cs="Arial"/>
                <w:sz w:val="16"/>
                <w:szCs w:val="16"/>
              </w:rPr>
              <w:br/>
              <w:t>Respiratory disease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Medical Center patients with either improved or worsened PU wounds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Discharged prior to PU healing or died within 1 month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NR/40/40/40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 69 years</w:t>
            </w:r>
            <w:r w:rsidRPr="00153F4D">
              <w:rPr>
                <w:rFonts w:cs="Arial"/>
                <w:sz w:val="16"/>
                <w:szCs w:val="16"/>
              </w:rPr>
              <w:br/>
              <w:t>Female: NR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38% stage I </w:t>
            </w:r>
            <w:r w:rsidRPr="00153F4D">
              <w:rPr>
                <w:rFonts w:cs="Arial"/>
                <w:sz w:val="16"/>
                <w:szCs w:val="16"/>
              </w:rPr>
              <w:br/>
              <w:t>62% stage II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B: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26% stage I </w:t>
            </w:r>
            <w:r w:rsidRPr="00153F4D">
              <w:rPr>
                <w:rFonts w:cs="Arial"/>
                <w:sz w:val="16"/>
                <w:szCs w:val="16"/>
              </w:rPr>
              <w:br/>
              <w:t>74% stage II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More than 30k cal/kg per day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Less than 20 kcal/kg per day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6 weeks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</w:tbl>
    <w:p w:rsidR="00E47CF5" w:rsidRPr="00153F4D" w:rsidRDefault="00E47CF5" w:rsidP="00E47CF5">
      <w:pPr>
        <w:rPr>
          <w:b/>
          <w:sz w:val="28"/>
          <w:szCs w:val="28"/>
        </w:rPr>
      </w:pPr>
    </w:p>
    <w:p w:rsidR="00E47CF5" w:rsidRPr="00153F4D" w:rsidRDefault="00E47CF5" w:rsidP="00E47CF5">
      <w:r w:rsidRPr="00153F4D">
        <w:br w:type="page"/>
      </w:r>
    </w:p>
    <w:tbl>
      <w:tblPr>
        <w:tblW w:w="5000" w:type="pct"/>
        <w:tblLook w:val="04A0"/>
      </w:tblPr>
      <w:tblGrid>
        <w:gridCol w:w="2329"/>
        <w:gridCol w:w="1602"/>
        <w:gridCol w:w="1453"/>
        <w:gridCol w:w="1839"/>
        <w:gridCol w:w="1503"/>
        <w:gridCol w:w="1418"/>
        <w:gridCol w:w="1400"/>
        <w:gridCol w:w="1248"/>
        <w:gridCol w:w="1824"/>
      </w:tblGrid>
      <w:tr w:rsidR="00E47CF5" w:rsidRPr="00153F4D" w:rsidTr="00E47CF5">
        <w:trPr>
          <w:cantSplit/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b/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b/>
                <w:sz w:val="16"/>
                <w:szCs w:val="16"/>
              </w:rPr>
              <w:t>H-</w:t>
            </w:r>
            <w:r w:rsidRPr="00153F4D">
              <w:rPr>
                <w:b/>
                <w:sz w:val="16"/>
                <w:szCs w:val="16"/>
              </w:rPr>
              <w:t>3b: Nutrition Observational Studies, continued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Complete Wound Healing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Wound Surface Area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Healing Time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Infection Rate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Osteomyelitis Rate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Recurrence Rate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Pain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Outcomes: Specify</w:t>
            </w:r>
          </w:p>
        </w:tc>
      </w:tr>
      <w:tr w:rsidR="00E47CF5" w:rsidRPr="00153F4D" w:rsidTr="00E47CF5">
        <w:trPr>
          <w:cantSplit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Barnes,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38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Mean improvement of 0.82 cc reduction of wound volume per day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Breslow,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39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</w:t>
            </w:r>
            <w:r w:rsidRPr="00153F4D">
              <w:rPr>
                <w:rFonts w:cs="Arial"/>
                <w:sz w:val="16"/>
                <w:szCs w:val="16"/>
              </w:rPr>
              <w:br/>
              <w:t>-2.1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change from baseline to final </w:t>
            </w:r>
            <w:r w:rsidRPr="00153F4D">
              <w:rPr>
                <w:rFonts w:cs="Arial"/>
                <w:sz w:val="16"/>
                <w:szCs w:val="16"/>
              </w:rPr>
              <w:br/>
              <w:t>15% improvement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B-4.2cm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 xml:space="preserve">2 </w:t>
            </w:r>
            <w:r w:rsidRPr="00153F4D">
              <w:rPr>
                <w:rFonts w:cs="Arial"/>
                <w:sz w:val="16"/>
                <w:szCs w:val="16"/>
              </w:rPr>
              <w:t xml:space="preserve">change from baseline to final </w:t>
            </w:r>
            <w:r w:rsidRPr="00153F4D">
              <w:rPr>
                <w:rFonts w:cs="Arial"/>
                <w:sz w:val="16"/>
                <w:szCs w:val="16"/>
              </w:rPr>
              <w:br/>
              <w:t>(p&lt;0.02)</w:t>
            </w:r>
            <w:r w:rsidRPr="00153F4D">
              <w:rPr>
                <w:rFonts w:cs="Arial"/>
                <w:sz w:val="16"/>
                <w:szCs w:val="16"/>
              </w:rPr>
              <w:br/>
              <w:t>15% improvement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</w:t>
            </w:r>
            <w:r w:rsidRPr="00153F4D">
              <w:rPr>
                <w:rFonts w:cs="Arial"/>
                <w:sz w:val="16"/>
                <w:szCs w:val="16"/>
              </w:rPr>
              <w:br/>
              <w:t>PU decreased by 2.1cm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in 8 weeks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Treatment B</w:t>
            </w:r>
            <w:r w:rsidRPr="00153F4D">
              <w:rPr>
                <w:rFonts w:cs="Arial"/>
                <w:sz w:val="16"/>
                <w:szCs w:val="16"/>
              </w:rPr>
              <w:br/>
              <w:t>PU decreased by 4.2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in 8 weeks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Brewer,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40</w:t>
            </w:r>
            <w:r w:rsidRPr="00153F4D">
              <w:rPr>
                <w:rFonts w:cs="Arial"/>
                <w:sz w:val="16"/>
                <w:szCs w:val="16"/>
              </w:rPr>
              <w:br/>
              <w:t>Australia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100% (n=30)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100% (n=26)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11 weeks, mean healing time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21 weeks mean healing time</w:t>
            </w:r>
            <w:r w:rsidRPr="00153F4D">
              <w:rPr>
                <w:rFonts w:cs="Arial"/>
                <w:sz w:val="16"/>
                <w:szCs w:val="16"/>
              </w:rPr>
              <w:br/>
              <w:t>p=0.006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Houston,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41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Improvement in volume of PU stages III or IV of intervention patients but not in stage II PU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Yamamoto,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42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53% (n=21) of patients healed or improved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52% (n=21) of patients healed or improved in 6 weeks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rPr>
          <w:b/>
          <w:sz w:val="28"/>
          <w:szCs w:val="28"/>
        </w:rPr>
      </w:pPr>
      <w:r w:rsidRPr="00153F4D">
        <w:rPr>
          <w:b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1657"/>
        <w:gridCol w:w="1745"/>
        <w:gridCol w:w="1465"/>
        <w:gridCol w:w="1371"/>
        <w:gridCol w:w="1371"/>
        <w:gridCol w:w="1371"/>
        <w:gridCol w:w="1535"/>
        <w:gridCol w:w="1371"/>
        <w:gridCol w:w="1371"/>
        <w:gridCol w:w="1359"/>
      </w:tblGrid>
      <w:tr w:rsidR="00E47CF5" w:rsidRPr="00153F4D" w:rsidTr="00E47CF5">
        <w:trPr>
          <w:cantSplit/>
          <w:tblHeader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b/>
                <w:sz w:val="16"/>
                <w:szCs w:val="16"/>
              </w:rPr>
              <w:lastRenderedPageBreak/>
              <w:t xml:space="preserve">Evidence Table </w:t>
            </w:r>
            <w:r w:rsidR="005E0DF2">
              <w:rPr>
                <w:b/>
                <w:sz w:val="16"/>
                <w:szCs w:val="16"/>
              </w:rPr>
              <w:br/>
              <w:t>H-</w:t>
            </w:r>
            <w:r w:rsidRPr="00153F4D">
              <w:rPr>
                <w:b/>
                <w:sz w:val="16"/>
                <w:szCs w:val="16"/>
              </w:rPr>
              <w:t>3b: Nutrition Observational Studies, continued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Harms: Pain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Dermatologic Complications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Bleeding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Infection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Harms: Specify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Serve Adverse Events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Withdrawal due to Adverse Events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Adverse Events Rate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Barnes, 2007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38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Breslow,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39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Mean Johnson Nutritional Group, Francis Scott Key Medical Center General Clinical Research Center, Johns Hopkins Academic Teaching Nursing Home Award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Brewer,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40</w:t>
            </w:r>
            <w:r w:rsidRPr="00153F4D">
              <w:rPr>
                <w:rFonts w:cs="Arial"/>
                <w:sz w:val="16"/>
                <w:szCs w:val="16"/>
              </w:rPr>
              <w:br/>
              <w:t>Australia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The Eirene Lucas Foundation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rHeight w:val="116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Houston,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41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Infection requiring antibiotics: Treatment A 28% (n=7)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 5% (n=2)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Nausea/vomiting Treatment A: 20% (n=5)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  <w:r w:rsidRPr="00153F4D">
              <w:rPr>
                <w:rFonts w:cs="Arial"/>
                <w:sz w:val="16"/>
                <w:szCs w:val="16"/>
              </w:rPr>
              <w:br/>
              <w:t>2% (n=1)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22% (n=15)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Yamamoto,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42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rPr>
          <w:b/>
          <w:bCs/>
          <w:sz w:val="28"/>
          <w:szCs w:val="28"/>
        </w:rPr>
      </w:pPr>
    </w:p>
    <w:sectPr w:rsidR="00E47CF5" w:rsidRPr="00153F4D" w:rsidSect="00C503B2">
      <w:footerReference w:type="default" r:id="rId8"/>
      <w:pgSz w:w="15840" w:h="12240" w:orient="landscape" w:code="1"/>
      <w:pgMar w:top="1440" w:right="720" w:bottom="1440" w:left="72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B9" w:rsidRDefault="008E7EB9">
      <w:r>
        <w:separator/>
      </w:r>
    </w:p>
  </w:endnote>
  <w:endnote w:type="continuationSeparator" w:id="0">
    <w:p w:rsidR="008E7EB9" w:rsidRDefault="008E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C503B2">
            <w:rPr>
              <w:noProof/>
            </w:rPr>
            <w:t>43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B9" w:rsidRDefault="008E7EB9">
      <w:r>
        <w:separator/>
      </w:r>
    </w:p>
  </w:footnote>
  <w:footnote w:type="continuationSeparator" w:id="0">
    <w:p w:rsidR="008E7EB9" w:rsidRDefault="008E7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15F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E7EB9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52A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3B2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359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4E2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4D6B5-F3C3-46F0-B328-6D8E033D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5681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2013-06-08T05:27:00Z</dcterms:created>
  <dcterms:modified xsi:type="dcterms:W3CDTF">2013-06-08T06:44:00Z</dcterms:modified>
</cp:coreProperties>
</file>