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D" w:rsidRPr="00C36A77" w:rsidRDefault="001D723D" w:rsidP="001D723D">
      <w:pPr>
        <w:pStyle w:val="CERTableTitle"/>
        <w:rPr>
          <w:rFonts w:cs="Arial"/>
        </w:rPr>
      </w:pPr>
      <w:bookmarkStart w:id="0" w:name="_Toc273086684"/>
      <w:bookmarkStart w:id="1" w:name="_Toc330223639"/>
      <w:r>
        <w:t>Table 7. Intermediate health outcomes (1)</w:t>
      </w:r>
      <w:bookmarkEnd w:id="1"/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A0"/>
      </w:tblPr>
      <w:tblGrid>
        <w:gridCol w:w="1163"/>
        <w:gridCol w:w="1379"/>
        <w:gridCol w:w="1036"/>
        <w:gridCol w:w="1547"/>
        <w:gridCol w:w="2274"/>
        <w:gridCol w:w="2248"/>
        <w:gridCol w:w="1352"/>
        <w:gridCol w:w="1439"/>
        <w:gridCol w:w="738"/>
      </w:tblGrid>
      <w:tr w:rsidR="001D723D" w:rsidRPr="00B1503A" w:rsidTr="00FF7EC5">
        <w:trPr>
          <w:cantSplit/>
          <w:tblHeader/>
        </w:trPr>
        <w:tc>
          <w:tcPr>
            <w:tcW w:w="441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Study, year</w:t>
            </w:r>
          </w:p>
        </w:tc>
        <w:tc>
          <w:tcPr>
            <w:tcW w:w="523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Study group</w:t>
            </w:r>
          </w:p>
        </w:tc>
        <w:tc>
          <w:tcPr>
            <w:tcW w:w="393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Followup</w:t>
            </w:r>
          </w:p>
        </w:tc>
        <w:tc>
          <w:tcPr>
            <w:tcW w:w="587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BSA</w:t>
            </w:r>
          </w:p>
          <w:p w:rsidR="001D723D" w:rsidRDefault="001D723D" w:rsidP="00FF7EC5">
            <w:pPr>
              <w:pStyle w:val="TableBoldText"/>
            </w:pPr>
            <w:r>
              <w:t>mean(SD)</w:t>
            </w:r>
          </w:p>
        </w:tc>
        <w:tc>
          <w:tcPr>
            <w:tcW w:w="863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 xml:space="preserve">PGA* </w:t>
            </w:r>
          </w:p>
          <w:p w:rsidR="001D723D" w:rsidRDefault="001D723D" w:rsidP="00FF7EC5">
            <w:pPr>
              <w:pStyle w:val="TableBoldText"/>
            </w:pPr>
            <w:r>
              <w:t>n/N</w:t>
            </w:r>
          </w:p>
        </w:tc>
        <w:tc>
          <w:tcPr>
            <w:tcW w:w="853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Patient’s Assessment of Global Improvement mean(SD)</w:t>
            </w:r>
          </w:p>
        </w:tc>
        <w:tc>
          <w:tcPr>
            <w:tcW w:w="513" w:type="pct"/>
            <w:vAlign w:val="center"/>
          </w:tcPr>
          <w:p w:rsidR="001D723D" w:rsidRDefault="001D723D" w:rsidP="00FF7EC5">
            <w:pPr>
              <w:pStyle w:val="TableBoldText"/>
            </w:pPr>
            <w:r>
              <w:t>Symptom improvement</w:t>
            </w:r>
          </w:p>
        </w:tc>
        <w:tc>
          <w:tcPr>
            <w:tcW w:w="546" w:type="pct"/>
          </w:tcPr>
          <w:p w:rsidR="001D723D" w:rsidRDefault="001D723D" w:rsidP="00FF7EC5">
            <w:pPr>
              <w:pStyle w:val="TableBoldText"/>
            </w:pPr>
          </w:p>
        </w:tc>
        <w:tc>
          <w:tcPr>
            <w:tcW w:w="280" w:type="pct"/>
          </w:tcPr>
          <w:p w:rsidR="001D723D" w:rsidRDefault="001D723D" w:rsidP="00FF7EC5">
            <w:pPr>
              <w:pStyle w:val="TableBoldText"/>
            </w:pPr>
          </w:p>
        </w:tc>
      </w:tr>
      <w:tr w:rsidR="001D723D" w:rsidRPr="00D36431" w:rsidTr="00FF7EC5">
        <w:trPr>
          <w:cantSplit/>
          <w:tblHeader/>
        </w:trPr>
        <w:tc>
          <w:tcPr>
            <w:tcW w:w="441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523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393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587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863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853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</w:p>
        </w:tc>
        <w:tc>
          <w:tcPr>
            <w:tcW w:w="513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  <w:r>
              <w:rPr>
                <w:b w:val="0"/>
              </w:rPr>
              <w:t>Pruritus</w:t>
            </w:r>
          </w:p>
        </w:tc>
        <w:tc>
          <w:tcPr>
            <w:tcW w:w="546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  <w:r>
              <w:rPr>
                <w:b w:val="0"/>
              </w:rPr>
              <w:t>Pain</w:t>
            </w:r>
          </w:p>
        </w:tc>
        <w:tc>
          <w:tcPr>
            <w:tcW w:w="280" w:type="pct"/>
            <w:tcBorders>
              <w:bottom w:val="single" w:sz="8" w:space="0" w:color="auto"/>
            </w:tcBorders>
            <w:vAlign w:val="center"/>
          </w:tcPr>
          <w:p w:rsidR="001D723D" w:rsidRPr="00D36431" w:rsidRDefault="001D723D" w:rsidP="00FF7EC5">
            <w:pPr>
              <w:pStyle w:val="TableBoldText"/>
              <w:rPr>
                <w:b w:val="0"/>
              </w:rPr>
            </w:pPr>
            <w:r w:rsidRPr="00D36431">
              <w:rPr>
                <w:b w:val="0"/>
              </w:rPr>
              <w:t>Other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CT5, 2012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-2.64(6.69)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-7.36(10.89)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-12.67(13.17)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-15.43(14.90)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-16.57(14.70)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-17.52(14.91)</w:t>
            </w:r>
            <w:r w:rsidRPr="00C36A77">
              <w:t>†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0/21</w:t>
            </w:r>
          </w:p>
          <w:p w:rsidR="001D723D" w:rsidRDefault="001D723D" w:rsidP="00FF7EC5">
            <w:pPr>
              <w:pStyle w:val="TableText"/>
            </w:pPr>
            <w:r>
              <w:t>4/21</w:t>
            </w:r>
          </w:p>
          <w:p w:rsidR="001D723D" w:rsidRDefault="001D723D" w:rsidP="00FF7EC5">
            <w:pPr>
              <w:pStyle w:val="TableText"/>
            </w:pPr>
            <w:r>
              <w:t>6/21</w:t>
            </w:r>
          </w:p>
          <w:p w:rsidR="001D723D" w:rsidRDefault="001D723D" w:rsidP="00FF7EC5">
            <w:pPr>
              <w:pStyle w:val="TableText"/>
            </w:pPr>
            <w:r>
              <w:t>9/21</w:t>
            </w:r>
          </w:p>
          <w:p w:rsidR="001D723D" w:rsidRDefault="001D723D" w:rsidP="00FF7EC5">
            <w:pPr>
              <w:pStyle w:val="TableText"/>
            </w:pPr>
            <w:r>
              <w:t>7/21</w:t>
            </w:r>
          </w:p>
          <w:p w:rsidR="001D723D" w:rsidRDefault="001D723D" w:rsidP="00FF7EC5">
            <w:pPr>
              <w:pStyle w:val="TableText"/>
            </w:pPr>
            <w:r>
              <w:t>11/21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-0.90(1.58)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-1.86(1.28)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-2.29(1.79)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-2.67(1.56)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-2.57(1.99)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-1.81(2.20)</w:t>
            </w:r>
            <w:r w:rsidRPr="00C36A77">
              <w:t>‡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-0.67(1.59)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-1.52(1.33)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-1.86(2.06)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-2.10(2.07)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-1.81(2.06)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-1.19(2.23)</w:t>
            </w:r>
            <w:r w:rsidRPr="00C36A77">
              <w:t>§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0.00(0.71)||</w:t>
            </w:r>
          </w:p>
          <w:p w:rsidR="001D723D" w:rsidRDefault="001D723D" w:rsidP="00FF7EC5">
            <w:pPr>
              <w:pStyle w:val="TableText"/>
            </w:pPr>
            <w:r>
              <w:t>0.29(1.19)||</w:t>
            </w:r>
          </w:p>
          <w:p w:rsidR="001D723D" w:rsidRDefault="001D723D" w:rsidP="00FF7EC5">
            <w:pPr>
              <w:pStyle w:val="TableText"/>
            </w:pPr>
            <w:r>
              <w:t>0.19(0.81)||</w:t>
            </w:r>
          </w:p>
          <w:p w:rsidR="001D723D" w:rsidRDefault="001D723D" w:rsidP="00FF7EC5">
            <w:pPr>
              <w:pStyle w:val="TableText"/>
            </w:pPr>
            <w:r>
              <w:t>0.00(0.63)||</w:t>
            </w:r>
          </w:p>
          <w:p w:rsidR="001D723D" w:rsidRDefault="001D723D" w:rsidP="00FF7EC5">
            <w:pPr>
              <w:pStyle w:val="TableText"/>
            </w:pPr>
            <w:r>
              <w:t>-0.05(0.67)||</w:t>
            </w:r>
          </w:p>
          <w:p w:rsidR="001D723D" w:rsidRDefault="001D723D" w:rsidP="00FF7EC5">
            <w:pPr>
              <w:pStyle w:val="TableText"/>
            </w:pPr>
            <w:r>
              <w:t>0.29(1.06)||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9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58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-0.36(5.54)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-0.75(7.66)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-5.14(16.96)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-5.08(11.89)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-9.25(16.72)</w:t>
            </w:r>
            <w:r w:rsidRPr="00C36A77">
              <w:t>†</w:t>
            </w:r>
          </w:p>
          <w:p w:rsidR="001D723D" w:rsidRDefault="001D723D" w:rsidP="00FF7EC5">
            <w:pPr>
              <w:pStyle w:val="TableText"/>
            </w:pPr>
            <w:r>
              <w:t>-10.30(18.86)</w:t>
            </w:r>
            <w:r w:rsidRPr="00C36A77">
              <w:t>†</w:t>
            </w:r>
          </w:p>
        </w:tc>
        <w:tc>
          <w:tcPr>
            <w:tcW w:w="86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1/18</w:t>
            </w:r>
          </w:p>
          <w:p w:rsidR="001D723D" w:rsidRDefault="001D723D" w:rsidP="00FF7EC5">
            <w:pPr>
              <w:pStyle w:val="TableText"/>
            </w:pPr>
            <w:r>
              <w:t>2/18</w:t>
            </w:r>
          </w:p>
          <w:p w:rsidR="001D723D" w:rsidRDefault="001D723D" w:rsidP="00FF7EC5">
            <w:pPr>
              <w:pStyle w:val="TableText"/>
            </w:pPr>
            <w:r>
              <w:t>1/18</w:t>
            </w:r>
          </w:p>
          <w:p w:rsidR="001D723D" w:rsidRDefault="001D723D" w:rsidP="00FF7EC5">
            <w:pPr>
              <w:pStyle w:val="TableText"/>
            </w:pPr>
            <w:r>
              <w:t>1/18</w:t>
            </w:r>
          </w:p>
          <w:p w:rsidR="001D723D" w:rsidRDefault="001D723D" w:rsidP="00FF7EC5">
            <w:pPr>
              <w:pStyle w:val="TableText"/>
            </w:pPr>
            <w:r>
              <w:t>3/18</w:t>
            </w:r>
          </w:p>
          <w:p w:rsidR="001D723D" w:rsidRDefault="001D723D" w:rsidP="00FF7EC5">
            <w:pPr>
              <w:pStyle w:val="TableText"/>
            </w:pPr>
            <w:r>
              <w:t>8/18</w:t>
            </w:r>
          </w:p>
        </w:tc>
        <w:tc>
          <w:tcPr>
            <w:tcW w:w="85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-0.72(1.02)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-0.83(1.04)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-1.67(1.71)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-1.61(1.72)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-1.83(1.76)</w:t>
            </w:r>
            <w:r w:rsidRPr="00C36A77">
              <w:t>‡</w:t>
            </w:r>
          </w:p>
          <w:p w:rsidR="001D723D" w:rsidRDefault="001D723D" w:rsidP="00FF7EC5">
            <w:pPr>
              <w:pStyle w:val="TableText"/>
            </w:pPr>
            <w:r>
              <w:t>-1.72(1.93)</w:t>
            </w:r>
            <w:r w:rsidRPr="00C36A77">
              <w:t>‡</w:t>
            </w:r>
          </w:p>
        </w:tc>
        <w:tc>
          <w:tcPr>
            <w:tcW w:w="51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-0.39(1.29)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-0.39(2.03)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-1.28(1.71)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-1.22(1.73)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-1.17(1.62)</w:t>
            </w:r>
            <w:r w:rsidRPr="00C36A77">
              <w:t>§</w:t>
            </w:r>
          </w:p>
          <w:p w:rsidR="001D723D" w:rsidRDefault="001D723D" w:rsidP="00FF7EC5">
            <w:pPr>
              <w:pStyle w:val="TableText"/>
            </w:pPr>
            <w:r>
              <w:t>-1.06(1.89)</w:t>
            </w:r>
            <w:r w:rsidRPr="00C36A77">
              <w:t>§</w:t>
            </w:r>
          </w:p>
        </w:tc>
        <w:tc>
          <w:tcPr>
            <w:tcW w:w="54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-0.44(1.10)||</w:t>
            </w:r>
          </w:p>
          <w:p w:rsidR="001D723D" w:rsidRDefault="001D723D" w:rsidP="00FF7EC5">
            <w:pPr>
              <w:pStyle w:val="TableText"/>
            </w:pPr>
            <w:r>
              <w:t>-0.72(1.81)||</w:t>
            </w:r>
          </w:p>
          <w:p w:rsidR="001D723D" w:rsidRDefault="001D723D" w:rsidP="00FF7EC5">
            <w:pPr>
              <w:pStyle w:val="TableText"/>
            </w:pPr>
            <w:r>
              <w:t>-0.56(1.72)||</w:t>
            </w:r>
          </w:p>
          <w:p w:rsidR="001D723D" w:rsidRDefault="001D723D" w:rsidP="00FF7EC5">
            <w:pPr>
              <w:pStyle w:val="TableText"/>
            </w:pPr>
            <w:r>
              <w:t>-0.44(2.36)||</w:t>
            </w:r>
          </w:p>
          <w:p w:rsidR="001D723D" w:rsidRDefault="001D723D" w:rsidP="00FF7EC5">
            <w:pPr>
              <w:pStyle w:val="TableText"/>
            </w:pPr>
            <w:r>
              <w:t>-0.44(1.85)||</w:t>
            </w:r>
          </w:p>
          <w:p w:rsidR="001D723D" w:rsidRDefault="001D723D" w:rsidP="00FF7EC5">
            <w:pPr>
              <w:pStyle w:val="TableText"/>
            </w:pPr>
            <w:r>
              <w:t>-0.61(2.03)||</w:t>
            </w:r>
          </w:p>
        </w:tc>
        <w:tc>
          <w:tcPr>
            <w:tcW w:w="280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Gelfand, 2012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3.0(1.0 to 6.0)</w:t>
            </w:r>
            <w:r w:rsidRPr="00C36A77">
              <w:t>¶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1.7(1.3 to 2.0)</w:t>
            </w:r>
            <w:r w:rsidRPr="00C36A77">
              <w:t>¶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2.0(0.7 to 5.0)</w:t>
            </w:r>
            <w:r w:rsidRPr="00C36A77">
              <w:t>¶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1.3(1.0 to 1.7)</w:t>
            </w:r>
            <w:r w:rsidRPr="00C36A77">
              <w:t>¶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2.0(0.5 to 4.5)</w:t>
            </w:r>
            <w:r w:rsidRPr="00C36A77">
              <w:t>¶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1.7(1.0 to 2.0)</w:t>
            </w:r>
            <w:r w:rsidRPr="00C36A77">
              <w:t>¶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3.0(0.6 to 9.1)</w:t>
            </w:r>
            <w:r w:rsidRPr="00C36A77">
              <w:t>¶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1.7(1.0 to 2.1)</w:t>
            </w:r>
            <w:r w:rsidRPr="00C36A77">
              <w:t>¶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NB-UVB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3.3(1.0 to 6.5)</w:t>
            </w:r>
            <w:r w:rsidRPr="00C36A77">
              <w:t>¶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1.7(1.0 to 2.0)</w:t>
            </w:r>
            <w:r w:rsidRPr="00C36A77">
              <w:t>¶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Barker, 2011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26w**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496/653</w:t>
            </w:r>
          </w:p>
          <w:p w:rsidR="001D723D" w:rsidRDefault="001D723D" w:rsidP="00FF7EC5">
            <w:pPr>
              <w:pStyle w:val="TableText"/>
            </w:pPr>
            <w:r>
              <w:t>477/653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16w</w:t>
            </w:r>
          </w:p>
          <w:p w:rsidR="001D723D" w:rsidRDefault="001D723D" w:rsidP="00FF7EC5">
            <w:pPr>
              <w:pStyle w:val="TableText"/>
            </w:pPr>
            <w:r>
              <w:t>26w**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82/215</w:t>
            </w:r>
          </w:p>
          <w:p w:rsidR="001D723D" w:rsidRDefault="001D723D" w:rsidP="00FF7EC5">
            <w:pPr>
              <w:pStyle w:val="TableText"/>
            </w:pPr>
            <w:r>
              <w:t>60/215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 transitioned to MTX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0/9</w:t>
            </w:r>
          </w:p>
          <w:p w:rsidR="001D723D" w:rsidRDefault="001D723D" w:rsidP="00FF7EC5">
            <w:pPr>
              <w:pStyle w:val="TableText"/>
            </w:pPr>
            <w:r>
              <w:t>1/9</w:t>
            </w:r>
          </w:p>
          <w:p w:rsidR="001D723D" w:rsidRDefault="001D723D" w:rsidP="00FF7EC5">
            <w:pPr>
              <w:pStyle w:val="TableText"/>
            </w:pPr>
            <w:r>
              <w:t>2/9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 transitioned to infliximab</w:t>
            </w:r>
          </w:p>
        </w:tc>
        <w:tc>
          <w:tcPr>
            <w:tcW w:w="39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18w</w:t>
            </w:r>
          </w:p>
          <w:p w:rsidR="001D723D" w:rsidRDefault="001D723D" w:rsidP="00FF7EC5">
            <w:pPr>
              <w:pStyle w:val="TableText"/>
            </w:pPr>
            <w:r>
              <w:t>22w</w:t>
            </w:r>
          </w:p>
          <w:p w:rsidR="001D723D" w:rsidRDefault="001D723D" w:rsidP="00FF7EC5">
            <w:pPr>
              <w:pStyle w:val="TableText"/>
            </w:pPr>
            <w:r>
              <w:t>26w</w:t>
            </w:r>
          </w:p>
        </w:tc>
        <w:tc>
          <w:tcPr>
            <w:tcW w:w="58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19/63</w:t>
            </w:r>
          </w:p>
          <w:p w:rsidR="001D723D" w:rsidRDefault="001D723D" w:rsidP="00FF7EC5">
            <w:pPr>
              <w:pStyle w:val="TableText"/>
            </w:pPr>
            <w:r>
              <w:t>45/63</w:t>
            </w:r>
          </w:p>
          <w:p w:rsidR="001D723D" w:rsidRDefault="001D723D" w:rsidP="00FF7EC5">
            <w:pPr>
              <w:pStyle w:val="TableText"/>
            </w:pPr>
            <w:r>
              <w:t>47/63</w:t>
            </w:r>
          </w:p>
        </w:tc>
        <w:tc>
          <w:tcPr>
            <w:tcW w:w="85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Inzinger, 2011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Alefacept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Ustekinumab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PUVA</w:t>
            </w:r>
          </w:p>
        </w:tc>
        <w:tc>
          <w:tcPr>
            <w:tcW w:w="39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lastRenderedPageBreak/>
              <w:t>Strober, 2011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 transitioned to adalimumab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1/41</w:t>
            </w:r>
          </w:p>
          <w:p w:rsidR="001D723D" w:rsidRDefault="001D723D" w:rsidP="00FF7EC5">
            <w:pPr>
              <w:pStyle w:val="TableText"/>
            </w:pPr>
            <w:r>
              <w:t>0/41</w:t>
            </w:r>
          </w:p>
          <w:p w:rsidR="001D723D" w:rsidRDefault="001D723D" w:rsidP="00FF7EC5">
            <w:pPr>
              <w:pStyle w:val="TableText"/>
            </w:pPr>
            <w:r>
              <w:t>13/41</w:t>
            </w:r>
          </w:p>
          <w:p w:rsidR="001D723D" w:rsidRDefault="001D723D" w:rsidP="00FF7EC5">
            <w:pPr>
              <w:pStyle w:val="TableText"/>
            </w:pPr>
            <w:r>
              <w:t>22/41</w:t>
            </w:r>
          </w:p>
          <w:p w:rsidR="001D723D" w:rsidRDefault="001D723D" w:rsidP="00FF7EC5">
            <w:pPr>
              <w:pStyle w:val="TableText"/>
            </w:pPr>
            <w:r>
              <w:t>25/41</w:t>
            </w:r>
          </w:p>
          <w:p w:rsidR="001D723D" w:rsidRDefault="001D723D" w:rsidP="00FF7EC5">
            <w:pPr>
              <w:pStyle w:val="TableText"/>
            </w:pPr>
            <w:r>
              <w:t>61% (95%CI 45 to 76)</w:t>
            </w:r>
            <w:r w:rsidRPr="00C36A77">
              <w:t>††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-2.9(3.9)</w:t>
            </w:r>
            <w:r w:rsidRPr="00C36A77">
              <w:t>‡‡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-14.7(24.4)</w:t>
            </w:r>
            <w:r w:rsidRPr="00C36A77">
              <w:t>§§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NB-UVB transitioned to adalimumab</w:t>
            </w:r>
          </w:p>
        </w:tc>
        <w:tc>
          <w:tcPr>
            <w:tcW w:w="39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0w</w:t>
            </w:r>
          </w:p>
          <w:p w:rsidR="001D723D" w:rsidRDefault="001D723D" w:rsidP="00FF7EC5">
            <w:pPr>
              <w:pStyle w:val="TableText"/>
            </w:pPr>
            <w:r>
              <w:t>2w</w:t>
            </w:r>
          </w:p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58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0/29</w:t>
            </w:r>
          </w:p>
          <w:p w:rsidR="001D723D" w:rsidRDefault="001D723D" w:rsidP="00FF7EC5">
            <w:pPr>
              <w:pStyle w:val="TableText"/>
            </w:pPr>
            <w:r>
              <w:t>3/29</w:t>
            </w:r>
          </w:p>
          <w:p w:rsidR="001D723D" w:rsidRDefault="001D723D" w:rsidP="00FF7EC5">
            <w:pPr>
              <w:pStyle w:val="TableText"/>
            </w:pPr>
            <w:r>
              <w:t>6/29</w:t>
            </w:r>
          </w:p>
          <w:p w:rsidR="001D723D" w:rsidRDefault="001D723D" w:rsidP="00FF7EC5">
            <w:pPr>
              <w:pStyle w:val="TableText"/>
            </w:pPr>
            <w:r>
              <w:t>13/29</w:t>
            </w:r>
          </w:p>
          <w:p w:rsidR="001D723D" w:rsidRDefault="001D723D" w:rsidP="00FF7EC5">
            <w:pPr>
              <w:pStyle w:val="TableText"/>
            </w:pPr>
            <w:r>
              <w:t>14/29</w:t>
            </w:r>
          </w:p>
          <w:p w:rsidR="001D723D" w:rsidRDefault="001D723D" w:rsidP="00FF7EC5">
            <w:pPr>
              <w:pStyle w:val="TableText"/>
            </w:pPr>
            <w:r>
              <w:t>48% (95%CI 29 to 67)</w:t>
            </w:r>
            <w:r w:rsidRPr="00C36A77">
              <w:t>††</w:t>
            </w:r>
          </w:p>
        </w:tc>
        <w:tc>
          <w:tcPr>
            <w:tcW w:w="85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-3.0(2.96)</w:t>
            </w:r>
            <w:r w:rsidRPr="00C36A77">
              <w:t>‡‡</w:t>
            </w:r>
          </w:p>
        </w:tc>
        <w:tc>
          <w:tcPr>
            <w:tcW w:w="54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-21.4(30.0)</w:t>
            </w:r>
            <w:r w:rsidRPr="00C36A77">
              <w:t>§§</w:t>
            </w:r>
          </w:p>
        </w:tc>
        <w:tc>
          <w:tcPr>
            <w:tcW w:w="280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Garavaglia, 2010</w:t>
            </w:r>
          </w:p>
        </w:tc>
        <w:tc>
          <w:tcPr>
            <w:tcW w:w="52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CyA transitioned to etanercept</w:t>
            </w:r>
          </w:p>
        </w:tc>
        <w:tc>
          <w:tcPr>
            <w:tcW w:w="39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</w:p>
        </w:tc>
        <w:tc>
          <w:tcPr>
            <w:tcW w:w="85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Caproni, 2009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9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</w:tcPr>
          <w:p w:rsidR="001D723D" w:rsidRDefault="001D723D" w:rsidP="00FF7EC5">
            <w:pPr>
              <w:pStyle w:val="TableText"/>
            </w:pPr>
            <w:r>
              <w:t>Mazzotta, 2009</w:t>
            </w:r>
          </w:p>
        </w:tc>
        <w:tc>
          <w:tcPr>
            <w:tcW w:w="523" w:type="pct"/>
          </w:tcPr>
          <w:p w:rsidR="001D723D" w:rsidRDefault="001D723D" w:rsidP="00FF7EC5">
            <w:pPr>
              <w:pStyle w:val="TableText"/>
            </w:pPr>
            <w:r>
              <w:t>Nonbiologics or phototherapy transitioned to etanercept||||</w:t>
            </w:r>
          </w:p>
        </w:tc>
        <w:tc>
          <w:tcPr>
            <w:tcW w:w="39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</w:tcPr>
          <w:p w:rsidR="001D723D" w:rsidRDefault="001D723D" w:rsidP="00FF7EC5">
            <w:pPr>
              <w:pStyle w:val="TableText"/>
            </w:pPr>
            <w:r>
              <w:t>Gisondi, 2008a</w:t>
            </w:r>
          </w:p>
        </w:tc>
        <w:tc>
          <w:tcPr>
            <w:tcW w:w="523" w:type="pct"/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</w:tcPr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587" w:type="pct"/>
          </w:tcPr>
          <w:p w:rsidR="001D723D" w:rsidRDefault="001D723D" w:rsidP="00FF7EC5">
            <w:pPr>
              <w:pStyle w:val="TableText"/>
            </w:pPr>
            <w:r>
              <w:t>-80.0%</w:t>
            </w:r>
            <w:r w:rsidRPr="00AA436F">
              <w:t>¶¶</w:t>
            </w:r>
          </w:p>
        </w:tc>
        <w:tc>
          <w:tcPr>
            <w:tcW w:w="86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Acitretin</w:t>
            </w:r>
          </w:p>
        </w:tc>
        <w:tc>
          <w:tcPr>
            <w:tcW w:w="39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24w</w:t>
            </w:r>
          </w:p>
        </w:tc>
        <w:tc>
          <w:tcPr>
            <w:tcW w:w="587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-45.8%</w:t>
            </w:r>
            <w:r w:rsidRPr="00AA436F">
              <w:t>¶¶</w:t>
            </w:r>
          </w:p>
        </w:tc>
        <w:tc>
          <w:tcPr>
            <w:tcW w:w="86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Gisondi, 2008b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Etanercept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Infliximab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9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  <w:bottom w:val="single" w:sz="8" w:space="0" w:color="auto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Saurat, 2008</w:t>
            </w:r>
          </w:p>
        </w:tc>
        <w:tc>
          <w:tcPr>
            <w:tcW w:w="52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Adalimumab</w:t>
            </w:r>
          </w:p>
        </w:tc>
        <w:tc>
          <w:tcPr>
            <w:tcW w:w="39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587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17/108</w:t>
            </w:r>
          </w:p>
          <w:p w:rsidR="001D723D" w:rsidRDefault="001D723D" w:rsidP="00FF7EC5">
            <w:pPr>
              <w:pStyle w:val="TableText"/>
            </w:pPr>
            <w:r>
              <w:t>52/108</w:t>
            </w:r>
          </w:p>
          <w:p w:rsidR="001D723D" w:rsidRDefault="001D723D" w:rsidP="00FF7EC5">
            <w:pPr>
              <w:pStyle w:val="TableText"/>
            </w:pPr>
            <w:r>
              <w:t>72/108</w:t>
            </w:r>
          </w:p>
          <w:p w:rsidR="001D723D" w:rsidRDefault="001D723D" w:rsidP="00FF7EC5">
            <w:pPr>
              <w:pStyle w:val="TableText"/>
            </w:pPr>
            <w:r>
              <w:t>79/108</w:t>
            </w:r>
          </w:p>
        </w:tc>
        <w:tc>
          <w:tcPr>
            <w:tcW w:w="85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-1.6(NR)</w:t>
            </w:r>
            <w:r w:rsidRPr="00AA436F">
              <w:t>§</w:t>
            </w:r>
          </w:p>
        </w:tc>
        <w:tc>
          <w:tcPr>
            <w:tcW w:w="513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-5.0(NR)</w:t>
            </w:r>
          </w:p>
        </w:tc>
        <w:tc>
          <w:tcPr>
            <w:tcW w:w="546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-24.2(NR)</w:t>
            </w:r>
          </w:p>
        </w:tc>
        <w:tc>
          <w:tcPr>
            <w:tcW w:w="280" w:type="pct"/>
            <w:tcBorders>
              <w:top w:val="single" w:sz="8" w:space="0" w:color="auto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MTX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4w</w:t>
            </w:r>
          </w:p>
          <w:p w:rsidR="001D723D" w:rsidRDefault="001D723D" w:rsidP="00FF7EC5">
            <w:pPr>
              <w:pStyle w:val="TableText"/>
            </w:pPr>
            <w:r>
              <w:t>8w</w:t>
            </w:r>
          </w:p>
          <w:p w:rsidR="001D723D" w:rsidRDefault="001D723D" w:rsidP="00FF7EC5">
            <w:pPr>
              <w:pStyle w:val="TableText"/>
            </w:pPr>
            <w:r>
              <w:t>12w</w:t>
            </w:r>
          </w:p>
          <w:p w:rsidR="001D723D" w:rsidRDefault="001D723D" w:rsidP="00FF7EC5">
            <w:pPr>
              <w:pStyle w:val="TableText"/>
            </w:pPr>
            <w:r>
              <w:t>16w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4/110</w:t>
            </w:r>
          </w:p>
          <w:p w:rsidR="001D723D" w:rsidRDefault="001D723D" w:rsidP="00FF7EC5">
            <w:pPr>
              <w:pStyle w:val="TableText"/>
            </w:pPr>
            <w:r>
              <w:t>10/110</w:t>
            </w:r>
          </w:p>
          <w:p w:rsidR="001D723D" w:rsidRDefault="001D723D" w:rsidP="00FF7EC5">
            <w:pPr>
              <w:pStyle w:val="TableText"/>
            </w:pPr>
            <w:r>
              <w:t>24/110</w:t>
            </w:r>
          </w:p>
          <w:p w:rsidR="001D723D" w:rsidRDefault="001D723D" w:rsidP="00FF7EC5">
            <w:pPr>
              <w:pStyle w:val="TableText"/>
            </w:pPr>
            <w:r>
              <w:t>33/110</w:t>
            </w:r>
          </w:p>
        </w:tc>
        <w:tc>
          <w:tcPr>
            <w:tcW w:w="85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-1.2(NR)</w:t>
            </w:r>
            <w:r w:rsidRPr="00AA436F">
              <w:t>§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-3.5(NR)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-11.1(NR)</w:t>
            </w: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</w:p>
        </w:tc>
        <w:tc>
          <w:tcPr>
            <w:tcW w:w="52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MTX transitioned to adalimumab</w:t>
            </w:r>
          </w:p>
        </w:tc>
        <w:tc>
          <w:tcPr>
            <w:tcW w:w="39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  <w:tcBorders>
              <w:top w:val="nil"/>
            </w:tcBorders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</w:tcPr>
          <w:p w:rsidR="001D723D" w:rsidRDefault="001D723D" w:rsidP="00FF7EC5">
            <w:pPr>
              <w:pStyle w:val="TableText"/>
            </w:pPr>
            <w:r>
              <w:t>Magliocco, 2007</w:t>
            </w:r>
          </w:p>
        </w:tc>
        <w:tc>
          <w:tcPr>
            <w:tcW w:w="523" w:type="pct"/>
          </w:tcPr>
          <w:p w:rsidR="001D723D" w:rsidRDefault="001D723D" w:rsidP="00FF7EC5">
            <w:pPr>
              <w:pStyle w:val="TableText"/>
            </w:pPr>
            <w:r>
              <w:t>CyA transitioned to alefacept</w:t>
            </w:r>
          </w:p>
        </w:tc>
        <w:tc>
          <w:tcPr>
            <w:tcW w:w="393" w:type="pct"/>
          </w:tcPr>
          <w:p w:rsidR="001D723D" w:rsidRDefault="001D723D" w:rsidP="00FF7EC5">
            <w:pPr>
              <w:pStyle w:val="TableText"/>
            </w:pPr>
            <w:r>
              <w:t>13w</w:t>
            </w:r>
          </w:p>
          <w:p w:rsidR="001D723D" w:rsidRDefault="001D723D" w:rsidP="00FF7EC5">
            <w:pPr>
              <w:pStyle w:val="TableText"/>
            </w:pPr>
            <w:r>
              <w:t>25w</w:t>
            </w:r>
          </w:p>
          <w:p w:rsidR="001D723D" w:rsidRDefault="001D723D" w:rsidP="00FF7EC5">
            <w:pPr>
              <w:pStyle w:val="TableText"/>
            </w:pPr>
            <w:r>
              <w:t>37w</w:t>
            </w:r>
          </w:p>
          <w:p w:rsidR="001D723D" w:rsidRDefault="001D723D" w:rsidP="00FF7EC5">
            <w:pPr>
              <w:pStyle w:val="TableText"/>
            </w:pPr>
            <w:r>
              <w:t>48w</w:t>
            </w:r>
          </w:p>
        </w:tc>
        <w:tc>
          <w:tcPr>
            <w:tcW w:w="587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4.75(NR)***</w:t>
            </w:r>
          </w:p>
          <w:p w:rsidR="001D723D" w:rsidRDefault="001D723D" w:rsidP="00FF7EC5">
            <w:pPr>
              <w:pStyle w:val="TableText"/>
            </w:pPr>
            <w:r>
              <w:t>4.33(NR)***</w:t>
            </w:r>
          </w:p>
          <w:p w:rsidR="001D723D" w:rsidRDefault="001D723D" w:rsidP="00FF7EC5">
            <w:pPr>
              <w:pStyle w:val="TableText"/>
            </w:pPr>
            <w:r>
              <w:t>4.33(NR)***</w:t>
            </w:r>
          </w:p>
        </w:tc>
        <w:tc>
          <w:tcPr>
            <w:tcW w:w="85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  <w:tr w:rsidR="001D723D" w:rsidRPr="00B1503A" w:rsidTr="00FF7EC5">
        <w:trPr>
          <w:cantSplit/>
        </w:trPr>
        <w:tc>
          <w:tcPr>
            <w:tcW w:w="441" w:type="pct"/>
          </w:tcPr>
          <w:p w:rsidR="001D723D" w:rsidRDefault="001D723D" w:rsidP="00FF7EC5">
            <w:pPr>
              <w:pStyle w:val="TableText"/>
            </w:pPr>
            <w:r>
              <w:t>Costanzo, 2005</w:t>
            </w:r>
          </w:p>
          <w:p w:rsidR="001D723D" w:rsidRPr="00B3302B" w:rsidRDefault="001D723D" w:rsidP="00FF7EC5"/>
        </w:tc>
        <w:tc>
          <w:tcPr>
            <w:tcW w:w="523" w:type="pct"/>
          </w:tcPr>
          <w:p w:rsidR="001D723D" w:rsidRDefault="001D723D" w:rsidP="00FF7EC5">
            <w:pPr>
              <w:pStyle w:val="TableText"/>
            </w:pPr>
            <w:r>
              <w:t>Nonbiologics transitioned to etanercept</w:t>
            </w:r>
            <w:r w:rsidRPr="00AA436F">
              <w:t>††</w:t>
            </w:r>
            <w:r>
              <w:t>†</w:t>
            </w:r>
          </w:p>
        </w:tc>
        <w:tc>
          <w:tcPr>
            <w:tcW w:w="39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87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6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85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13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546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  <w:tc>
          <w:tcPr>
            <w:tcW w:w="280" w:type="pct"/>
          </w:tcPr>
          <w:p w:rsidR="001D723D" w:rsidRDefault="001D723D" w:rsidP="00FF7EC5">
            <w:pPr>
              <w:pStyle w:val="TableText"/>
            </w:pPr>
            <w:r>
              <w:t>---</w:t>
            </w:r>
          </w:p>
        </w:tc>
      </w:tr>
    </w:tbl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Abbreviations: BSA=body surface area; CI=confidence interval; CyA=cyclosporine; MTX=methotrexate; n/N=number of patients per total population; NB-UVB=narrowband ultraviolet B; NR=not reported; PASI=Psoriasis Area and Severity Index; PGA=Physician’s Global Assessment; PUVA=psoralen plus ultraviolet A; SD=standard deviation; VAS=visual analog scale; w=week(s); ---=not reported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* Number of patients achieving a PGA score of “clear” or “minimal”, unless otherwise noted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† Mean(SD) change from baseline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‡ Mean(SD) change from baseline in SGA of psoriasis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§ Mean(SD) change from baseline in SGA of itching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|| Mean(SD) change from baseline is SGA of joint pain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¶ Median (IQR)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** Includes patients who switched treatments at week 16 as nonresponders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†† 95%CI reported as percentage of respective population</w:t>
      </w:r>
    </w:p>
    <w:p w:rsidR="001D723D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‡‡ Mean(SD) change from baseline in Psoriasis-related Pruritus Assessment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§§ Mean(SD) change from baseline in VAS for pain involving psoriatic plaques and/or psoriatic arthritis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|||| CyA, corticosteroids, fumaric acid esters, MTX, retinoids, PUVA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¶¶ Mean percentage change from baseline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*** Mean(SD) PGA</w:t>
      </w:r>
    </w:p>
    <w:p w:rsidR="001D723D" w:rsidRPr="00C36A77" w:rsidRDefault="001D723D" w:rsidP="001D723D">
      <w:pPr>
        <w:pStyle w:val="TableNote"/>
        <w:contextualSpacing/>
        <w:rPr>
          <w:rFonts w:ascii="Arial" w:hAnsi="Arial" w:cs="Arial"/>
        </w:rPr>
      </w:pPr>
      <w:r w:rsidRPr="00C36A77">
        <w:rPr>
          <w:rFonts w:ascii="Arial" w:hAnsi="Arial" w:cs="Arial"/>
        </w:rPr>
        <w:t>††† CyA, corticosteroids, MTX, retinoids</w:t>
      </w:r>
    </w:p>
    <w:p w:rsidR="001D723D" w:rsidRDefault="001D723D" w:rsidP="001D723D">
      <w:pPr>
        <w:pStyle w:val="TableTitle"/>
        <w:rPr>
          <w:szCs w:val="20"/>
        </w:rPr>
      </w:pPr>
    </w:p>
    <w:bookmarkEnd w:id="0"/>
    <w:p w:rsidR="001D723D" w:rsidRDefault="001D723D" w:rsidP="001D723D">
      <w:pPr>
        <w:pStyle w:val="TableTitle"/>
      </w:pPr>
    </w:p>
    <w:sectPr w:rsidR="001D723D" w:rsidSect="00EB5300">
      <w:footerReference w:type="default" r:id="rId8"/>
      <w:pgSz w:w="15840" w:h="12240" w:orient="landscape"/>
      <w:pgMar w:top="1440" w:right="1440" w:bottom="1440" w:left="1440" w:header="720" w:footer="720" w:gutter="0"/>
      <w:pgNumType w:start="6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00" w:rsidRDefault="00923D00">
      <w:r>
        <w:separator/>
      </w:r>
    </w:p>
  </w:endnote>
  <w:endnote w:type="continuationSeparator" w:id="0">
    <w:p w:rsidR="00923D00" w:rsidRDefault="0092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C8" w:rsidRPr="00CC46D1" w:rsidRDefault="00EB5300" w:rsidP="00FF7EC5">
    <w:pPr>
      <w:pStyle w:val="PageNumber0"/>
    </w:pPr>
    <w:r>
      <w:t>F</w:t>
    </w:r>
    <w:r w:rsidR="00A26CC8">
      <w:t>-</w:t>
    </w:r>
    <w:sdt>
      <w:sdtPr>
        <w:id w:val="65843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>
            <w:rPr>
              <w:noProof/>
            </w:rPr>
            <w:t>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00" w:rsidRDefault="00923D00">
      <w:r>
        <w:separator/>
      </w:r>
    </w:p>
  </w:footnote>
  <w:footnote w:type="continuationSeparator" w:id="0">
    <w:p w:rsidR="00923D00" w:rsidRDefault="00923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>
    <w:nsid w:val="01E56E89"/>
    <w:multiLevelType w:val="hybridMultilevel"/>
    <w:tmpl w:val="BA5AAB3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01AF4"/>
    <w:multiLevelType w:val="hybridMultilevel"/>
    <w:tmpl w:val="5F7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0B057715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37441"/>
    <w:multiLevelType w:val="hybridMultilevel"/>
    <w:tmpl w:val="4680ED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03466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054B7"/>
    <w:multiLevelType w:val="hybridMultilevel"/>
    <w:tmpl w:val="0548F63E"/>
    <w:lvl w:ilvl="0" w:tplc="A0C65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3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FB60B0"/>
    <w:multiLevelType w:val="hybridMultilevel"/>
    <w:tmpl w:val="35E01FE8"/>
    <w:lvl w:ilvl="0" w:tplc="4C78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BD1505A"/>
    <w:multiLevelType w:val="multilevel"/>
    <w:tmpl w:val="C36E0C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>
    <w:nsid w:val="26C22D04"/>
    <w:multiLevelType w:val="hybridMultilevel"/>
    <w:tmpl w:val="4036BEE8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5D5690"/>
    <w:multiLevelType w:val="hybridMultilevel"/>
    <w:tmpl w:val="B32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A2D7A"/>
    <w:multiLevelType w:val="hybridMultilevel"/>
    <w:tmpl w:val="BECAFB86"/>
    <w:lvl w:ilvl="0" w:tplc="4290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DB7079B"/>
    <w:multiLevelType w:val="hybridMultilevel"/>
    <w:tmpl w:val="E9ECC348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FE3245"/>
    <w:multiLevelType w:val="hybridMultilevel"/>
    <w:tmpl w:val="9806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26D93"/>
    <w:multiLevelType w:val="hybridMultilevel"/>
    <w:tmpl w:val="FAEE1938"/>
    <w:lvl w:ilvl="0" w:tplc="E442753E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83F51"/>
    <w:multiLevelType w:val="hybridMultilevel"/>
    <w:tmpl w:val="6C7A0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72CE"/>
    <w:multiLevelType w:val="hybridMultilevel"/>
    <w:tmpl w:val="14D4784C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F048F7"/>
    <w:multiLevelType w:val="hybridMultilevel"/>
    <w:tmpl w:val="D30ABC0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3216E"/>
    <w:multiLevelType w:val="hybridMultilevel"/>
    <w:tmpl w:val="73C6EF02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5">
    <w:nsid w:val="40FD72C4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A1E28"/>
    <w:multiLevelType w:val="hybridMultilevel"/>
    <w:tmpl w:val="388E14B0"/>
    <w:lvl w:ilvl="0" w:tplc="77A0C9D4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43400"/>
    <w:multiLevelType w:val="hybridMultilevel"/>
    <w:tmpl w:val="21C4B874"/>
    <w:lvl w:ilvl="0" w:tplc="2C669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7C708B"/>
    <w:multiLevelType w:val="hybridMultilevel"/>
    <w:tmpl w:val="942ABBEA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9F51AF"/>
    <w:multiLevelType w:val="hybridMultilevel"/>
    <w:tmpl w:val="F5B827C0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9277DF"/>
    <w:multiLevelType w:val="hybridMultilevel"/>
    <w:tmpl w:val="DB1C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561271"/>
    <w:multiLevelType w:val="hybridMultilevel"/>
    <w:tmpl w:val="635C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BC550D"/>
    <w:multiLevelType w:val="hybridMultilevel"/>
    <w:tmpl w:val="99AE3396"/>
    <w:lvl w:ilvl="0" w:tplc="57BE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A857465"/>
    <w:multiLevelType w:val="hybridMultilevel"/>
    <w:tmpl w:val="1C789490"/>
    <w:lvl w:ilvl="0" w:tplc="4EA8DCB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5A9A0ACA"/>
    <w:multiLevelType w:val="hybridMultilevel"/>
    <w:tmpl w:val="13E6C2BE"/>
    <w:lvl w:ilvl="0" w:tplc="6B2A908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B0241C"/>
    <w:multiLevelType w:val="multilevel"/>
    <w:tmpl w:val="501CC036"/>
    <w:lvl w:ilvl="0">
      <w:start w:val="1"/>
      <w:numFmt w:val="upperLetter"/>
      <w:suff w:val="space"/>
      <w:lvlText w:val="Appendix %1. "/>
      <w:lvlJc w:val="left"/>
      <w:pPr>
        <w:ind w:left="495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60" w:firstLine="0"/>
      </w:pPr>
      <w:rPr>
        <w:rFonts w:hint="default"/>
      </w:rPr>
    </w:lvl>
  </w:abstractNum>
  <w:abstractNum w:abstractNumId="51">
    <w:nsid w:val="5CFE43ED"/>
    <w:multiLevelType w:val="hybridMultilevel"/>
    <w:tmpl w:val="394C68E2"/>
    <w:lvl w:ilvl="0" w:tplc="3312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C5AB4"/>
    <w:multiLevelType w:val="hybridMultilevel"/>
    <w:tmpl w:val="20E8B220"/>
    <w:lvl w:ilvl="0" w:tplc="7BEC9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D6303"/>
    <w:multiLevelType w:val="hybridMultilevel"/>
    <w:tmpl w:val="4A143964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64C8F4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070757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354D8"/>
    <w:multiLevelType w:val="hybridMultilevel"/>
    <w:tmpl w:val="8A8A41F6"/>
    <w:lvl w:ilvl="0" w:tplc="A0C67DC2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6FD44FA"/>
    <w:multiLevelType w:val="hybridMultilevel"/>
    <w:tmpl w:val="D0D4EE0C"/>
    <w:lvl w:ilvl="0" w:tplc="786AE1AC">
      <w:start w:val="1"/>
      <w:numFmt w:val="bullet"/>
      <w:lvlText w:val=""/>
      <w:lvlJc w:val="left"/>
      <w:pPr>
        <w:tabs>
          <w:tab w:val="num" w:pos="1008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A422AB6"/>
    <w:multiLevelType w:val="hybridMultilevel"/>
    <w:tmpl w:val="0F04861C"/>
    <w:lvl w:ilvl="0" w:tplc="8A98928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28662E"/>
    <w:multiLevelType w:val="hybridMultilevel"/>
    <w:tmpl w:val="931035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>
    <w:nsid w:val="76A748C8"/>
    <w:multiLevelType w:val="hybridMultilevel"/>
    <w:tmpl w:val="E6C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D44E86"/>
    <w:multiLevelType w:val="multilevel"/>
    <w:tmpl w:val="7458F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8"/>
  </w:num>
  <w:num w:numId="2">
    <w:abstractNumId w:val="10"/>
  </w:num>
  <w:num w:numId="3">
    <w:abstractNumId w:val="42"/>
  </w:num>
  <w:num w:numId="4">
    <w:abstractNumId w:val="17"/>
  </w:num>
  <w:num w:numId="5">
    <w:abstractNumId w:val="40"/>
  </w:num>
  <w:num w:numId="6">
    <w:abstractNumId w:val="62"/>
  </w:num>
  <w:num w:numId="7">
    <w:abstractNumId w:val="49"/>
  </w:num>
  <w:num w:numId="8">
    <w:abstractNumId w:val="44"/>
  </w:num>
  <w:num w:numId="9">
    <w:abstractNumId w:val="48"/>
  </w:num>
  <w:num w:numId="10">
    <w:abstractNumId w:val="21"/>
  </w:num>
  <w:num w:numId="11">
    <w:abstractNumId w:val="3"/>
  </w:num>
  <w:num w:numId="12">
    <w:abstractNumId w:val="11"/>
  </w:num>
  <w:num w:numId="13">
    <w:abstractNumId w:val="8"/>
  </w:num>
  <w:num w:numId="14">
    <w:abstractNumId w:val="42"/>
  </w:num>
  <w:num w:numId="15">
    <w:abstractNumId w:val="42"/>
  </w:num>
  <w:num w:numId="16">
    <w:abstractNumId w:val="40"/>
  </w:num>
  <w:num w:numId="17">
    <w:abstractNumId w:val="17"/>
  </w:num>
  <w:num w:numId="18">
    <w:abstractNumId w:val="47"/>
  </w:num>
  <w:num w:numId="19">
    <w:abstractNumId w:val="61"/>
  </w:num>
  <w:num w:numId="20">
    <w:abstractNumId w:val="32"/>
  </w:num>
  <w:num w:numId="21">
    <w:abstractNumId w:val="26"/>
  </w:num>
  <w:num w:numId="22">
    <w:abstractNumId w:val="31"/>
  </w:num>
  <w:num w:numId="23">
    <w:abstractNumId w:val="2"/>
  </w:num>
  <w:num w:numId="24">
    <w:abstractNumId w:val="14"/>
  </w:num>
  <w:num w:numId="25">
    <w:abstractNumId w:val="53"/>
  </w:num>
  <w:num w:numId="26">
    <w:abstractNumId w:val="41"/>
  </w:num>
  <w:num w:numId="27">
    <w:abstractNumId w:val="7"/>
  </w:num>
  <w:num w:numId="28">
    <w:abstractNumId w:val="20"/>
  </w:num>
  <w:num w:numId="29">
    <w:abstractNumId w:val="25"/>
  </w:num>
  <w:num w:numId="30">
    <w:abstractNumId w:val="50"/>
  </w:num>
  <w:num w:numId="31">
    <w:abstractNumId w:val="15"/>
  </w:num>
  <w:num w:numId="32">
    <w:abstractNumId w:val="0"/>
  </w:num>
  <w:num w:numId="33">
    <w:abstractNumId w:val="55"/>
  </w:num>
  <w:num w:numId="34">
    <w:abstractNumId w:val="59"/>
  </w:num>
  <w:num w:numId="35">
    <w:abstractNumId w:val="18"/>
  </w:num>
  <w:num w:numId="36">
    <w:abstractNumId w:val="46"/>
  </w:num>
  <w:num w:numId="37">
    <w:abstractNumId w:val="43"/>
  </w:num>
  <w:num w:numId="38">
    <w:abstractNumId w:val="64"/>
  </w:num>
  <w:num w:numId="39">
    <w:abstractNumId w:val="65"/>
  </w:num>
  <w:num w:numId="40">
    <w:abstractNumId w:val="9"/>
  </w:num>
  <w:num w:numId="41">
    <w:abstractNumId w:val="13"/>
  </w:num>
  <w:num w:numId="42">
    <w:abstractNumId w:val="27"/>
  </w:num>
  <w:num w:numId="43">
    <w:abstractNumId w:val="6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"/>
  </w:num>
  <w:num w:numId="47">
    <w:abstractNumId w:val="34"/>
  </w:num>
  <w:num w:numId="48">
    <w:abstractNumId w:val="19"/>
  </w:num>
  <w:num w:numId="49">
    <w:abstractNumId w:val="12"/>
  </w:num>
  <w:num w:numId="50">
    <w:abstractNumId w:val="56"/>
  </w:num>
  <w:num w:numId="51">
    <w:abstractNumId w:val="39"/>
  </w:num>
  <w:num w:numId="52">
    <w:abstractNumId w:val="33"/>
  </w:num>
  <w:num w:numId="53">
    <w:abstractNumId w:val="52"/>
  </w:num>
  <w:num w:numId="54">
    <w:abstractNumId w:val="16"/>
  </w:num>
  <w:num w:numId="55">
    <w:abstractNumId w:val="66"/>
  </w:num>
  <w:num w:numId="56">
    <w:abstractNumId w:val="4"/>
  </w:num>
  <w:num w:numId="57">
    <w:abstractNumId w:val="24"/>
  </w:num>
  <w:num w:numId="58">
    <w:abstractNumId w:val="36"/>
  </w:num>
  <w:num w:numId="59">
    <w:abstractNumId w:val="35"/>
  </w:num>
  <w:num w:numId="60">
    <w:abstractNumId w:val="28"/>
  </w:num>
  <w:num w:numId="61">
    <w:abstractNumId w:val="45"/>
  </w:num>
  <w:num w:numId="62">
    <w:abstractNumId w:val="30"/>
  </w:num>
  <w:num w:numId="63">
    <w:abstractNumId w:val="51"/>
  </w:num>
  <w:num w:numId="64">
    <w:abstractNumId w:val="38"/>
  </w:num>
  <w:num w:numId="65">
    <w:abstractNumId w:val="22"/>
  </w:num>
  <w:num w:numId="66">
    <w:abstractNumId w:val="37"/>
  </w:num>
  <w:num w:numId="67">
    <w:abstractNumId w:val="29"/>
  </w:num>
  <w:num w:numId="68">
    <w:abstractNumId w:val="60"/>
  </w:num>
  <w:num w:numId="69">
    <w:abstractNumId w:val="54"/>
  </w:num>
  <w:num w:numId="70">
    <w:abstractNumId w:val="6"/>
  </w:num>
  <w:num w:numId="71">
    <w:abstractNumId w:val="5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3A2D47"/>
    <w:rsid w:val="00000768"/>
    <w:rsid w:val="00002009"/>
    <w:rsid w:val="00002EAB"/>
    <w:rsid w:val="000033A0"/>
    <w:rsid w:val="00003CDD"/>
    <w:rsid w:val="00011CC8"/>
    <w:rsid w:val="00015848"/>
    <w:rsid w:val="00015BEC"/>
    <w:rsid w:val="00022B8F"/>
    <w:rsid w:val="00023C13"/>
    <w:rsid w:val="000249A1"/>
    <w:rsid w:val="00025ED4"/>
    <w:rsid w:val="0003199B"/>
    <w:rsid w:val="00033AA9"/>
    <w:rsid w:val="0004065C"/>
    <w:rsid w:val="00040CF2"/>
    <w:rsid w:val="00046BAC"/>
    <w:rsid w:val="00047D24"/>
    <w:rsid w:val="00052587"/>
    <w:rsid w:val="00052FF5"/>
    <w:rsid w:val="00054E36"/>
    <w:rsid w:val="0006017D"/>
    <w:rsid w:val="000603A9"/>
    <w:rsid w:val="00060ACA"/>
    <w:rsid w:val="000628DA"/>
    <w:rsid w:val="00064F7C"/>
    <w:rsid w:val="0006573E"/>
    <w:rsid w:val="00067C6E"/>
    <w:rsid w:val="00072751"/>
    <w:rsid w:val="00073D28"/>
    <w:rsid w:val="00074D28"/>
    <w:rsid w:val="000752F3"/>
    <w:rsid w:val="00075832"/>
    <w:rsid w:val="00075F59"/>
    <w:rsid w:val="000776FF"/>
    <w:rsid w:val="00080D51"/>
    <w:rsid w:val="00081848"/>
    <w:rsid w:val="00084037"/>
    <w:rsid w:val="000844D9"/>
    <w:rsid w:val="000850F6"/>
    <w:rsid w:val="00087F30"/>
    <w:rsid w:val="00090E30"/>
    <w:rsid w:val="00092C12"/>
    <w:rsid w:val="0009453F"/>
    <w:rsid w:val="000951BE"/>
    <w:rsid w:val="0009637D"/>
    <w:rsid w:val="000A1691"/>
    <w:rsid w:val="000A183D"/>
    <w:rsid w:val="000A4BFB"/>
    <w:rsid w:val="000A4D45"/>
    <w:rsid w:val="000A50AA"/>
    <w:rsid w:val="000A581F"/>
    <w:rsid w:val="000A7F72"/>
    <w:rsid w:val="000B251B"/>
    <w:rsid w:val="000C4040"/>
    <w:rsid w:val="000C475C"/>
    <w:rsid w:val="000C6930"/>
    <w:rsid w:val="000D108B"/>
    <w:rsid w:val="000D16A0"/>
    <w:rsid w:val="000D54CA"/>
    <w:rsid w:val="000E0E53"/>
    <w:rsid w:val="000E12D0"/>
    <w:rsid w:val="000E2E33"/>
    <w:rsid w:val="000E3D05"/>
    <w:rsid w:val="000E4218"/>
    <w:rsid w:val="000E7A54"/>
    <w:rsid w:val="000F3D67"/>
    <w:rsid w:val="000F7CD0"/>
    <w:rsid w:val="00102EA1"/>
    <w:rsid w:val="00106A9D"/>
    <w:rsid w:val="00114F7A"/>
    <w:rsid w:val="00116F9E"/>
    <w:rsid w:val="00117D77"/>
    <w:rsid w:val="0012055B"/>
    <w:rsid w:val="00120920"/>
    <w:rsid w:val="00122729"/>
    <w:rsid w:val="00132B29"/>
    <w:rsid w:val="00133682"/>
    <w:rsid w:val="00133B60"/>
    <w:rsid w:val="00136DEE"/>
    <w:rsid w:val="00140326"/>
    <w:rsid w:val="001405E2"/>
    <w:rsid w:val="00141148"/>
    <w:rsid w:val="00142AEF"/>
    <w:rsid w:val="001433EC"/>
    <w:rsid w:val="0014380B"/>
    <w:rsid w:val="001472E4"/>
    <w:rsid w:val="00150139"/>
    <w:rsid w:val="00150D51"/>
    <w:rsid w:val="00152966"/>
    <w:rsid w:val="00154DA8"/>
    <w:rsid w:val="00156E1F"/>
    <w:rsid w:val="0015760D"/>
    <w:rsid w:val="00157EF8"/>
    <w:rsid w:val="00163902"/>
    <w:rsid w:val="00163C6C"/>
    <w:rsid w:val="00164D3D"/>
    <w:rsid w:val="0016619E"/>
    <w:rsid w:val="00167198"/>
    <w:rsid w:val="001718CC"/>
    <w:rsid w:val="00172EF3"/>
    <w:rsid w:val="001745C4"/>
    <w:rsid w:val="0017667A"/>
    <w:rsid w:val="00177251"/>
    <w:rsid w:val="001803EF"/>
    <w:rsid w:val="00182832"/>
    <w:rsid w:val="00184CB4"/>
    <w:rsid w:val="001900CA"/>
    <w:rsid w:val="0019696F"/>
    <w:rsid w:val="00196C84"/>
    <w:rsid w:val="00197669"/>
    <w:rsid w:val="001A2490"/>
    <w:rsid w:val="001A271B"/>
    <w:rsid w:val="001A3411"/>
    <w:rsid w:val="001A4A6E"/>
    <w:rsid w:val="001A4F66"/>
    <w:rsid w:val="001A603F"/>
    <w:rsid w:val="001B198C"/>
    <w:rsid w:val="001B2FAC"/>
    <w:rsid w:val="001B6D99"/>
    <w:rsid w:val="001C07DF"/>
    <w:rsid w:val="001C0ACE"/>
    <w:rsid w:val="001C204A"/>
    <w:rsid w:val="001C23EE"/>
    <w:rsid w:val="001C2FFC"/>
    <w:rsid w:val="001C580B"/>
    <w:rsid w:val="001D0667"/>
    <w:rsid w:val="001D4ECE"/>
    <w:rsid w:val="001D723D"/>
    <w:rsid w:val="001E03DF"/>
    <w:rsid w:val="001E1831"/>
    <w:rsid w:val="001E1AAD"/>
    <w:rsid w:val="001E6D3A"/>
    <w:rsid w:val="001F00D7"/>
    <w:rsid w:val="001F1ED3"/>
    <w:rsid w:val="001F1F56"/>
    <w:rsid w:val="001F3ED7"/>
    <w:rsid w:val="001F5A8D"/>
    <w:rsid w:val="001F5D30"/>
    <w:rsid w:val="002009F8"/>
    <w:rsid w:val="0020115A"/>
    <w:rsid w:val="00201F4B"/>
    <w:rsid w:val="00202241"/>
    <w:rsid w:val="00202B0C"/>
    <w:rsid w:val="00205EF3"/>
    <w:rsid w:val="002067DE"/>
    <w:rsid w:val="002148C3"/>
    <w:rsid w:val="0021785A"/>
    <w:rsid w:val="0021788F"/>
    <w:rsid w:val="00220250"/>
    <w:rsid w:val="002217BC"/>
    <w:rsid w:val="00221CB6"/>
    <w:rsid w:val="00222989"/>
    <w:rsid w:val="00222B03"/>
    <w:rsid w:val="00222D38"/>
    <w:rsid w:val="002232CB"/>
    <w:rsid w:val="00223A20"/>
    <w:rsid w:val="00230B77"/>
    <w:rsid w:val="002323B1"/>
    <w:rsid w:val="00234F65"/>
    <w:rsid w:val="0023552E"/>
    <w:rsid w:val="00237C9B"/>
    <w:rsid w:val="0024184D"/>
    <w:rsid w:val="002427D1"/>
    <w:rsid w:val="00242ACF"/>
    <w:rsid w:val="00243E95"/>
    <w:rsid w:val="00243F31"/>
    <w:rsid w:val="002461BB"/>
    <w:rsid w:val="002505BE"/>
    <w:rsid w:val="00254261"/>
    <w:rsid w:val="00255B54"/>
    <w:rsid w:val="00260579"/>
    <w:rsid w:val="00261674"/>
    <w:rsid w:val="00263CC8"/>
    <w:rsid w:val="002647DF"/>
    <w:rsid w:val="0026579A"/>
    <w:rsid w:val="002733BE"/>
    <w:rsid w:val="002736BC"/>
    <w:rsid w:val="0027380D"/>
    <w:rsid w:val="00274577"/>
    <w:rsid w:val="00274C22"/>
    <w:rsid w:val="00275260"/>
    <w:rsid w:val="00277F18"/>
    <w:rsid w:val="0028278E"/>
    <w:rsid w:val="0028436D"/>
    <w:rsid w:val="002844D3"/>
    <w:rsid w:val="00285562"/>
    <w:rsid w:val="002876E6"/>
    <w:rsid w:val="00290546"/>
    <w:rsid w:val="002918C4"/>
    <w:rsid w:val="002930EC"/>
    <w:rsid w:val="00294818"/>
    <w:rsid w:val="002965E1"/>
    <w:rsid w:val="002A0298"/>
    <w:rsid w:val="002A09F0"/>
    <w:rsid w:val="002A5ECB"/>
    <w:rsid w:val="002A7892"/>
    <w:rsid w:val="002A7A3B"/>
    <w:rsid w:val="002A7EE1"/>
    <w:rsid w:val="002B4F65"/>
    <w:rsid w:val="002B7DBE"/>
    <w:rsid w:val="002C50EF"/>
    <w:rsid w:val="002D019E"/>
    <w:rsid w:val="002D102A"/>
    <w:rsid w:val="002D1EE4"/>
    <w:rsid w:val="002D4891"/>
    <w:rsid w:val="002D6ADB"/>
    <w:rsid w:val="002D6CD9"/>
    <w:rsid w:val="002E234E"/>
    <w:rsid w:val="002E24D3"/>
    <w:rsid w:val="002E2570"/>
    <w:rsid w:val="002E421C"/>
    <w:rsid w:val="002E6D3E"/>
    <w:rsid w:val="002F7105"/>
    <w:rsid w:val="0030081E"/>
    <w:rsid w:val="00301A18"/>
    <w:rsid w:val="00302C21"/>
    <w:rsid w:val="003035A7"/>
    <w:rsid w:val="00307F42"/>
    <w:rsid w:val="0031224B"/>
    <w:rsid w:val="003128FC"/>
    <w:rsid w:val="00312C1B"/>
    <w:rsid w:val="00314727"/>
    <w:rsid w:val="00314A8E"/>
    <w:rsid w:val="00316FE9"/>
    <w:rsid w:val="00317034"/>
    <w:rsid w:val="003246F7"/>
    <w:rsid w:val="003319F4"/>
    <w:rsid w:val="00332289"/>
    <w:rsid w:val="00333990"/>
    <w:rsid w:val="00335985"/>
    <w:rsid w:val="00336068"/>
    <w:rsid w:val="00340711"/>
    <w:rsid w:val="00340944"/>
    <w:rsid w:val="00343274"/>
    <w:rsid w:val="00345138"/>
    <w:rsid w:val="00345E7F"/>
    <w:rsid w:val="00345FAE"/>
    <w:rsid w:val="00347722"/>
    <w:rsid w:val="00347A75"/>
    <w:rsid w:val="00350D6C"/>
    <w:rsid w:val="00352ED7"/>
    <w:rsid w:val="00353578"/>
    <w:rsid w:val="00355187"/>
    <w:rsid w:val="00355303"/>
    <w:rsid w:val="0035788F"/>
    <w:rsid w:val="00360226"/>
    <w:rsid w:val="003645EF"/>
    <w:rsid w:val="00364BF5"/>
    <w:rsid w:val="00365AD4"/>
    <w:rsid w:val="003671C0"/>
    <w:rsid w:val="00370668"/>
    <w:rsid w:val="003814CA"/>
    <w:rsid w:val="003824BB"/>
    <w:rsid w:val="00383B76"/>
    <w:rsid w:val="00386345"/>
    <w:rsid w:val="00386368"/>
    <w:rsid w:val="00386CA0"/>
    <w:rsid w:val="00387028"/>
    <w:rsid w:val="00392D25"/>
    <w:rsid w:val="00393D61"/>
    <w:rsid w:val="00396601"/>
    <w:rsid w:val="003A2D47"/>
    <w:rsid w:val="003A4D33"/>
    <w:rsid w:val="003B2CE2"/>
    <w:rsid w:val="003B5712"/>
    <w:rsid w:val="003C06B9"/>
    <w:rsid w:val="003C161B"/>
    <w:rsid w:val="003C5CA3"/>
    <w:rsid w:val="003C6D14"/>
    <w:rsid w:val="003D1B9D"/>
    <w:rsid w:val="003D35DC"/>
    <w:rsid w:val="003D4B5A"/>
    <w:rsid w:val="003D55F3"/>
    <w:rsid w:val="003D79D4"/>
    <w:rsid w:val="003E0A65"/>
    <w:rsid w:val="003E0D7F"/>
    <w:rsid w:val="003E326F"/>
    <w:rsid w:val="003E3AF8"/>
    <w:rsid w:val="003F0F71"/>
    <w:rsid w:val="003F117E"/>
    <w:rsid w:val="003F21BA"/>
    <w:rsid w:val="003F4B64"/>
    <w:rsid w:val="003F5DDE"/>
    <w:rsid w:val="00401699"/>
    <w:rsid w:val="0040239E"/>
    <w:rsid w:val="004041A8"/>
    <w:rsid w:val="0040622E"/>
    <w:rsid w:val="00407ECC"/>
    <w:rsid w:val="00412331"/>
    <w:rsid w:val="004138AB"/>
    <w:rsid w:val="00413A27"/>
    <w:rsid w:val="00420FE6"/>
    <w:rsid w:val="00421FE7"/>
    <w:rsid w:val="0042315C"/>
    <w:rsid w:val="00423E4A"/>
    <w:rsid w:val="00437E96"/>
    <w:rsid w:val="004420D9"/>
    <w:rsid w:val="00443C7F"/>
    <w:rsid w:val="00445F7D"/>
    <w:rsid w:val="00446761"/>
    <w:rsid w:val="0045015C"/>
    <w:rsid w:val="004503D6"/>
    <w:rsid w:val="00450F4B"/>
    <w:rsid w:val="0045170C"/>
    <w:rsid w:val="0045198F"/>
    <w:rsid w:val="00453A6B"/>
    <w:rsid w:val="004631C3"/>
    <w:rsid w:val="004655F9"/>
    <w:rsid w:val="00473F53"/>
    <w:rsid w:val="004749F7"/>
    <w:rsid w:val="00486CC0"/>
    <w:rsid w:val="0049210F"/>
    <w:rsid w:val="004925C4"/>
    <w:rsid w:val="00494243"/>
    <w:rsid w:val="004973D8"/>
    <w:rsid w:val="004979F1"/>
    <w:rsid w:val="004A021F"/>
    <w:rsid w:val="004A169E"/>
    <w:rsid w:val="004A2741"/>
    <w:rsid w:val="004A61E6"/>
    <w:rsid w:val="004A62D0"/>
    <w:rsid w:val="004A73D1"/>
    <w:rsid w:val="004B1B89"/>
    <w:rsid w:val="004B6796"/>
    <w:rsid w:val="004C0128"/>
    <w:rsid w:val="004C177C"/>
    <w:rsid w:val="004C349F"/>
    <w:rsid w:val="004C587E"/>
    <w:rsid w:val="004D06A1"/>
    <w:rsid w:val="004D07F5"/>
    <w:rsid w:val="004D1B41"/>
    <w:rsid w:val="004D50AB"/>
    <w:rsid w:val="004D6641"/>
    <w:rsid w:val="004E0BA7"/>
    <w:rsid w:val="004E3C7A"/>
    <w:rsid w:val="004E4E58"/>
    <w:rsid w:val="004E5278"/>
    <w:rsid w:val="004E5CD8"/>
    <w:rsid w:val="004E5E35"/>
    <w:rsid w:val="004F153D"/>
    <w:rsid w:val="004F2722"/>
    <w:rsid w:val="004F2F69"/>
    <w:rsid w:val="004F367D"/>
    <w:rsid w:val="004F39E1"/>
    <w:rsid w:val="004F3A97"/>
    <w:rsid w:val="004F52A1"/>
    <w:rsid w:val="004F65EC"/>
    <w:rsid w:val="005048B7"/>
    <w:rsid w:val="005055DF"/>
    <w:rsid w:val="005061F4"/>
    <w:rsid w:val="005077BF"/>
    <w:rsid w:val="005079AD"/>
    <w:rsid w:val="00512E9C"/>
    <w:rsid w:val="00513746"/>
    <w:rsid w:val="0051379E"/>
    <w:rsid w:val="00513B80"/>
    <w:rsid w:val="00515A58"/>
    <w:rsid w:val="00520FA6"/>
    <w:rsid w:val="005217F0"/>
    <w:rsid w:val="00522209"/>
    <w:rsid w:val="00523EC8"/>
    <w:rsid w:val="00524C81"/>
    <w:rsid w:val="00525DF6"/>
    <w:rsid w:val="00526CCC"/>
    <w:rsid w:val="00530D58"/>
    <w:rsid w:val="005331AB"/>
    <w:rsid w:val="00533C94"/>
    <w:rsid w:val="00534CEA"/>
    <w:rsid w:val="005406D1"/>
    <w:rsid w:val="00540B09"/>
    <w:rsid w:val="00544857"/>
    <w:rsid w:val="0054535E"/>
    <w:rsid w:val="00546864"/>
    <w:rsid w:val="0055778B"/>
    <w:rsid w:val="005602F9"/>
    <w:rsid w:val="00561F7B"/>
    <w:rsid w:val="00563786"/>
    <w:rsid w:val="005647E7"/>
    <w:rsid w:val="005709C8"/>
    <w:rsid w:val="005711A6"/>
    <w:rsid w:val="00571920"/>
    <w:rsid w:val="00571D14"/>
    <w:rsid w:val="00577A8C"/>
    <w:rsid w:val="00582251"/>
    <w:rsid w:val="00582D87"/>
    <w:rsid w:val="00585F13"/>
    <w:rsid w:val="00591FE1"/>
    <w:rsid w:val="0059302C"/>
    <w:rsid w:val="005957E5"/>
    <w:rsid w:val="00597686"/>
    <w:rsid w:val="005A02EF"/>
    <w:rsid w:val="005A15C9"/>
    <w:rsid w:val="005A3A07"/>
    <w:rsid w:val="005A4688"/>
    <w:rsid w:val="005A7492"/>
    <w:rsid w:val="005A794B"/>
    <w:rsid w:val="005B0435"/>
    <w:rsid w:val="005B3B90"/>
    <w:rsid w:val="005B3F29"/>
    <w:rsid w:val="005B7B05"/>
    <w:rsid w:val="005C39D4"/>
    <w:rsid w:val="005D0391"/>
    <w:rsid w:val="005D0AA1"/>
    <w:rsid w:val="005D1904"/>
    <w:rsid w:val="005D361A"/>
    <w:rsid w:val="005D393E"/>
    <w:rsid w:val="005D3A76"/>
    <w:rsid w:val="005D48AD"/>
    <w:rsid w:val="005E0063"/>
    <w:rsid w:val="005E468E"/>
    <w:rsid w:val="005E47D2"/>
    <w:rsid w:val="005E577D"/>
    <w:rsid w:val="005E6717"/>
    <w:rsid w:val="005F3669"/>
    <w:rsid w:val="005F53FC"/>
    <w:rsid w:val="005F5FB4"/>
    <w:rsid w:val="005F64AB"/>
    <w:rsid w:val="005F6688"/>
    <w:rsid w:val="00600B3B"/>
    <w:rsid w:val="00604208"/>
    <w:rsid w:val="00606836"/>
    <w:rsid w:val="006119E1"/>
    <w:rsid w:val="00611BF5"/>
    <w:rsid w:val="006137C3"/>
    <w:rsid w:val="00617CC9"/>
    <w:rsid w:val="00617D13"/>
    <w:rsid w:val="00621283"/>
    <w:rsid w:val="00621A5F"/>
    <w:rsid w:val="00621C31"/>
    <w:rsid w:val="00622558"/>
    <w:rsid w:val="00623B25"/>
    <w:rsid w:val="00623FCA"/>
    <w:rsid w:val="006241D0"/>
    <w:rsid w:val="006264C4"/>
    <w:rsid w:val="00630F93"/>
    <w:rsid w:val="00631A2C"/>
    <w:rsid w:val="00632771"/>
    <w:rsid w:val="006351B8"/>
    <w:rsid w:val="0063604F"/>
    <w:rsid w:val="00641EAA"/>
    <w:rsid w:val="006500EF"/>
    <w:rsid w:val="006506C1"/>
    <w:rsid w:val="00650C71"/>
    <w:rsid w:val="00665F89"/>
    <w:rsid w:val="00667E9B"/>
    <w:rsid w:val="006701BB"/>
    <w:rsid w:val="00672B27"/>
    <w:rsid w:val="006833CA"/>
    <w:rsid w:val="00683788"/>
    <w:rsid w:val="00685864"/>
    <w:rsid w:val="00686CCC"/>
    <w:rsid w:val="00690C1F"/>
    <w:rsid w:val="00693E74"/>
    <w:rsid w:val="006972FB"/>
    <w:rsid w:val="006A59C3"/>
    <w:rsid w:val="006B1734"/>
    <w:rsid w:val="006B25C3"/>
    <w:rsid w:val="006B4EB5"/>
    <w:rsid w:val="006B5083"/>
    <w:rsid w:val="006C0875"/>
    <w:rsid w:val="006C105C"/>
    <w:rsid w:val="006C2A1D"/>
    <w:rsid w:val="006C4755"/>
    <w:rsid w:val="006C5ABC"/>
    <w:rsid w:val="006D3E3F"/>
    <w:rsid w:val="006D70A1"/>
    <w:rsid w:val="006E0936"/>
    <w:rsid w:val="006E0E0D"/>
    <w:rsid w:val="006E39BC"/>
    <w:rsid w:val="006E3D12"/>
    <w:rsid w:val="006E4B46"/>
    <w:rsid w:val="006E684B"/>
    <w:rsid w:val="006F48B5"/>
    <w:rsid w:val="00701321"/>
    <w:rsid w:val="00705CA8"/>
    <w:rsid w:val="00706C0E"/>
    <w:rsid w:val="0070741D"/>
    <w:rsid w:val="0071441B"/>
    <w:rsid w:val="007157BC"/>
    <w:rsid w:val="00721990"/>
    <w:rsid w:val="00735C1D"/>
    <w:rsid w:val="00736817"/>
    <w:rsid w:val="00745472"/>
    <w:rsid w:val="00747170"/>
    <w:rsid w:val="007507DD"/>
    <w:rsid w:val="00751060"/>
    <w:rsid w:val="007557CC"/>
    <w:rsid w:val="00756E5D"/>
    <w:rsid w:val="00757053"/>
    <w:rsid w:val="00762751"/>
    <w:rsid w:val="00765E7F"/>
    <w:rsid w:val="00766636"/>
    <w:rsid w:val="007719D5"/>
    <w:rsid w:val="00775878"/>
    <w:rsid w:val="0078194B"/>
    <w:rsid w:val="00781C6C"/>
    <w:rsid w:val="00784708"/>
    <w:rsid w:val="00784E7C"/>
    <w:rsid w:val="00786385"/>
    <w:rsid w:val="00786EDF"/>
    <w:rsid w:val="00790A31"/>
    <w:rsid w:val="00790F3A"/>
    <w:rsid w:val="00794EFC"/>
    <w:rsid w:val="00795D26"/>
    <w:rsid w:val="0079633B"/>
    <w:rsid w:val="007A291F"/>
    <w:rsid w:val="007A2DDC"/>
    <w:rsid w:val="007A37EA"/>
    <w:rsid w:val="007A5CCB"/>
    <w:rsid w:val="007A616B"/>
    <w:rsid w:val="007A7364"/>
    <w:rsid w:val="007A7849"/>
    <w:rsid w:val="007A7930"/>
    <w:rsid w:val="007B15B6"/>
    <w:rsid w:val="007B2E17"/>
    <w:rsid w:val="007B3ACF"/>
    <w:rsid w:val="007C12A5"/>
    <w:rsid w:val="007C24F5"/>
    <w:rsid w:val="007C26F0"/>
    <w:rsid w:val="007C538F"/>
    <w:rsid w:val="007C6C01"/>
    <w:rsid w:val="007D07A6"/>
    <w:rsid w:val="007E31F3"/>
    <w:rsid w:val="007E358D"/>
    <w:rsid w:val="007E4607"/>
    <w:rsid w:val="007E5B05"/>
    <w:rsid w:val="007E6DFA"/>
    <w:rsid w:val="007E7269"/>
    <w:rsid w:val="007F4D16"/>
    <w:rsid w:val="007F7FD6"/>
    <w:rsid w:val="008014BF"/>
    <w:rsid w:val="0080457C"/>
    <w:rsid w:val="00804580"/>
    <w:rsid w:val="00804765"/>
    <w:rsid w:val="00807820"/>
    <w:rsid w:val="0081076A"/>
    <w:rsid w:val="00811B55"/>
    <w:rsid w:val="00812FB2"/>
    <w:rsid w:val="008146BD"/>
    <w:rsid w:val="00816517"/>
    <w:rsid w:val="00816B3C"/>
    <w:rsid w:val="00817898"/>
    <w:rsid w:val="00820506"/>
    <w:rsid w:val="00820AE6"/>
    <w:rsid w:val="0082352D"/>
    <w:rsid w:val="00825233"/>
    <w:rsid w:val="008267B3"/>
    <w:rsid w:val="00826FDE"/>
    <w:rsid w:val="00827CBE"/>
    <w:rsid w:val="00831B59"/>
    <w:rsid w:val="008323AE"/>
    <w:rsid w:val="0083295A"/>
    <w:rsid w:val="00832E69"/>
    <w:rsid w:val="00840919"/>
    <w:rsid w:val="008409A3"/>
    <w:rsid w:val="008442D5"/>
    <w:rsid w:val="00845F45"/>
    <w:rsid w:val="0084640C"/>
    <w:rsid w:val="008507ED"/>
    <w:rsid w:val="00851ECC"/>
    <w:rsid w:val="00852DD7"/>
    <w:rsid w:val="00856D2D"/>
    <w:rsid w:val="008577FE"/>
    <w:rsid w:val="008630F8"/>
    <w:rsid w:val="00863B0B"/>
    <w:rsid w:val="00863C5D"/>
    <w:rsid w:val="008710C7"/>
    <w:rsid w:val="0087420D"/>
    <w:rsid w:val="008768F7"/>
    <w:rsid w:val="00880047"/>
    <w:rsid w:val="00883FED"/>
    <w:rsid w:val="00884EC7"/>
    <w:rsid w:val="008877A8"/>
    <w:rsid w:val="00891A67"/>
    <w:rsid w:val="00894A48"/>
    <w:rsid w:val="00895F5A"/>
    <w:rsid w:val="008A07F1"/>
    <w:rsid w:val="008A12A5"/>
    <w:rsid w:val="008A3FE9"/>
    <w:rsid w:val="008A7EB3"/>
    <w:rsid w:val="008B1325"/>
    <w:rsid w:val="008B410B"/>
    <w:rsid w:val="008C22AF"/>
    <w:rsid w:val="008C3A9F"/>
    <w:rsid w:val="008C4172"/>
    <w:rsid w:val="008C507E"/>
    <w:rsid w:val="008C6A97"/>
    <w:rsid w:val="008D12EB"/>
    <w:rsid w:val="008D36EB"/>
    <w:rsid w:val="008D4DD9"/>
    <w:rsid w:val="008E13AB"/>
    <w:rsid w:val="008E47CB"/>
    <w:rsid w:val="008E6F64"/>
    <w:rsid w:val="008F0669"/>
    <w:rsid w:val="008F07EA"/>
    <w:rsid w:val="008F0C3C"/>
    <w:rsid w:val="008F0E65"/>
    <w:rsid w:val="008F2340"/>
    <w:rsid w:val="008F2E49"/>
    <w:rsid w:val="008F5D0C"/>
    <w:rsid w:val="00907FD9"/>
    <w:rsid w:val="009171F3"/>
    <w:rsid w:val="00917CA6"/>
    <w:rsid w:val="0092100A"/>
    <w:rsid w:val="00921970"/>
    <w:rsid w:val="009220EB"/>
    <w:rsid w:val="00922827"/>
    <w:rsid w:val="00923D00"/>
    <w:rsid w:val="009262E9"/>
    <w:rsid w:val="0092648D"/>
    <w:rsid w:val="00931E62"/>
    <w:rsid w:val="00933864"/>
    <w:rsid w:val="00933FD6"/>
    <w:rsid w:val="00936F88"/>
    <w:rsid w:val="009371C5"/>
    <w:rsid w:val="009441E3"/>
    <w:rsid w:val="0094425E"/>
    <w:rsid w:val="00944CA3"/>
    <w:rsid w:val="00951B2A"/>
    <w:rsid w:val="00951BC8"/>
    <w:rsid w:val="00954DB4"/>
    <w:rsid w:val="009559DC"/>
    <w:rsid w:val="0095614E"/>
    <w:rsid w:val="00957200"/>
    <w:rsid w:val="009576D1"/>
    <w:rsid w:val="009630EC"/>
    <w:rsid w:val="00963BA0"/>
    <w:rsid w:val="009727A7"/>
    <w:rsid w:val="0097784B"/>
    <w:rsid w:val="00980BE8"/>
    <w:rsid w:val="009817D9"/>
    <w:rsid w:val="009829D7"/>
    <w:rsid w:val="009860EE"/>
    <w:rsid w:val="00986E58"/>
    <w:rsid w:val="00987516"/>
    <w:rsid w:val="0099168C"/>
    <w:rsid w:val="009922DF"/>
    <w:rsid w:val="00995CCF"/>
    <w:rsid w:val="009A22F6"/>
    <w:rsid w:val="009A72DC"/>
    <w:rsid w:val="009B4C53"/>
    <w:rsid w:val="009C134C"/>
    <w:rsid w:val="009C1EA8"/>
    <w:rsid w:val="009C1F8C"/>
    <w:rsid w:val="009C21E4"/>
    <w:rsid w:val="009C39D5"/>
    <w:rsid w:val="009C50FA"/>
    <w:rsid w:val="009C5A9A"/>
    <w:rsid w:val="009C6A2D"/>
    <w:rsid w:val="009D24EB"/>
    <w:rsid w:val="009D3197"/>
    <w:rsid w:val="009E0F8F"/>
    <w:rsid w:val="009E1224"/>
    <w:rsid w:val="009E5CD4"/>
    <w:rsid w:val="009F0F92"/>
    <w:rsid w:val="009F1C35"/>
    <w:rsid w:val="009F4F62"/>
    <w:rsid w:val="009F547D"/>
    <w:rsid w:val="00A0177D"/>
    <w:rsid w:val="00A04C36"/>
    <w:rsid w:val="00A04E17"/>
    <w:rsid w:val="00A066B9"/>
    <w:rsid w:val="00A0731C"/>
    <w:rsid w:val="00A0755B"/>
    <w:rsid w:val="00A11A5F"/>
    <w:rsid w:val="00A136BB"/>
    <w:rsid w:val="00A16FDC"/>
    <w:rsid w:val="00A20882"/>
    <w:rsid w:val="00A21C0E"/>
    <w:rsid w:val="00A224EE"/>
    <w:rsid w:val="00A22F8F"/>
    <w:rsid w:val="00A23469"/>
    <w:rsid w:val="00A24427"/>
    <w:rsid w:val="00A26232"/>
    <w:rsid w:val="00A26CC8"/>
    <w:rsid w:val="00A327DD"/>
    <w:rsid w:val="00A33CC1"/>
    <w:rsid w:val="00A34F2D"/>
    <w:rsid w:val="00A35859"/>
    <w:rsid w:val="00A40BA8"/>
    <w:rsid w:val="00A418C5"/>
    <w:rsid w:val="00A42473"/>
    <w:rsid w:val="00A433AE"/>
    <w:rsid w:val="00A43B1C"/>
    <w:rsid w:val="00A44B47"/>
    <w:rsid w:val="00A450F1"/>
    <w:rsid w:val="00A51BA5"/>
    <w:rsid w:val="00A536F2"/>
    <w:rsid w:val="00A542F8"/>
    <w:rsid w:val="00A60DA9"/>
    <w:rsid w:val="00A635E8"/>
    <w:rsid w:val="00A63F38"/>
    <w:rsid w:val="00A646B0"/>
    <w:rsid w:val="00A64D83"/>
    <w:rsid w:val="00A66D70"/>
    <w:rsid w:val="00A77D78"/>
    <w:rsid w:val="00A83020"/>
    <w:rsid w:val="00A8551E"/>
    <w:rsid w:val="00A86EF9"/>
    <w:rsid w:val="00A87F57"/>
    <w:rsid w:val="00A91BFD"/>
    <w:rsid w:val="00A93AF1"/>
    <w:rsid w:val="00A942C6"/>
    <w:rsid w:val="00A9562C"/>
    <w:rsid w:val="00A95B15"/>
    <w:rsid w:val="00A961D1"/>
    <w:rsid w:val="00AA0765"/>
    <w:rsid w:val="00AA366F"/>
    <w:rsid w:val="00AA3D38"/>
    <w:rsid w:val="00AA4AB7"/>
    <w:rsid w:val="00AA599B"/>
    <w:rsid w:val="00AB0C47"/>
    <w:rsid w:val="00AB2746"/>
    <w:rsid w:val="00AC162F"/>
    <w:rsid w:val="00AC75EA"/>
    <w:rsid w:val="00AD0902"/>
    <w:rsid w:val="00AD1C48"/>
    <w:rsid w:val="00AD2492"/>
    <w:rsid w:val="00AD5CC0"/>
    <w:rsid w:val="00AE0D5C"/>
    <w:rsid w:val="00AE44A3"/>
    <w:rsid w:val="00AE52DD"/>
    <w:rsid w:val="00AE5A5B"/>
    <w:rsid w:val="00AE5D42"/>
    <w:rsid w:val="00AE7726"/>
    <w:rsid w:val="00AE7F71"/>
    <w:rsid w:val="00AF2EA2"/>
    <w:rsid w:val="00AF5701"/>
    <w:rsid w:val="00B008C0"/>
    <w:rsid w:val="00B023B2"/>
    <w:rsid w:val="00B038D0"/>
    <w:rsid w:val="00B03A94"/>
    <w:rsid w:val="00B05508"/>
    <w:rsid w:val="00B06AF7"/>
    <w:rsid w:val="00B07116"/>
    <w:rsid w:val="00B078F5"/>
    <w:rsid w:val="00B115FD"/>
    <w:rsid w:val="00B11ECE"/>
    <w:rsid w:val="00B12263"/>
    <w:rsid w:val="00B1317C"/>
    <w:rsid w:val="00B13D0E"/>
    <w:rsid w:val="00B14B67"/>
    <w:rsid w:val="00B14F1C"/>
    <w:rsid w:val="00B1503A"/>
    <w:rsid w:val="00B16EAB"/>
    <w:rsid w:val="00B17797"/>
    <w:rsid w:val="00B20853"/>
    <w:rsid w:val="00B23EA7"/>
    <w:rsid w:val="00B25E77"/>
    <w:rsid w:val="00B275A2"/>
    <w:rsid w:val="00B27B67"/>
    <w:rsid w:val="00B3070C"/>
    <w:rsid w:val="00B31C14"/>
    <w:rsid w:val="00B3524A"/>
    <w:rsid w:val="00B37589"/>
    <w:rsid w:val="00B37857"/>
    <w:rsid w:val="00B4117D"/>
    <w:rsid w:val="00B44CBB"/>
    <w:rsid w:val="00B45348"/>
    <w:rsid w:val="00B47603"/>
    <w:rsid w:val="00B47628"/>
    <w:rsid w:val="00B534AF"/>
    <w:rsid w:val="00B60069"/>
    <w:rsid w:val="00B62105"/>
    <w:rsid w:val="00B6483F"/>
    <w:rsid w:val="00B65EFC"/>
    <w:rsid w:val="00B66CAB"/>
    <w:rsid w:val="00B74EB7"/>
    <w:rsid w:val="00B81B6E"/>
    <w:rsid w:val="00B8454C"/>
    <w:rsid w:val="00B863BE"/>
    <w:rsid w:val="00B87269"/>
    <w:rsid w:val="00B87FF8"/>
    <w:rsid w:val="00B91714"/>
    <w:rsid w:val="00B91F50"/>
    <w:rsid w:val="00B928D0"/>
    <w:rsid w:val="00B93C66"/>
    <w:rsid w:val="00B95DC9"/>
    <w:rsid w:val="00B95F96"/>
    <w:rsid w:val="00B973D2"/>
    <w:rsid w:val="00B977B7"/>
    <w:rsid w:val="00BA07F1"/>
    <w:rsid w:val="00BA1119"/>
    <w:rsid w:val="00BA19EF"/>
    <w:rsid w:val="00BA3F28"/>
    <w:rsid w:val="00BA48E1"/>
    <w:rsid w:val="00BA584A"/>
    <w:rsid w:val="00BA6829"/>
    <w:rsid w:val="00BA68F9"/>
    <w:rsid w:val="00BA6EAD"/>
    <w:rsid w:val="00BB056A"/>
    <w:rsid w:val="00BB3DC9"/>
    <w:rsid w:val="00BB507D"/>
    <w:rsid w:val="00BB6F46"/>
    <w:rsid w:val="00BC3D50"/>
    <w:rsid w:val="00BC6361"/>
    <w:rsid w:val="00BC64D2"/>
    <w:rsid w:val="00BC67C0"/>
    <w:rsid w:val="00BC6879"/>
    <w:rsid w:val="00BC68CA"/>
    <w:rsid w:val="00BC71A6"/>
    <w:rsid w:val="00BD14E9"/>
    <w:rsid w:val="00BD31CD"/>
    <w:rsid w:val="00BD45A9"/>
    <w:rsid w:val="00BD5CDE"/>
    <w:rsid w:val="00BD60D2"/>
    <w:rsid w:val="00BD71C4"/>
    <w:rsid w:val="00BD7A1D"/>
    <w:rsid w:val="00BE020A"/>
    <w:rsid w:val="00BE069E"/>
    <w:rsid w:val="00BE1051"/>
    <w:rsid w:val="00BE6D96"/>
    <w:rsid w:val="00BE7322"/>
    <w:rsid w:val="00BE7FA5"/>
    <w:rsid w:val="00BF07B4"/>
    <w:rsid w:val="00BF5022"/>
    <w:rsid w:val="00BF56EE"/>
    <w:rsid w:val="00BF5F0F"/>
    <w:rsid w:val="00BF709C"/>
    <w:rsid w:val="00BF73B8"/>
    <w:rsid w:val="00C01107"/>
    <w:rsid w:val="00C140BC"/>
    <w:rsid w:val="00C15B81"/>
    <w:rsid w:val="00C16839"/>
    <w:rsid w:val="00C20E12"/>
    <w:rsid w:val="00C226CA"/>
    <w:rsid w:val="00C24DA7"/>
    <w:rsid w:val="00C253BD"/>
    <w:rsid w:val="00C2581C"/>
    <w:rsid w:val="00C31C86"/>
    <w:rsid w:val="00C40D8F"/>
    <w:rsid w:val="00C414D7"/>
    <w:rsid w:val="00C424E0"/>
    <w:rsid w:val="00C440B9"/>
    <w:rsid w:val="00C44FF5"/>
    <w:rsid w:val="00C4584C"/>
    <w:rsid w:val="00C462B9"/>
    <w:rsid w:val="00C46365"/>
    <w:rsid w:val="00C477EC"/>
    <w:rsid w:val="00C47DD9"/>
    <w:rsid w:val="00C51B99"/>
    <w:rsid w:val="00C51DEA"/>
    <w:rsid w:val="00C53703"/>
    <w:rsid w:val="00C538A7"/>
    <w:rsid w:val="00C54EDC"/>
    <w:rsid w:val="00C60AFB"/>
    <w:rsid w:val="00C620E0"/>
    <w:rsid w:val="00C626F0"/>
    <w:rsid w:val="00C66765"/>
    <w:rsid w:val="00C6742D"/>
    <w:rsid w:val="00C67B72"/>
    <w:rsid w:val="00C71571"/>
    <w:rsid w:val="00C71BFC"/>
    <w:rsid w:val="00C74CAB"/>
    <w:rsid w:val="00C74D9B"/>
    <w:rsid w:val="00C76317"/>
    <w:rsid w:val="00C80265"/>
    <w:rsid w:val="00C8073A"/>
    <w:rsid w:val="00C8327A"/>
    <w:rsid w:val="00C92094"/>
    <w:rsid w:val="00C93CC8"/>
    <w:rsid w:val="00C97F61"/>
    <w:rsid w:val="00CA1A42"/>
    <w:rsid w:val="00CA28C0"/>
    <w:rsid w:val="00CA37A6"/>
    <w:rsid w:val="00CB48D5"/>
    <w:rsid w:val="00CB5DFA"/>
    <w:rsid w:val="00CC005B"/>
    <w:rsid w:val="00CC22FD"/>
    <w:rsid w:val="00CC2B65"/>
    <w:rsid w:val="00CC2CDE"/>
    <w:rsid w:val="00CC484A"/>
    <w:rsid w:val="00CC4BE2"/>
    <w:rsid w:val="00CC534A"/>
    <w:rsid w:val="00CC723A"/>
    <w:rsid w:val="00CC755D"/>
    <w:rsid w:val="00CD06A3"/>
    <w:rsid w:val="00CD4325"/>
    <w:rsid w:val="00CD51A7"/>
    <w:rsid w:val="00CD6A77"/>
    <w:rsid w:val="00CE23E3"/>
    <w:rsid w:val="00CE372D"/>
    <w:rsid w:val="00CE5B1A"/>
    <w:rsid w:val="00CE604F"/>
    <w:rsid w:val="00CE61B6"/>
    <w:rsid w:val="00CE7855"/>
    <w:rsid w:val="00CF04E3"/>
    <w:rsid w:val="00CF275C"/>
    <w:rsid w:val="00CF4429"/>
    <w:rsid w:val="00CF47EC"/>
    <w:rsid w:val="00CF52FA"/>
    <w:rsid w:val="00CF6336"/>
    <w:rsid w:val="00CF7782"/>
    <w:rsid w:val="00D00559"/>
    <w:rsid w:val="00D00EF0"/>
    <w:rsid w:val="00D015F9"/>
    <w:rsid w:val="00D02430"/>
    <w:rsid w:val="00D06FF8"/>
    <w:rsid w:val="00D074FF"/>
    <w:rsid w:val="00D10A6F"/>
    <w:rsid w:val="00D1111C"/>
    <w:rsid w:val="00D152B8"/>
    <w:rsid w:val="00D161FD"/>
    <w:rsid w:val="00D1687A"/>
    <w:rsid w:val="00D16D19"/>
    <w:rsid w:val="00D23B8F"/>
    <w:rsid w:val="00D266B2"/>
    <w:rsid w:val="00D273F8"/>
    <w:rsid w:val="00D309A7"/>
    <w:rsid w:val="00D334E6"/>
    <w:rsid w:val="00D42816"/>
    <w:rsid w:val="00D42C58"/>
    <w:rsid w:val="00D43340"/>
    <w:rsid w:val="00D50467"/>
    <w:rsid w:val="00D53C76"/>
    <w:rsid w:val="00D5400D"/>
    <w:rsid w:val="00D612E4"/>
    <w:rsid w:val="00D63914"/>
    <w:rsid w:val="00D670AD"/>
    <w:rsid w:val="00D677FE"/>
    <w:rsid w:val="00D710F4"/>
    <w:rsid w:val="00D71F8F"/>
    <w:rsid w:val="00D72891"/>
    <w:rsid w:val="00D7300F"/>
    <w:rsid w:val="00D73AD8"/>
    <w:rsid w:val="00D74D46"/>
    <w:rsid w:val="00D767EC"/>
    <w:rsid w:val="00D76B92"/>
    <w:rsid w:val="00D81815"/>
    <w:rsid w:val="00D82AB1"/>
    <w:rsid w:val="00D84541"/>
    <w:rsid w:val="00D848CB"/>
    <w:rsid w:val="00D853F1"/>
    <w:rsid w:val="00D85659"/>
    <w:rsid w:val="00D86A99"/>
    <w:rsid w:val="00D874DA"/>
    <w:rsid w:val="00D87A3C"/>
    <w:rsid w:val="00D90B24"/>
    <w:rsid w:val="00D93015"/>
    <w:rsid w:val="00D931A8"/>
    <w:rsid w:val="00D93203"/>
    <w:rsid w:val="00D9582E"/>
    <w:rsid w:val="00DA4488"/>
    <w:rsid w:val="00DB47AF"/>
    <w:rsid w:val="00DB4881"/>
    <w:rsid w:val="00DB4C8E"/>
    <w:rsid w:val="00DB6D25"/>
    <w:rsid w:val="00DC2450"/>
    <w:rsid w:val="00DC71E3"/>
    <w:rsid w:val="00DD1908"/>
    <w:rsid w:val="00DD2F9C"/>
    <w:rsid w:val="00DD3873"/>
    <w:rsid w:val="00DD7F8F"/>
    <w:rsid w:val="00DF0305"/>
    <w:rsid w:val="00DF0DE0"/>
    <w:rsid w:val="00DF205C"/>
    <w:rsid w:val="00DF4E67"/>
    <w:rsid w:val="00DF56E7"/>
    <w:rsid w:val="00DF5973"/>
    <w:rsid w:val="00DF6C77"/>
    <w:rsid w:val="00E00D6F"/>
    <w:rsid w:val="00E01E7B"/>
    <w:rsid w:val="00E05667"/>
    <w:rsid w:val="00E06EB4"/>
    <w:rsid w:val="00E070FA"/>
    <w:rsid w:val="00E07F17"/>
    <w:rsid w:val="00E110BF"/>
    <w:rsid w:val="00E11E01"/>
    <w:rsid w:val="00E1322F"/>
    <w:rsid w:val="00E14171"/>
    <w:rsid w:val="00E154DD"/>
    <w:rsid w:val="00E1683A"/>
    <w:rsid w:val="00E203BA"/>
    <w:rsid w:val="00E21654"/>
    <w:rsid w:val="00E22321"/>
    <w:rsid w:val="00E22E75"/>
    <w:rsid w:val="00E30707"/>
    <w:rsid w:val="00E30A0D"/>
    <w:rsid w:val="00E32D4F"/>
    <w:rsid w:val="00E34F94"/>
    <w:rsid w:val="00E356AB"/>
    <w:rsid w:val="00E36A21"/>
    <w:rsid w:val="00E37505"/>
    <w:rsid w:val="00E37A45"/>
    <w:rsid w:val="00E40771"/>
    <w:rsid w:val="00E442E3"/>
    <w:rsid w:val="00E4519F"/>
    <w:rsid w:val="00E46588"/>
    <w:rsid w:val="00E477C7"/>
    <w:rsid w:val="00E50AB5"/>
    <w:rsid w:val="00E525A6"/>
    <w:rsid w:val="00E532A4"/>
    <w:rsid w:val="00E53C4D"/>
    <w:rsid w:val="00E53FE4"/>
    <w:rsid w:val="00E54004"/>
    <w:rsid w:val="00E5624D"/>
    <w:rsid w:val="00E600B9"/>
    <w:rsid w:val="00E61582"/>
    <w:rsid w:val="00E64A47"/>
    <w:rsid w:val="00E64AB4"/>
    <w:rsid w:val="00E656F5"/>
    <w:rsid w:val="00E65DB1"/>
    <w:rsid w:val="00E66AD9"/>
    <w:rsid w:val="00E729A1"/>
    <w:rsid w:val="00E828B9"/>
    <w:rsid w:val="00E84FFD"/>
    <w:rsid w:val="00E863E7"/>
    <w:rsid w:val="00E86F6D"/>
    <w:rsid w:val="00E91E90"/>
    <w:rsid w:val="00E92600"/>
    <w:rsid w:val="00E9475E"/>
    <w:rsid w:val="00E9622A"/>
    <w:rsid w:val="00EB056A"/>
    <w:rsid w:val="00EB420A"/>
    <w:rsid w:val="00EB5300"/>
    <w:rsid w:val="00EB5922"/>
    <w:rsid w:val="00EB642B"/>
    <w:rsid w:val="00EC0074"/>
    <w:rsid w:val="00EC1493"/>
    <w:rsid w:val="00EC1B2C"/>
    <w:rsid w:val="00EC42E4"/>
    <w:rsid w:val="00EC6896"/>
    <w:rsid w:val="00ED11D0"/>
    <w:rsid w:val="00ED20BE"/>
    <w:rsid w:val="00ED496D"/>
    <w:rsid w:val="00ED5355"/>
    <w:rsid w:val="00ED58CB"/>
    <w:rsid w:val="00ED605C"/>
    <w:rsid w:val="00EE4331"/>
    <w:rsid w:val="00EE52FA"/>
    <w:rsid w:val="00EE53A6"/>
    <w:rsid w:val="00EE6827"/>
    <w:rsid w:val="00EE6B71"/>
    <w:rsid w:val="00EF1BC0"/>
    <w:rsid w:val="00EF1F7C"/>
    <w:rsid w:val="00EF754B"/>
    <w:rsid w:val="00F00542"/>
    <w:rsid w:val="00F008F4"/>
    <w:rsid w:val="00F0184B"/>
    <w:rsid w:val="00F07287"/>
    <w:rsid w:val="00F07E2D"/>
    <w:rsid w:val="00F10E91"/>
    <w:rsid w:val="00F120ED"/>
    <w:rsid w:val="00F23A32"/>
    <w:rsid w:val="00F27B73"/>
    <w:rsid w:val="00F30BD7"/>
    <w:rsid w:val="00F36F30"/>
    <w:rsid w:val="00F37CC3"/>
    <w:rsid w:val="00F45DDE"/>
    <w:rsid w:val="00F46B31"/>
    <w:rsid w:val="00F47B76"/>
    <w:rsid w:val="00F47DD3"/>
    <w:rsid w:val="00F520FE"/>
    <w:rsid w:val="00F56A6C"/>
    <w:rsid w:val="00F64477"/>
    <w:rsid w:val="00F665FF"/>
    <w:rsid w:val="00F671D3"/>
    <w:rsid w:val="00F70C77"/>
    <w:rsid w:val="00F7604A"/>
    <w:rsid w:val="00F80A55"/>
    <w:rsid w:val="00F80CC7"/>
    <w:rsid w:val="00F81338"/>
    <w:rsid w:val="00F830A7"/>
    <w:rsid w:val="00F83AC1"/>
    <w:rsid w:val="00F83AE2"/>
    <w:rsid w:val="00F8446C"/>
    <w:rsid w:val="00F85B8A"/>
    <w:rsid w:val="00F87060"/>
    <w:rsid w:val="00F9258E"/>
    <w:rsid w:val="00F95F19"/>
    <w:rsid w:val="00FA789D"/>
    <w:rsid w:val="00FC2537"/>
    <w:rsid w:val="00FC7343"/>
    <w:rsid w:val="00FC799F"/>
    <w:rsid w:val="00FD1827"/>
    <w:rsid w:val="00FD2024"/>
    <w:rsid w:val="00FD3307"/>
    <w:rsid w:val="00FD4621"/>
    <w:rsid w:val="00FD481C"/>
    <w:rsid w:val="00FD703D"/>
    <w:rsid w:val="00FE26F8"/>
    <w:rsid w:val="00FE32FD"/>
    <w:rsid w:val="00FE4677"/>
    <w:rsid w:val="00FE60E8"/>
    <w:rsid w:val="00FE61C7"/>
    <w:rsid w:val="00FE6717"/>
    <w:rsid w:val="00FF0215"/>
    <w:rsid w:val="00FF6864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5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  <w:style w:type="table" w:styleId="LightShading-Accent3">
    <w:name w:val="Light Shading Accent 3"/>
    <w:basedOn w:val="TableNormal"/>
    <w:uiPriority w:val="60"/>
    <w:rsid w:val="00CE5B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F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CE6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1D723D"/>
    <w:pPr>
      <w:keepNext/>
      <w:spacing w:before="240" w:after="240"/>
      <w:ind w:left="90"/>
      <w:outlineLvl w:val="1"/>
    </w:pPr>
    <w:rPr>
      <w:rFonts w:ascii="Arial Bold" w:eastAsia="Calibri" w:hAnsi="Arial Bold"/>
      <w:b/>
      <w:noProof/>
      <w:color w:val="5F497A"/>
      <w:sz w:val="28"/>
    </w:rPr>
  </w:style>
  <w:style w:type="paragraph" w:styleId="Heading3">
    <w:name w:val="heading 3"/>
    <w:basedOn w:val="Normal"/>
    <w:next w:val="Normal"/>
    <w:link w:val="Heading3Char"/>
    <w:qFormat/>
    <w:rsid w:val="001D723D"/>
    <w:pPr>
      <w:keepNext/>
      <w:spacing w:before="240" w:after="60"/>
      <w:ind w:left="90"/>
      <w:outlineLvl w:val="2"/>
    </w:pPr>
    <w:rPr>
      <w:rFonts w:ascii="Calibri" w:eastAsia="Calibri" w:hAnsi="Calibri" w:cs="Arial"/>
      <w:b/>
      <w:bCs/>
      <w:noProof/>
      <w:color w:val="548DD4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D723D"/>
    <w:pPr>
      <w:keepNext/>
      <w:spacing w:before="240" w:after="60"/>
      <w:ind w:left="90"/>
      <w:outlineLvl w:val="3"/>
    </w:pPr>
    <w:rPr>
      <w:rFonts w:ascii="Calibri" w:eastAsia="Calibri" w:hAnsi="Calibri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723D"/>
    <w:pPr>
      <w:spacing w:before="240" w:after="40"/>
      <w:ind w:left="90"/>
      <w:outlineLvl w:val="4"/>
    </w:pPr>
    <w:rPr>
      <w:rFonts w:ascii="Calibri" w:eastAsia="Calibri" w:hAnsi="Calibri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723D"/>
    <w:pPr>
      <w:keepNext/>
      <w:tabs>
        <w:tab w:val="left" w:pos="6030"/>
      </w:tabs>
      <w:spacing w:line="360" w:lineRule="auto"/>
      <w:ind w:left="90"/>
      <w:outlineLvl w:val="5"/>
    </w:pPr>
    <w:rPr>
      <w:rFonts w:ascii="Calibri" w:eastAsia="Calibri" w:hAnsi="Calibri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1D723D"/>
    <w:pPr>
      <w:keepNext/>
      <w:numPr>
        <w:ilvl w:val="6"/>
        <w:numId w:val="31"/>
      </w:numPr>
      <w:tabs>
        <w:tab w:val="left" w:pos="5400"/>
      </w:tabs>
      <w:ind w:left="4680" w:hanging="360"/>
      <w:outlineLvl w:val="6"/>
    </w:pPr>
    <w:rPr>
      <w:rFonts w:eastAsia="Calibri"/>
      <w:noProof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723D"/>
    <w:pPr>
      <w:keepNext/>
      <w:ind w:left="90"/>
      <w:jc w:val="center"/>
      <w:outlineLvl w:val="7"/>
    </w:pPr>
    <w:rPr>
      <w:rFonts w:ascii="Calibri" w:eastAsia="Calibri" w:hAnsi="Calibri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723D"/>
    <w:pPr>
      <w:keepNext/>
      <w:tabs>
        <w:tab w:val="left" w:pos="3870"/>
        <w:tab w:val="left" w:pos="6030"/>
      </w:tabs>
      <w:spacing w:line="480" w:lineRule="auto"/>
      <w:ind w:left="90"/>
      <w:outlineLvl w:val="8"/>
    </w:pPr>
    <w:rPr>
      <w:rFonts w:ascii="Calibri" w:eastAsia="Calibri" w:hAnsi="Calibri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CE604F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CE60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604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60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604F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604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E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604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E604F"/>
    <w:pPr>
      <w:spacing w:after="120"/>
    </w:pPr>
  </w:style>
  <w:style w:type="character" w:customStyle="1" w:styleId="BodyTextChar">
    <w:name w:val="Body Text Char"/>
    <w:link w:val="BodyText"/>
    <w:uiPriority w:val="99"/>
    <w:rsid w:val="00CE604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E604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CE604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CE604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604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604F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604F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CE604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604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60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604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rsid w:val="00CE604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locked/>
    <w:rsid w:val="00CE604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link w:val="CERTableText9ptChar"/>
    <w:rsid w:val="00CE604F"/>
    <w:pPr>
      <w:spacing w:after="60"/>
    </w:pPr>
    <w:rPr>
      <w:rFonts w:ascii="Arial" w:eastAsia="Times New Roman" w:hAnsi="Arial"/>
      <w:sz w:val="18"/>
    </w:rPr>
  </w:style>
  <w:style w:type="paragraph" w:customStyle="1" w:styleId="ChapterHeading0">
    <w:name w:val="ChapterHeading"/>
    <w:qFormat/>
    <w:rsid w:val="00CE60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CE60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604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CE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604F"/>
    <w:rPr>
      <w:b/>
      <w:bCs/>
    </w:rPr>
  </w:style>
  <w:style w:type="character" w:customStyle="1" w:styleId="CommentSubjectChar">
    <w:name w:val="Comment Subject Char"/>
    <w:link w:val="CommentSubject"/>
    <w:rsid w:val="00CE604F"/>
    <w:rPr>
      <w:b/>
      <w:bCs/>
    </w:rPr>
  </w:style>
  <w:style w:type="paragraph" w:customStyle="1" w:styleId="Contents">
    <w:name w:val="Contents"/>
    <w:qFormat/>
    <w:rsid w:val="00CE604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6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604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604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604F"/>
    <w:rPr>
      <w:sz w:val="22"/>
      <w:szCs w:val="22"/>
    </w:rPr>
  </w:style>
  <w:style w:type="paragraph" w:customStyle="1" w:styleId="FrontMatterHead">
    <w:name w:val="FrontMatterHead"/>
    <w:qFormat/>
    <w:rsid w:val="00CE604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604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0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604F"/>
    <w:rPr>
      <w:sz w:val="22"/>
      <w:szCs w:val="22"/>
    </w:rPr>
  </w:style>
  <w:style w:type="paragraph" w:customStyle="1" w:styleId="HeadingA">
    <w:name w:val="Heading A"/>
    <w:basedOn w:val="Normal"/>
    <w:rsid w:val="00CE604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604F"/>
    <w:rPr>
      <w:color w:val="0000FF" w:themeColor="hyperlink"/>
      <w:u w:val="single"/>
    </w:rPr>
  </w:style>
  <w:style w:type="paragraph" w:customStyle="1" w:styleId="Investigators">
    <w:name w:val="Investigators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604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CE604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604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604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604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604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604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604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604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6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604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CE60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604F"/>
    <w:pPr>
      <w:numPr>
        <w:numId w:val="16"/>
      </w:numPr>
    </w:pPr>
  </w:style>
  <w:style w:type="paragraph" w:customStyle="1" w:styleId="NumberLine">
    <w:name w:val="NumberLine"/>
    <w:qFormat/>
    <w:rsid w:val="00CE604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604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604F"/>
  </w:style>
  <w:style w:type="paragraph" w:customStyle="1" w:styleId="PageNumber0">
    <w:name w:val="PageNumber"/>
    <w:qFormat/>
    <w:rsid w:val="00CE604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CE604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604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604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E604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604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604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604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604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E604F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E604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604F"/>
  </w:style>
  <w:style w:type="paragraph" w:customStyle="1" w:styleId="TableBoldText">
    <w:name w:val="TableBoldText"/>
    <w:qFormat/>
    <w:rsid w:val="00CE604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604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E604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604F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CE604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604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CE604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604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CE604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CE604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qFormat/>
    <w:rsid w:val="00CE604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CE604F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604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604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1D723D"/>
    <w:rPr>
      <w:rFonts w:ascii="Arial Bold" w:hAnsi="Arial Bold"/>
      <w:b/>
      <w:noProof/>
      <w:color w:val="5F497A"/>
      <w:sz w:val="28"/>
    </w:rPr>
  </w:style>
  <w:style w:type="character" w:customStyle="1" w:styleId="Heading3Char">
    <w:name w:val="Heading 3 Char"/>
    <w:basedOn w:val="DefaultParagraphFont"/>
    <w:link w:val="Heading3"/>
    <w:rsid w:val="001D723D"/>
    <w:rPr>
      <w:rFonts w:cs="Arial"/>
      <w:b/>
      <w:bCs/>
      <w:noProof/>
      <w:color w:val="548DD4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D723D"/>
    <w:rPr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723D"/>
    <w:rPr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723D"/>
    <w:rPr>
      <w:b/>
      <w:noProof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D723D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D723D"/>
    <w:rPr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1D723D"/>
    <w:rPr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1D723D"/>
    <w:pPr>
      <w:spacing w:after="240"/>
    </w:pPr>
    <w:rPr>
      <w:rFonts w:ascii="Arial" w:hAnsi="Arial"/>
      <w:b/>
      <w:sz w:val="20"/>
    </w:rPr>
  </w:style>
  <w:style w:type="character" w:customStyle="1" w:styleId="ChapterHeadingChar">
    <w:name w:val="Chapter Heading Char"/>
    <w:link w:val="ChapterHeading"/>
    <w:locked/>
    <w:rsid w:val="001D723D"/>
    <w:rPr>
      <w:rFonts w:ascii="Arial" w:eastAsia="Times New Roman" w:hAnsi="Arial"/>
      <w:b/>
    </w:rPr>
  </w:style>
  <w:style w:type="character" w:customStyle="1" w:styleId="CaptionChar">
    <w:name w:val="Caption Char"/>
    <w:link w:val="Caption"/>
    <w:locked/>
    <w:rsid w:val="001D723D"/>
    <w:rPr>
      <w:rFonts w:ascii="Times" w:eastAsia="Times New Roman" w:hAnsi="Times"/>
      <w:b/>
      <w:bCs/>
    </w:rPr>
  </w:style>
  <w:style w:type="character" w:customStyle="1" w:styleId="CERTableText9ptChar">
    <w:name w:val="CER TableText9pt Char"/>
    <w:link w:val="CERTableText9pt"/>
    <w:locked/>
    <w:rsid w:val="001D723D"/>
    <w:rPr>
      <w:rFonts w:ascii="Arial" w:eastAsia="Times New Roman" w:hAnsi="Arial"/>
      <w:sz w:val="18"/>
    </w:rPr>
  </w:style>
  <w:style w:type="character" w:customStyle="1" w:styleId="ParagraphIndentChar">
    <w:name w:val="ParagraphIndent Char"/>
    <w:link w:val="ParagraphIndent"/>
    <w:rsid w:val="001D723D"/>
    <w:rPr>
      <w:rFonts w:ascii="Times New Roman" w:hAnsi="Times New Roman"/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1D723D"/>
    <w:rPr>
      <w:rFonts w:ascii="Times New Roman" w:eastAsia="Times New Roman" w:hAnsi="Times New Roman"/>
      <w:bCs/>
      <w:sz w:val="24"/>
      <w:szCs w:val="24"/>
    </w:rPr>
  </w:style>
  <w:style w:type="character" w:customStyle="1" w:styleId="TableNoteChar">
    <w:name w:val="TableNote Char"/>
    <w:link w:val="TableNote"/>
    <w:rsid w:val="001D723D"/>
    <w:rPr>
      <w:rFonts w:ascii="Times New Roman" w:eastAsia="Times New Roman" w:hAnsi="Times New Roman"/>
      <w:bCs/>
      <w:sz w:val="18"/>
      <w:szCs w:val="24"/>
    </w:rPr>
  </w:style>
  <w:style w:type="character" w:customStyle="1" w:styleId="TableTextChar">
    <w:name w:val="TableText Char"/>
    <w:link w:val="TableText"/>
    <w:rsid w:val="001D723D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723D"/>
    <w:rPr>
      <w:rFonts w:ascii="Times" w:eastAsia="Times New Roman" w:hAnsi="Times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D723D"/>
    <w:rPr>
      <w:rFonts w:ascii="Tahoma" w:eastAsia="Times New Roman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1D723D"/>
    <w:pPr>
      <w:shd w:val="clear" w:color="auto" w:fill="000080"/>
    </w:pPr>
    <w:rPr>
      <w:rFonts w:ascii="Tahoma" w:hAnsi="Tahoma"/>
      <w:sz w:val="20"/>
    </w:rPr>
  </w:style>
  <w:style w:type="character" w:customStyle="1" w:styleId="DocumentMapChar1">
    <w:name w:val="Document Map Char1"/>
    <w:basedOn w:val="DefaultParagraphFont"/>
    <w:uiPriority w:val="99"/>
    <w:semiHidden/>
    <w:rsid w:val="001D723D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Heading5"/>
    <w:rsid w:val="001D723D"/>
    <w:pPr>
      <w:numPr>
        <w:ilvl w:val="4"/>
      </w:numPr>
      <w:ind w:left="90"/>
    </w:pPr>
  </w:style>
  <w:style w:type="paragraph" w:customStyle="1" w:styleId="Style8ptBefore0ptAfter0pt">
    <w:name w:val="Style 8 pt Before:  0 pt After:  0 pt"/>
    <w:basedOn w:val="Normal"/>
    <w:rsid w:val="001D723D"/>
    <w:rPr>
      <w:rFonts w:ascii="Times New Roman" w:eastAsia="Calibri" w:hAnsi="Times New Roman"/>
      <w:noProof/>
      <w:sz w:val="16"/>
    </w:rPr>
  </w:style>
  <w:style w:type="paragraph" w:customStyle="1" w:styleId="TableText0">
    <w:name w:val="Table Text"/>
    <w:basedOn w:val="Default"/>
    <w:next w:val="Default"/>
    <w:uiPriority w:val="99"/>
    <w:rsid w:val="001D723D"/>
    <w:rPr>
      <w:rFonts w:ascii="Arial" w:hAnsi="Arial"/>
      <w:color w:val="auto"/>
    </w:rPr>
  </w:style>
  <w:style w:type="paragraph" w:styleId="Title">
    <w:name w:val="Title"/>
    <w:basedOn w:val="Normal"/>
    <w:link w:val="TitleChar"/>
    <w:uiPriority w:val="10"/>
    <w:qFormat/>
    <w:rsid w:val="001D723D"/>
    <w:pPr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1D723D"/>
    <w:rPr>
      <w:rFonts w:ascii="Times New Roman" w:eastAsia="Times New Roman" w:hAnsi="Times New Roman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3D"/>
    <w:pPr>
      <w:spacing w:after="60"/>
      <w:jc w:val="center"/>
      <w:outlineLvl w:val="1"/>
    </w:pPr>
    <w:rPr>
      <w:rFonts w:ascii="Times New Roman" w:hAnsi="Times New Roman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723D"/>
    <w:rPr>
      <w:rFonts w:ascii="Times New Roman" w:eastAsia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D723D"/>
    <w:rPr>
      <w:rFonts w:ascii="Times New Roman" w:hAnsi="Times New Roman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23D"/>
    <w:rPr>
      <w:rFonts w:ascii="Times New Roman" w:eastAsia="Times New Roman" w:hAnsi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3D"/>
    <w:pPr>
      <w:ind w:left="720" w:right="720"/>
    </w:pPr>
    <w:rPr>
      <w:rFonts w:ascii="Times New Roman" w:hAnsi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3D"/>
    <w:rPr>
      <w:rFonts w:ascii="Times New Roman" w:eastAsia="Times New Roman" w:hAnsi="Times New Roman"/>
      <w:b/>
      <w:i/>
    </w:rPr>
  </w:style>
  <w:style w:type="paragraph" w:customStyle="1" w:styleId="StyleCaptionArial9pt">
    <w:name w:val="Style Caption + Arial 9 pt"/>
    <w:basedOn w:val="Caption"/>
    <w:link w:val="StyleCaptionArial9ptChar"/>
    <w:rsid w:val="001D723D"/>
    <w:pPr>
      <w:spacing w:before="40" w:after="40"/>
    </w:pPr>
    <w:rPr>
      <w:rFonts w:ascii="Arial" w:hAnsi="Arial"/>
    </w:rPr>
  </w:style>
  <w:style w:type="character" w:customStyle="1" w:styleId="StyleCaptionArial9ptChar">
    <w:name w:val="Style Caption + Arial 9 pt Char"/>
    <w:link w:val="StyleCaptionArial9pt"/>
    <w:locked/>
    <w:rsid w:val="001D723D"/>
    <w:rPr>
      <w:rFonts w:ascii="Arial" w:eastAsia="Times New Roman" w:hAnsi="Arial"/>
      <w:b/>
      <w:bCs/>
    </w:rPr>
  </w:style>
  <w:style w:type="character" w:customStyle="1" w:styleId="CharCharChar">
    <w:name w:val="Char Char Char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1D723D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1D723D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1D723D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1D723D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1D723D"/>
    <w:pPr>
      <w:spacing w:after="240"/>
    </w:pPr>
    <w:rPr>
      <w:rFonts w:ascii="Arial Bold" w:eastAsia="Calibri" w:hAnsi="Arial Bold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1D723D"/>
    <w:rPr>
      <w:rFonts w:ascii="Arial Bold" w:hAnsi="Arial Bold"/>
      <w:b/>
      <w:noProof/>
      <w:sz w:val="24"/>
    </w:rPr>
  </w:style>
  <w:style w:type="paragraph" w:customStyle="1" w:styleId="TableandFigureHeading">
    <w:name w:val="Table and Figure Heading"/>
    <w:link w:val="TableandFigureHeadingChar"/>
    <w:rsid w:val="001D723D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rsid w:val="001D723D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1D723D"/>
    <w:rPr>
      <w:rFonts w:ascii="Times New Roman" w:hAnsi="Times New Roman"/>
      <w:b/>
      <w:sz w:val="36"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1D723D"/>
    <w:rPr>
      <w:rFonts w:ascii="Times New Roman" w:eastAsia="Times New Roman" w:hAnsi="Times New Roman"/>
      <w:b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1D723D"/>
    <w:rPr>
      <w:bCs/>
      <w:iCs/>
      <w:sz w:val="24"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1D723D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1D723D"/>
    <w:pPr>
      <w:numPr>
        <w:ilvl w:val="2"/>
      </w:numPr>
      <w:ind w:left="90"/>
    </w:pPr>
    <w:rPr>
      <w:b w:val="0"/>
      <w:i/>
      <w:szCs w:val="24"/>
    </w:rPr>
  </w:style>
  <w:style w:type="character" w:customStyle="1" w:styleId="Heading4Char0">
    <w:name w:val="Heading  4 Char"/>
    <w:link w:val="Heading40"/>
    <w:uiPriority w:val="99"/>
    <w:locked/>
    <w:rsid w:val="001D723D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1D723D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1D723D"/>
    <w:pPr>
      <w:tabs>
        <w:tab w:val="left" w:leader="dot" w:pos="8827"/>
      </w:tabs>
      <w:spacing w:after="0"/>
    </w:pPr>
    <w:rPr>
      <w:rFonts w:ascii="Times New Roman" w:hAnsi="Times New Roman"/>
      <w:sz w:val="20"/>
    </w:rPr>
  </w:style>
  <w:style w:type="paragraph" w:customStyle="1" w:styleId="TableofContents2">
    <w:name w:val="Table of Contents 2"/>
    <w:basedOn w:val="Normal"/>
    <w:uiPriority w:val="99"/>
    <w:rsid w:val="001D723D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1D723D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23D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1D723D"/>
    <w:rPr>
      <w:rFonts w:cs="Times New Roman"/>
      <w:vertAlign w:val="superscript"/>
    </w:rPr>
  </w:style>
  <w:style w:type="character" w:styleId="Emphasis">
    <w:name w:val="Emphasis"/>
    <w:uiPriority w:val="20"/>
    <w:qFormat/>
    <w:rsid w:val="001D723D"/>
    <w:rPr>
      <w:rFonts w:cs="Times New Roman"/>
      <w:i/>
      <w:iCs/>
    </w:rPr>
  </w:style>
  <w:style w:type="character" w:customStyle="1" w:styleId="TitlePageBold">
    <w:name w:val="Title Page Bold"/>
    <w:uiPriority w:val="99"/>
    <w:rsid w:val="001D723D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1D723D"/>
  </w:style>
  <w:style w:type="paragraph" w:customStyle="1" w:styleId="StructuredAbstractHeading">
    <w:name w:val="Structured Abstract Heading"/>
    <w:basedOn w:val="PrefaceHeading"/>
    <w:autoRedefine/>
    <w:rsid w:val="001D723D"/>
  </w:style>
  <w:style w:type="paragraph" w:customStyle="1" w:styleId="ContentsHeading">
    <w:name w:val="Contents Heading"/>
    <w:basedOn w:val="PrefaceHeading"/>
    <w:autoRedefine/>
    <w:uiPriority w:val="99"/>
    <w:rsid w:val="001D723D"/>
  </w:style>
  <w:style w:type="character" w:customStyle="1" w:styleId="ContentsFiguresHeading">
    <w:name w:val="Contents Figures Heading"/>
    <w:uiPriority w:val="99"/>
    <w:rsid w:val="001D723D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1D723D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1D723D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1D723D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1D723D"/>
    <w:pPr>
      <w:ind w:firstLine="0"/>
    </w:pPr>
    <w:rPr>
      <w:rFonts w:ascii="Arial" w:eastAsia="Times New Roman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1D723D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1D723D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1D723D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1D723D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1D723D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1D723D"/>
    <w:pPr>
      <w:spacing w:after="0"/>
    </w:pPr>
    <w:rPr>
      <w:rFonts w:ascii="Times New Roman" w:eastAsia="Times" w:hAnsi="Times New Roman" w:cs="Tahoma"/>
      <w:sz w:val="20"/>
    </w:rPr>
  </w:style>
  <w:style w:type="paragraph" w:customStyle="1" w:styleId="Index">
    <w:name w:val="Index"/>
    <w:basedOn w:val="Normal"/>
    <w:rsid w:val="001D723D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1D723D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1D723D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1D723D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723D"/>
    <w:rPr>
      <w:rFonts w:ascii="Times New Roman" w:eastAsia="Times" w:hAnsi="Times New Roman"/>
      <w:noProof/>
      <w:sz w:val="16"/>
      <w:szCs w:val="16"/>
    </w:rPr>
  </w:style>
  <w:style w:type="paragraph" w:customStyle="1" w:styleId="TableHeaders">
    <w:name w:val="Table Headers"/>
    <w:rsid w:val="001D723D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1D723D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1D723D"/>
    <w:rPr>
      <w:rFonts w:ascii="Calibri" w:eastAsia="Times" w:hAnsi="Calibri"/>
      <w:b/>
    </w:rPr>
  </w:style>
  <w:style w:type="character" w:customStyle="1" w:styleId="Firstline025Char">
    <w:name w:val="First line:  0.25&quot; Char"/>
    <w:link w:val="Firstline025"/>
    <w:rsid w:val="001D723D"/>
    <w:rPr>
      <w:rFonts w:eastAsia="Times"/>
      <w:b/>
      <w:sz w:val="24"/>
    </w:rPr>
  </w:style>
  <w:style w:type="paragraph" w:customStyle="1" w:styleId="indentednumberedlist">
    <w:name w:val="indented numbered list"/>
    <w:basedOn w:val="Normal"/>
    <w:rsid w:val="001D723D"/>
    <w:pPr>
      <w:numPr>
        <w:numId w:val="32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1D723D"/>
    <w:pPr>
      <w:spacing w:after="0"/>
    </w:pPr>
    <w:rPr>
      <w:rFonts w:ascii="Times New Roman" w:eastAsia="Times" w:hAnsi="Times New Roman"/>
      <w:sz w:val="20"/>
    </w:rPr>
  </w:style>
  <w:style w:type="paragraph" w:customStyle="1" w:styleId="TableContents">
    <w:name w:val="Table Contents"/>
    <w:basedOn w:val="Normal"/>
    <w:rsid w:val="001D723D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1D723D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1D723D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1D723D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1D723D"/>
    <w:rPr>
      <w:i/>
    </w:rPr>
  </w:style>
  <w:style w:type="paragraph" w:customStyle="1" w:styleId="LegendTweakOnly">
    <w:name w:val="Legend Tweak Only"/>
    <w:basedOn w:val="Legend"/>
    <w:qFormat/>
    <w:rsid w:val="001D723D"/>
    <w:rPr>
      <w:rFonts w:eastAsia="Times"/>
    </w:rPr>
  </w:style>
  <w:style w:type="paragraph" w:customStyle="1" w:styleId="FootnoteTweakOnly">
    <w:name w:val="Footnote Tweak Only"/>
    <w:basedOn w:val="Footnote"/>
    <w:qFormat/>
    <w:rsid w:val="001D723D"/>
  </w:style>
  <w:style w:type="paragraph" w:customStyle="1" w:styleId="CER">
    <w:name w:val="CER"/>
    <w:basedOn w:val="Normal"/>
    <w:rsid w:val="001D723D"/>
    <w:pPr>
      <w:numPr>
        <w:numId w:val="33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1D723D"/>
    <w:pPr>
      <w:numPr>
        <w:numId w:val="29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1D723D"/>
    <w:pPr>
      <w:spacing w:before="60"/>
      <w:ind w:firstLine="360"/>
    </w:pPr>
    <w:rPr>
      <w:rFonts w:ascii="Arial" w:eastAsia="Calibri" w:hAnsi="Arial" w:cs="Arial"/>
      <w:color w:val="000000"/>
      <w:sz w:val="20"/>
    </w:rPr>
  </w:style>
  <w:style w:type="character" w:customStyle="1" w:styleId="CERexecsumtextChar">
    <w:name w:val="CER exec sum text Char"/>
    <w:link w:val="CERexecsumtext"/>
    <w:rsid w:val="001D723D"/>
    <w:rPr>
      <w:rFonts w:ascii="Arial" w:hAnsi="Arial" w:cs="Arial"/>
      <w:color w:val="000000"/>
    </w:rPr>
  </w:style>
  <w:style w:type="paragraph" w:styleId="TOC4">
    <w:name w:val="toc 4"/>
    <w:basedOn w:val="Normal"/>
    <w:next w:val="Normal"/>
    <w:autoRedefine/>
    <w:uiPriority w:val="39"/>
    <w:rsid w:val="001D723D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1D723D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1D723D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1D723D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1D723D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1D723D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1D723D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1D723D"/>
    <w:pPr>
      <w:keepNext/>
    </w:pPr>
    <w:rPr>
      <w:rFonts w:ascii="Arial" w:hAnsi="Arial"/>
      <w:lang w:eastAsia="en-GB"/>
    </w:rPr>
  </w:style>
  <w:style w:type="paragraph" w:customStyle="1" w:styleId="instructions">
    <w:name w:val="instructions"/>
    <w:basedOn w:val="Normal"/>
    <w:rsid w:val="001D723D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1D723D"/>
    <w:rPr>
      <w:rFonts w:ascii="Calibri" w:eastAsia="Calibri" w:hAnsi="Calibri"/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1D723D"/>
    <w:rPr>
      <w:rFonts w:ascii="Arial" w:eastAsia="Calibri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1D723D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1D723D"/>
    <w:pPr>
      <w:keepNext/>
      <w:spacing w:before="240" w:after="60"/>
    </w:pPr>
    <w:rPr>
      <w:rFonts w:ascii="Calibri" w:eastAsia="Calibri" w:hAnsi="Calibri"/>
      <w:b/>
      <w:lang w:val="en-CA"/>
    </w:rPr>
  </w:style>
  <w:style w:type="paragraph" w:customStyle="1" w:styleId="CERTOC1">
    <w:name w:val="CER TOC 1"/>
    <w:basedOn w:val="Normal"/>
    <w:qFormat/>
    <w:rsid w:val="001D723D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1D723D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1D723D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1D723D"/>
    <w:pPr>
      <w:tabs>
        <w:tab w:val="right" w:leader="dot" w:pos="9360"/>
      </w:tabs>
    </w:pPr>
    <w:rPr>
      <w:rFonts w:ascii="Calibri" w:eastAsia="Calibri" w:hAnsi="Calibri"/>
      <w:b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1D723D"/>
    <w:pPr>
      <w:tabs>
        <w:tab w:val="right" w:leader="dot" w:pos="9360"/>
      </w:tabs>
    </w:pPr>
    <w:rPr>
      <w:rFonts w:ascii="Calibri" w:eastAsia="Calibri" w:hAnsi="Calibri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1D723D"/>
    <w:rPr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1D723D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1D723D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1D723D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1D723D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1D723D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1D723D"/>
    <w:pPr>
      <w:jc w:val="center"/>
    </w:pPr>
    <w:rPr>
      <w:szCs w:val="20"/>
    </w:rPr>
  </w:style>
  <w:style w:type="character" w:customStyle="1" w:styleId="TableBoldText8">
    <w:name w:val="TableBoldText8"/>
    <w:rsid w:val="001D723D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1D723D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paragraph" w:customStyle="1" w:styleId="OtherFrontmatterHeadings">
    <w:name w:val="Other Frontmatter Headings"/>
    <w:basedOn w:val="Normal"/>
    <w:rsid w:val="001D723D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1D723D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1D723D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1D723D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1D723D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1D723D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1D723D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1D723D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1D723D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ReferenceList">
    <w:name w:val="Reference List"/>
    <w:basedOn w:val="Normal"/>
    <w:rsid w:val="001D723D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1D723D"/>
    <w:rPr>
      <w:sz w:val="18"/>
    </w:rPr>
  </w:style>
  <w:style w:type="character" w:customStyle="1" w:styleId="FigureNarrativeBold">
    <w:name w:val="Figure Narrative Bold"/>
    <w:rsid w:val="001D723D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1D723D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1D723D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1D723D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1D723D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1D723D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1D723D"/>
    <w:rPr>
      <w:sz w:val="20"/>
      <w:szCs w:val="20"/>
    </w:rPr>
  </w:style>
  <w:style w:type="character" w:customStyle="1" w:styleId="citation-publication-date">
    <w:name w:val="citation-publication-date"/>
    <w:rsid w:val="001D723D"/>
    <w:rPr>
      <w:sz w:val="20"/>
      <w:szCs w:val="20"/>
    </w:rPr>
  </w:style>
  <w:style w:type="character" w:customStyle="1" w:styleId="citation-volume">
    <w:name w:val="citation-volume"/>
    <w:rsid w:val="001D723D"/>
    <w:rPr>
      <w:sz w:val="20"/>
      <w:szCs w:val="20"/>
    </w:rPr>
  </w:style>
  <w:style w:type="character" w:customStyle="1" w:styleId="citation-issue">
    <w:name w:val="citation-issue"/>
    <w:rsid w:val="001D723D"/>
    <w:rPr>
      <w:sz w:val="20"/>
      <w:szCs w:val="20"/>
    </w:rPr>
  </w:style>
  <w:style w:type="character" w:customStyle="1" w:styleId="citation-flpages">
    <w:name w:val="citation-flpages"/>
    <w:rsid w:val="001D723D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1D723D"/>
    <w:rPr>
      <w:rFonts w:ascii="Arial" w:hAnsi="Arial"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1D723D"/>
    <w:rPr>
      <w:rFonts w:ascii="Arial" w:eastAsia="Times New Roman" w:hAnsi="Arial"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1D723D"/>
    <w:pPr>
      <w:ind w:left="0"/>
    </w:pPr>
    <w:rPr>
      <w:rFonts w:eastAsia="Times New Roman"/>
    </w:rPr>
  </w:style>
  <w:style w:type="paragraph" w:customStyle="1" w:styleId="CERLevel5Heading">
    <w:name w:val="CER Level5Heading"/>
    <w:basedOn w:val="Heading5"/>
    <w:qFormat/>
    <w:rsid w:val="001D723D"/>
    <w:pPr>
      <w:ind w:left="0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1D723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1D723D"/>
    <w:pPr>
      <w:spacing w:before="100" w:after="100"/>
    </w:pPr>
    <w:rPr>
      <w:rFonts w:ascii="Arial" w:hAnsi="Arial"/>
      <w:sz w:val="18"/>
    </w:rPr>
  </w:style>
  <w:style w:type="character" w:customStyle="1" w:styleId="StyleCaptionNotBoldChar">
    <w:name w:val="Style Caption + Not Bold Char"/>
    <w:link w:val="StyleCaptionNotBold"/>
    <w:rsid w:val="001D723D"/>
    <w:rPr>
      <w:rFonts w:ascii="Arial" w:eastAsia="Times New Roman" w:hAnsi="Arial"/>
      <w:b/>
      <w:bCs/>
      <w:sz w:val="18"/>
    </w:rPr>
  </w:style>
  <w:style w:type="paragraph" w:customStyle="1" w:styleId="StyleFirstline05">
    <w:name w:val="Style First line:  0.5&quot;"/>
    <w:basedOn w:val="Normal"/>
    <w:rsid w:val="001D723D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1D723D"/>
    <w:rPr>
      <w:i/>
      <w:color w:val="5A5A5A"/>
    </w:rPr>
  </w:style>
  <w:style w:type="character" w:styleId="IntenseEmphasis">
    <w:name w:val="Intense Emphasis"/>
    <w:uiPriority w:val="21"/>
    <w:qFormat/>
    <w:rsid w:val="001D723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723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723D"/>
    <w:rPr>
      <w:b/>
      <w:sz w:val="24"/>
      <w:u w:val="single"/>
    </w:rPr>
  </w:style>
  <w:style w:type="character" w:styleId="BookTitle">
    <w:name w:val="Book Title"/>
    <w:uiPriority w:val="33"/>
    <w:qFormat/>
    <w:rsid w:val="001D723D"/>
    <w:rPr>
      <w:rFonts w:ascii="Constantia" w:eastAsia="Times New Roman" w:hAnsi="Constantia"/>
      <w:b/>
      <w:i/>
      <w:sz w:val="24"/>
      <w:szCs w:val="24"/>
    </w:rPr>
  </w:style>
  <w:style w:type="paragraph" w:customStyle="1" w:styleId="CERLevel6Heading">
    <w:name w:val="CER Level6Heading"/>
    <w:basedOn w:val="Heading6"/>
    <w:qFormat/>
    <w:rsid w:val="001D723D"/>
    <w:pPr>
      <w:keepNext w:val="0"/>
      <w:tabs>
        <w:tab w:val="clear" w:pos="6030"/>
      </w:tabs>
      <w:spacing w:before="240" w:after="60" w:line="240" w:lineRule="auto"/>
      <w:ind w:left="0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1D723D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1D723D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1D723D"/>
    <w:pPr>
      <w:ind w:firstLine="360"/>
    </w:pPr>
    <w:rPr>
      <w:rFonts w:ascii="Times New Roman" w:hAnsi="Times New Roman"/>
      <w:szCs w:val="24"/>
    </w:rPr>
  </w:style>
  <w:style w:type="character" w:customStyle="1" w:styleId="Normal025IndentChar">
    <w:name w:val="Normal+0.25 Indent Char"/>
    <w:link w:val="Normal025Indent"/>
    <w:rsid w:val="001D723D"/>
    <w:rPr>
      <w:rFonts w:ascii="Times New Roman" w:eastAsia="Times New Roman" w:hAnsi="Times New Roman"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1D723D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1D723D"/>
    <w:pPr>
      <w:spacing w:after="60"/>
      <w:ind w:left="0"/>
    </w:pPr>
    <w:rPr>
      <w:rFonts w:ascii="Arial" w:eastAsia="Times New Roman" w:hAnsi="Arial" w:cs="Arial"/>
      <w:bCs/>
      <w:iCs/>
      <w:color w:val="auto"/>
      <w:sz w:val="24"/>
      <w:szCs w:val="24"/>
    </w:rPr>
  </w:style>
  <w:style w:type="paragraph" w:customStyle="1" w:styleId="HeadingI">
    <w:name w:val="Heading I"/>
    <w:basedOn w:val="Normal"/>
    <w:rsid w:val="001D723D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paragraph" w:customStyle="1" w:styleId="CERNumberLine">
    <w:name w:val="CERNumberLine"/>
    <w:basedOn w:val="CERParagraphNoIndent"/>
    <w:qFormat/>
    <w:rsid w:val="001D723D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1D723D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0"/>
    <w:qFormat/>
    <w:rsid w:val="001D723D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ParagraphIndent0">
    <w:name w:val="Cer ParagraphIndent"/>
    <w:basedOn w:val="ParagraphIndent"/>
    <w:link w:val="CerParagraphIndentChar0"/>
    <w:rsid w:val="001D723D"/>
    <w:rPr>
      <w:rFonts w:eastAsia="Times New Roman"/>
    </w:rPr>
  </w:style>
  <w:style w:type="character" w:customStyle="1" w:styleId="CerParagraphIndentChar0">
    <w:name w:val="Cer ParagraphIndent Char"/>
    <w:link w:val="CerParagraphIndent0"/>
    <w:rsid w:val="001D723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1D723D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1D723D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link w:val="CERTableTitleChar"/>
    <w:qFormat/>
    <w:rsid w:val="001D723D"/>
    <w:pPr>
      <w:keepNext/>
      <w:ind w:firstLine="0"/>
    </w:pPr>
    <w:rPr>
      <w:rFonts w:ascii="Arial" w:eastAsia="Times New Roman" w:hAnsi="Arial"/>
      <w:b/>
      <w:noProof/>
      <w:sz w:val="20"/>
    </w:rPr>
  </w:style>
  <w:style w:type="character" w:customStyle="1" w:styleId="CERTableTitleChar">
    <w:name w:val="CER TableTitle Char"/>
    <w:link w:val="CERTableTitle"/>
    <w:rsid w:val="001D723D"/>
    <w:rPr>
      <w:rFonts w:ascii="Arial" w:eastAsia="Times New Roman" w:hAnsi="Arial"/>
      <w:b/>
      <w:noProof/>
      <w:color w:val="000000"/>
      <w:szCs w:val="24"/>
    </w:rPr>
  </w:style>
  <w:style w:type="paragraph" w:customStyle="1" w:styleId="CERTableNote">
    <w:name w:val="CER TableNote"/>
    <w:basedOn w:val="CERParagraphNoIndent"/>
    <w:qFormat/>
    <w:rsid w:val="001D723D"/>
    <w:rPr>
      <w:sz w:val="18"/>
    </w:rPr>
  </w:style>
  <w:style w:type="paragraph" w:customStyle="1" w:styleId="CERDisclaimer">
    <w:name w:val="CER Disclaimer"/>
    <w:basedOn w:val="CERParagraphNoIndent"/>
    <w:qFormat/>
    <w:rsid w:val="001D72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1D723D"/>
    <w:rPr>
      <w:b/>
    </w:rPr>
  </w:style>
  <w:style w:type="paragraph" w:customStyle="1" w:styleId="CerParagraphNoIndentItalic">
    <w:name w:val="Cer ParagraphNoIndent Italic"/>
    <w:basedOn w:val="CERParagraphNoIndent"/>
    <w:rsid w:val="001D723D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1D723D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1D723D"/>
    <w:rPr>
      <w:rFonts w:ascii="Times New Roman" w:eastAsia="Times New Roman" w:hAnsi="Times New Roman"/>
      <w:bCs/>
      <w:noProof/>
      <w:sz w:val="24"/>
      <w:szCs w:val="24"/>
      <w:lang w:val="en-CA"/>
    </w:rPr>
  </w:style>
  <w:style w:type="character" w:customStyle="1" w:styleId="CERParagraphNoIndentChar">
    <w:name w:val="CER ParagraphNoIndent Char"/>
    <w:rsid w:val="001D723D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1D723D"/>
    <w:rPr>
      <w:rFonts w:ascii="Times New Roman" w:hAnsi="Times New Roman"/>
      <w:b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1D723D"/>
    <w:rPr>
      <w:rFonts w:ascii="Times New Roman" w:eastAsia="Times New Roman" w:hAnsi="Times New Roman"/>
      <w:b/>
      <w:sz w:val="28"/>
      <w:szCs w:val="24"/>
      <w:lang w:val="en-CA"/>
    </w:rPr>
  </w:style>
  <w:style w:type="character" w:customStyle="1" w:styleId="CerParagraphIndentBoldChar">
    <w:name w:val="Cer ParagraphIndentBoldChar"/>
    <w:rsid w:val="001D723D"/>
    <w:rPr>
      <w:b/>
    </w:rPr>
  </w:style>
  <w:style w:type="paragraph" w:customStyle="1" w:styleId="CERLevel7Heading">
    <w:name w:val="CER Level7Heading"/>
    <w:basedOn w:val="Heading7"/>
    <w:qFormat/>
    <w:rsid w:val="001D723D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1D723D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1D72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1D723D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1D723D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1D723D"/>
    <w:pPr>
      <w:keepNext w:val="0"/>
      <w:spacing w:before="240" w:after="60"/>
      <w:ind w:left="0"/>
      <w:jc w:val="left"/>
    </w:pPr>
    <w:rPr>
      <w:rFonts w:ascii="Times New Roman" w:eastAsia="Times New Roman" w:hAnsi="Times New Roman"/>
      <w:i/>
      <w:iCs/>
      <w:szCs w:val="24"/>
    </w:rPr>
  </w:style>
  <w:style w:type="character" w:customStyle="1" w:styleId="CERLevel8HeadingChar">
    <w:name w:val="CER Level8Heading Char"/>
    <w:link w:val="CERLevel8Heading"/>
    <w:rsid w:val="001D723D"/>
    <w:rPr>
      <w:rFonts w:ascii="Times New Roman" w:eastAsia="Times New Roman" w:hAnsi="Times New Roman"/>
      <w:b/>
      <w:i/>
      <w:iCs/>
      <w:noProof/>
      <w:sz w:val="36"/>
      <w:szCs w:val="24"/>
    </w:rPr>
  </w:style>
  <w:style w:type="paragraph" w:customStyle="1" w:styleId="KeyQuestionText">
    <w:name w:val="KeyQuestionText"/>
    <w:basedOn w:val="KeyQuestion"/>
    <w:rsid w:val="001D723D"/>
    <w:rPr>
      <w:noProof/>
      <w:lang w:val="en-GB"/>
    </w:rPr>
  </w:style>
  <w:style w:type="paragraph" w:customStyle="1" w:styleId="ReferenceText">
    <w:name w:val="ReferenceText"/>
    <w:basedOn w:val="Normal"/>
    <w:rsid w:val="001D723D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1D723D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1D723D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1D723D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1D723D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1D723D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1D723D"/>
  </w:style>
  <w:style w:type="paragraph" w:customStyle="1" w:styleId="Style2">
    <w:name w:val="Style2"/>
    <w:rsid w:val="001D723D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1D723D"/>
    <w:rPr>
      <w:rFonts w:ascii="Arial" w:hAnsi="Arial"/>
      <w:noProof/>
      <w:sz w:val="20"/>
    </w:rPr>
  </w:style>
  <w:style w:type="paragraph" w:customStyle="1" w:styleId="ArialFormText3">
    <w:name w:val="ArialFormText3"/>
    <w:rsid w:val="001D723D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1D723D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1D723D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1D723D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1D723D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1D723D"/>
    <w:pPr>
      <w:numPr>
        <w:numId w:val="42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1D723D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1D723D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1D723D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1D723D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1D723D"/>
  </w:style>
  <w:style w:type="paragraph" w:customStyle="1" w:styleId="StyleTableHeadersArialRight-025">
    <w:name w:val="Style Table Headers + Arial Right:  -0.25&quot;"/>
    <w:basedOn w:val="TableHeaders"/>
    <w:autoRedefine/>
    <w:rsid w:val="001D723D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1D723D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1D723D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1D723D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1D723D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1D723D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1D723D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1">
    <w:name w:val="st1"/>
    <w:rsid w:val="001D723D"/>
  </w:style>
  <w:style w:type="paragraph" w:customStyle="1" w:styleId="CERTableText8pt">
    <w:name w:val="CER TableText8pt"/>
    <w:rsid w:val="001D723D"/>
    <w:pPr>
      <w:spacing w:after="60"/>
    </w:pPr>
    <w:rPr>
      <w:rFonts w:ascii="Arial" w:hAnsi="Arial"/>
      <w:sz w:val="16"/>
      <w:szCs w:val="16"/>
    </w:rPr>
  </w:style>
  <w:style w:type="character" w:customStyle="1" w:styleId="apple-converted-space">
    <w:name w:val="apple-converted-space"/>
    <w:rsid w:val="001D72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6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267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2337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Template%20for%20Reports%20Develop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D99A-0F53-492F-8F5F-69F21604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Developed</Template>
  <TotalTime>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Connecticut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HHUser</dc:creator>
  <cp:lastModifiedBy>Venture</cp:lastModifiedBy>
  <cp:revision>3</cp:revision>
  <cp:lastPrinted>2012-11-15T21:45:00Z</cp:lastPrinted>
  <dcterms:created xsi:type="dcterms:W3CDTF">2012-12-17T09:45:00Z</dcterms:created>
  <dcterms:modified xsi:type="dcterms:W3CDTF">2012-12-17T09:53:00Z</dcterms:modified>
</cp:coreProperties>
</file>