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Pr="00346961" w:rsidRDefault="00651A25" w:rsidP="00651A25">
      <w:pPr>
        <w:pStyle w:val="TableTitle"/>
      </w:pPr>
      <w:bookmarkStart w:id="0" w:name="_GoBack"/>
      <w:bookmarkEnd w:id="0"/>
      <w:proofErr w:type="gramStart"/>
      <w:r w:rsidRPr="001B3A02">
        <w:t xml:space="preserve">Evidence Table </w:t>
      </w:r>
      <w:r w:rsidRPr="00A95B50">
        <w:t>6</w:t>
      </w:r>
      <w:r w:rsidRPr="0029044A">
        <w:t>.</w:t>
      </w:r>
      <w:proofErr w:type="gramEnd"/>
      <w:r w:rsidRPr="0029044A">
        <w:t xml:space="preserve"> Health outcomes for people with dementia: morbidity, mortality, hospitalizations, and falls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1556"/>
        <w:gridCol w:w="3817"/>
        <w:gridCol w:w="2843"/>
        <w:gridCol w:w="2601"/>
        <w:gridCol w:w="235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90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144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Morbidity</w:t>
            </w:r>
          </w:p>
        </w:tc>
        <w:tc>
          <w:tcPr>
            <w:tcW w:w="1079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Mortality</w:t>
            </w:r>
          </w:p>
        </w:tc>
        <w:tc>
          <w:tcPr>
            <w:tcW w:w="98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Hospitalizations</w:t>
            </w:r>
          </w:p>
        </w:tc>
        <w:tc>
          <w:tcPr>
            <w:tcW w:w="89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Falls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Rosswurm</w:t>
            </w:r>
            <w:proofErr w:type="spellEnd"/>
            <w:r w:rsidRPr="0029044A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Hardy Skin Condition Data Form</w:t>
            </w:r>
            <w:r w:rsidRPr="0029044A">
              <w:br/>
              <w:t xml:space="preserve">Baseline: 2.97 </w:t>
            </w:r>
            <w:r w:rsidRPr="0029044A">
              <w:br/>
              <w:t>Endpoint</w:t>
            </w:r>
            <w:r w:rsidRPr="0029044A">
              <w:br/>
              <w:t xml:space="preserve">G1: 2.61 </w:t>
            </w:r>
            <w:r w:rsidRPr="0029044A">
              <w:br/>
              <w:t>G2: 2.48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Mean Debris Score</w:t>
            </w:r>
            <w:r w:rsidRPr="0029044A">
              <w:br/>
              <w:t xml:space="preserve">Baseline: 1.46 </w:t>
            </w:r>
            <w:r w:rsidRPr="0029044A">
              <w:br/>
              <w:t>Endpoint</w:t>
            </w:r>
            <w:r w:rsidRPr="0029044A">
              <w:br/>
              <w:t xml:space="preserve">G1: 0.75 </w:t>
            </w:r>
            <w:r w:rsidRPr="0029044A">
              <w:br/>
              <w:t xml:space="preserve">G2: 0.49 </w:t>
            </w:r>
            <w:r w:rsidRPr="0029044A">
              <w:br/>
              <w:t>Baseline vs. G1, p=0.001</w:t>
            </w:r>
            <w:r w:rsidRPr="0029044A">
              <w:br/>
              <w:t>Baseline vs. G2, p=0.003</w:t>
            </w:r>
            <w:r w:rsidRPr="0029044A">
              <w:br/>
              <w:t>G1 vs. G2 change: 0.56, NS</w:t>
            </w:r>
            <w:r w:rsidRPr="0029044A">
              <w:br/>
              <w:t>Baseline vs. G1, p&lt;0.001</w:t>
            </w:r>
            <w:r w:rsidRPr="0029044A">
              <w:br/>
              <w:t>Baseline vs. G2, p&lt;0.001</w:t>
            </w:r>
            <w:r w:rsidRPr="0029044A">
              <w:br/>
              <w:t>G1 vs. G2 change p=0.08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6</w:t>
      </w:r>
      <w:r w:rsidRPr="0029044A">
        <w:t>.</w:t>
      </w:r>
      <w:proofErr w:type="gramEnd"/>
      <w:r w:rsidRPr="0029044A">
        <w:t xml:space="preserve"> Health outcomes for people with dementia: morbidity, mortality, hospitalizations, and falls (continued)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1556"/>
        <w:gridCol w:w="3817"/>
        <w:gridCol w:w="2843"/>
        <w:gridCol w:w="2601"/>
        <w:gridCol w:w="235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90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144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Morbidity</w:t>
            </w:r>
          </w:p>
        </w:tc>
        <w:tc>
          <w:tcPr>
            <w:tcW w:w="1079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Mortality</w:t>
            </w:r>
          </w:p>
        </w:tc>
        <w:tc>
          <w:tcPr>
            <w:tcW w:w="98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Hospitalizations</w:t>
            </w:r>
          </w:p>
        </w:tc>
        <w:tc>
          <w:tcPr>
            <w:tcW w:w="89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Falls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29044A">
              <w:br/>
              <w:t>Collaborative Studies of Long-Term Care</w:t>
            </w:r>
            <w:r w:rsidRPr="0029044A">
              <w:br/>
              <w:t>Government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New or worsening morbidity (Incidence rate per 100 participants per quarter)</w:t>
            </w:r>
            <w:r w:rsidRPr="0029044A">
              <w:br/>
              <w:t>Mild Dementia</w:t>
            </w:r>
            <w:r w:rsidRPr="0029044A">
              <w:br/>
              <w:t>G1: 23.5</w:t>
            </w:r>
            <w:r w:rsidRPr="0029044A">
              <w:br/>
              <w:t>G2: 21.8</w:t>
            </w:r>
            <w:r w:rsidRPr="0029044A">
              <w:br/>
              <w:t>p=0.574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Moderate or Severe Dementia</w:t>
            </w:r>
            <w:r w:rsidRPr="0029044A">
              <w:br/>
              <w:t>G1: 21.1</w:t>
            </w:r>
            <w:r w:rsidRPr="0029044A">
              <w:br/>
              <w:t>G2: 21.7</w:t>
            </w:r>
            <w:r w:rsidRPr="0029044A">
              <w:br/>
              <w:t>p=0.865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New or worsening morbidity, incidence rate per 100 participants per quarter</w:t>
            </w:r>
            <w:r w:rsidRPr="0029044A">
              <w:br/>
              <w:t>G3: 26.7</w:t>
            </w:r>
            <w:r w:rsidRPr="0029044A">
              <w:br/>
              <w:t>G4: 25.3</w:t>
            </w:r>
            <w:r w:rsidRPr="0029044A">
              <w:br/>
              <w:t>G3 vs. G4: p=0.772</w:t>
            </w:r>
            <w:r w:rsidRPr="0029044A">
              <w:br/>
              <w:t>G5: 15.0</w:t>
            </w:r>
            <w:r w:rsidRPr="0029044A">
              <w:br/>
              <w:t>G6: 22.0</w:t>
            </w:r>
            <w:r w:rsidRPr="0029044A">
              <w:br/>
              <w:t>G5 vs. G6: p=0.043</w:t>
            </w:r>
            <w:r w:rsidRPr="0029044A">
              <w:br/>
              <w:t xml:space="preserve"> 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Mortality (Incidence rate per 100 participants per quarter)</w:t>
            </w:r>
            <w:r w:rsidRPr="0029044A">
              <w:br/>
              <w:t>Mild Dementia</w:t>
            </w:r>
            <w:r w:rsidRPr="0029044A">
              <w:br/>
              <w:t>G1: 3.2</w:t>
            </w:r>
            <w:r w:rsidRPr="0029044A">
              <w:br/>
              <w:t>G2: 4.2</w:t>
            </w:r>
            <w:r w:rsidRPr="0029044A">
              <w:br/>
              <w:t>p=0.409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Moderate or Severe Dementia</w:t>
            </w:r>
            <w:r w:rsidRPr="0029044A">
              <w:br/>
              <w:t>G1: 3.7</w:t>
            </w:r>
            <w:r w:rsidRPr="0029044A">
              <w:br/>
              <w:t>G2: 4.2</w:t>
            </w:r>
            <w:r w:rsidRPr="0029044A">
              <w:br/>
              <w:t>p=0.682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Mortality (Incidence rate per 100 participants per quarter)</w:t>
            </w:r>
            <w:r w:rsidRPr="0029044A">
              <w:br/>
              <w:t>G3: 7.0</w:t>
            </w:r>
            <w:r w:rsidRPr="0029044A">
              <w:br/>
              <w:t>G4: 4.0</w:t>
            </w:r>
            <w:r w:rsidRPr="0029044A">
              <w:br/>
              <w:t>G3 vs. G4: p=0.116</w:t>
            </w:r>
            <w:r w:rsidRPr="0029044A">
              <w:br/>
              <w:t>G5: 3.4</w:t>
            </w:r>
            <w:r w:rsidRPr="0029044A">
              <w:br/>
              <w:t>G6: 4.0</w:t>
            </w:r>
            <w:r w:rsidRPr="0029044A">
              <w:br/>
              <w:t>G5 vs. G6: p=0.540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Hospitalization (Incidence rate per 100 participants per quarter)</w:t>
            </w:r>
            <w:r w:rsidRPr="0029044A">
              <w:br/>
              <w:t>Mild Dementia</w:t>
            </w:r>
            <w:r w:rsidRPr="0029044A">
              <w:br/>
              <w:t>G1: 14.2</w:t>
            </w:r>
            <w:r w:rsidRPr="0029044A">
              <w:br/>
              <w:t>G2: 8.4</w:t>
            </w:r>
            <w:r w:rsidRPr="0029044A">
              <w:br/>
              <w:t>p=0.009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Moderate or Severe Dementia</w:t>
            </w:r>
            <w:r w:rsidRPr="0029044A">
              <w:br/>
              <w:t>G1: 14.2</w:t>
            </w:r>
            <w:r w:rsidRPr="0029044A">
              <w:br/>
              <w:t>G2: 10.0</w:t>
            </w:r>
            <w:r w:rsidRPr="0029044A">
              <w:br/>
              <w:t>p=0.115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Hospitalization (Incidence rate per 100 participants per quarter)</w:t>
            </w:r>
            <w:r w:rsidRPr="0029044A">
              <w:br/>
              <w:t>G3: 17.3</w:t>
            </w:r>
            <w:r w:rsidRPr="0029044A">
              <w:br/>
              <w:t>G4: 14.4</w:t>
            </w:r>
            <w:r w:rsidRPr="0029044A">
              <w:br/>
              <w:t>G3 vs. G4: p=0.430</w:t>
            </w:r>
            <w:r w:rsidRPr="0029044A">
              <w:br/>
              <w:t>G5: 3.9</w:t>
            </w:r>
            <w:r w:rsidRPr="0029044A">
              <w:br/>
              <w:t>G6: 9.6</w:t>
            </w:r>
            <w:r w:rsidRPr="0029044A">
              <w:br/>
              <w:t>G3 vs. G4: p=0.006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</w:tcPr>
          <w:p w:rsidR="00651A25" w:rsidRPr="00346961" w:rsidRDefault="00651A25" w:rsidP="00651A25">
            <w:pPr>
              <w:pStyle w:val="TableText"/>
            </w:pPr>
            <w:r w:rsidRPr="00143209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143209">
              <w:br/>
              <w:t>Collaborative Studies of Long-Term Care</w:t>
            </w:r>
            <w:r w:rsidRPr="00143209">
              <w:br/>
              <w:t>Other</w:t>
            </w:r>
          </w:p>
        </w:tc>
        <w:tc>
          <w:tcPr>
            <w:tcW w:w="1448" w:type="pct"/>
          </w:tcPr>
          <w:p w:rsidR="00651A25" w:rsidRPr="00143209" w:rsidRDefault="00651A25" w:rsidP="00651A25">
            <w:pPr>
              <w:pStyle w:val="TableText"/>
            </w:pPr>
            <w:r w:rsidRPr="00143209">
              <w:t xml:space="preserve">Stable Health during last months of life </w:t>
            </w:r>
            <w:r w:rsidRPr="00143209">
              <w:br/>
              <w:t>G1: 12.6%</w:t>
            </w:r>
            <w:r w:rsidRPr="00143209">
              <w:br/>
              <w:t>G2: 8.1%</w:t>
            </w:r>
            <w:r w:rsidRPr="00143209">
              <w:br/>
              <w:t>p=0.136</w:t>
            </w:r>
            <w:r w:rsidRPr="00143209">
              <w:br/>
            </w:r>
          </w:p>
          <w:p w:rsidR="00651A25" w:rsidRPr="00346961" w:rsidRDefault="00651A25" w:rsidP="00651A25">
            <w:pPr>
              <w:pStyle w:val="TableText"/>
            </w:pPr>
            <w:r w:rsidRPr="00143209">
              <w:t xml:space="preserve">Steady decline in health during last months of life </w:t>
            </w:r>
            <w:r w:rsidRPr="00143209">
              <w:br/>
              <w:t>G1: 53.4%</w:t>
            </w:r>
            <w:r w:rsidRPr="00143209">
              <w:br/>
              <w:t>G2: 71.7%</w:t>
            </w:r>
            <w:r w:rsidRPr="00143209">
              <w:br/>
              <w:t>p=</w:t>
            </w:r>
            <w:r>
              <w:t>NR</w:t>
            </w:r>
          </w:p>
        </w:tc>
        <w:tc>
          <w:tcPr>
            <w:tcW w:w="1079" w:type="pct"/>
          </w:tcPr>
          <w:p w:rsidR="00651A25" w:rsidRPr="00346961" w:rsidRDefault="00651A25" w:rsidP="00651A25">
            <w:pPr>
              <w:pStyle w:val="TableText"/>
            </w:pPr>
            <w:r w:rsidRPr="00143209">
              <w:t>NR</w:t>
            </w:r>
          </w:p>
        </w:tc>
        <w:tc>
          <w:tcPr>
            <w:tcW w:w="987" w:type="pct"/>
          </w:tcPr>
          <w:p w:rsidR="00651A25" w:rsidRPr="00346961" w:rsidRDefault="00651A25" w:rsidP="00651A25">
            <w:pPr>
              <w:pStyle w:val="TableText"/>
            </w:pPr>
            <w:r w:rsidRPr="00143209">
              <w:t xml:space="preserve">Life-sustaining interventions during the last month of life </w:t>
            </w:r>
            <w:r w:rsidRPr="00143209">
              <w:br/>
              <w:t>Hospitalized</w:t>
            </w:r>
            <w:r w:rsidRPr="00143209">
              <w:br/>
              <w:t>G1: 39.7%</w:t>
            </w:r>
            <w:r w:rsidRPr="00143209">
              <w:br/>
              <w:t>G2: 23.6%</w:t>
            </w:r>
            <w:r w:rsidRPr="00143209">
              <w:br/>
              <w:t>p=0.149</w:t>
            </w:r>
          </w:p>
        </w:tc>
        <w:tc>
          <w:tcPr>
            <w:tcW w:w="895" w:type="pct"/>
          </w:tcPr>
          <w:p w:rsidR="00651A25" w:rsidRPr="00346961" w:rsidRDefault="00651A25" w:rsidP="00651A25">
            <w:pPr>
              <w:pStyle w:val="TableText"/>
            </w:pPr>
            <w:r w:rsidRPr="00143209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6</w:t>
      </w:r>
      <w:r w:rsidRPr="0029044A">
        <w:t>.</w:t>
      </w:r>
      <w:proofErr w:type="gramEnd"/>
      <w:r w:rsidRPr="0029044A">
        <w:t xml:space="preserve"> Health outcomes for people with dementia: morbidity, mortality, hospitalizations, and falls (continued)</w:t>
      </w:r>
    </w:p>
    <w:tbl>
      <w:tblPr>
        <w:tblStyle w:val="AHRQ12"/>
        <w:tblW w:w="5000" w:type="pct"/>
        <w:tblLook w:val="04A0" w:firstRow="1" w:lastRow="0" w:firstColumn="1" w:lastColumn="0" w:noHBand="0" w:noVBand="1"/>
      </w:tblPr>
      <w:tblGrid>
        <w:gridCol w:w="1556"/>
        <w:gridCol w:w="3817"/>
        <w:gridCol w:w="2843"/>
        <w:gridCol w:w="2601"/>
        <w:gridCol w:w="2359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90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1448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Morbidity</w:t>
            </w:r>
          </w:p>
        </w:tc>
        <w:tc>
          <w:tcPr>
            <w:tcW w:w="1079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Mortality</w:t>
            </w:r>
          </w:p>
        </w:tc>
        <w:tc>
          <w:tcPr>
            <w:tcW w:w="987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Hospitalizations</w:t>
            </w:r>
          </w:p>
        </w:tc>
        <w:tc>
          <w:tcPr>
            <w:tcW w:w="895" w:type="pct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Falls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29044A">
              <w:br/>
              <w:t>Collaborative Studies of Long-Term Care</w:t>
            </w:r>
            <w:r w:rsidRPr="0029044A">
              <w:br/>
              <w:t>Other</w:t>
            </w:r>
            <w:r>
              <w:t xml:space="preserve"> (continued)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Series of up’s and downs in health during last months of life </w:t>
            </w:r>
            <w:r w:rsidRPr="0029044A">
              <w:br/>
              <w:t>G1: 33.9%</w:t>
            </w:r>
            <w:r w:rsidRPr="0029044A">
              <w:br/>
              <w:t>G2: 20.2%</w:t>
            </w:r>
            <w:r w:rsidRPr="0029044A">
              <w:br/>
              <w:t>p&lt;0.001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One or more skin ulcers during last months of life </w:t>
            </w:r>
            <w:r w:rsidRPr="0029044A">
              <w:br/>
              <w:t>G1: 26.9%</w:t>
            </w:r>
            <w:r w:rsidRPr="0029044A">
              <w:br/>
              <w:t>G2: 22.6%</w:t>
            </w:r>
            <w:r w:rsidRPr="0029044A">
              <w:br/>
              <w:t>p=0.566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Tappen</w:t>
            </w:r>
            <w:proofErr w:type="spellEnd"/>
            <w:r w:rsidRPr="0029044A">
              <w:t>, 1994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Toseland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Whall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590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Zimmerman,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Pr="0029044A">
              <w:br/>
              <w:t>Dementia Care Project</w:t>
            </w:r>
            <w:r w:rsidRPr="0029044A">
              <w:br/>
              <w:t>Foundation or non-profit</w:t>
            </w:r>
          </w:p>
        </w:tc>
        <w:tc>
          <w:tcPr>
            <w:tcW w:w="1448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079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987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895" w:type="pct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760610" w:rsidRPr="00760610" w:rsidRDefault="00651A25" w:rsidP="00760610">
      <w:pPr>
        <w:pStyle w:val="TableNote"/>
        <w:rPr>
          <w:rFonts w:eastAsia="Calibri"/>
        </w:rPr>
      </w:pPr>
      <w:r>
        <w:rPr>
          <w:rFonts w:eastAsia="Calibri"/>
        </w:rPr>
        <w:t>Abbreviations: G = group; NA = not applicable; NR = not reported; NS = not sufficient; vs. = versus.</w:t>
      </w:r>
    </w:p>
    <w:sectPr w:rsidR="00760610" w:rsidRPr="00760610" w:rsidSect="008F4108">
      <w:footerReference w:type="default" r:id="rId9"/>
      <w:pgSz w:w="15840" w:h="12240" w:orient="landscape" w:code="1"/>
      <w:pgMar w:top="72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F3" w:rsidRDefault="008450F3">
      <w:r>
        <w:separator/>
      </w:r>
    </w:p>
  </w:endnote>
  <w:endnote w:type="continuationSeparator" w:id="0">
    <w:p w:rsidR="008450F3" w:rsidRDefault="008450F3">
      <w:r>
        <w:continuationSeparator/>
      </w:r>
    </w:p>
  </w:endnote>
  <w:endnote w:type="continuationNotice" w:id="1">
    <w:p w:rsidR="008450F3" w:rsidRDefault="00845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8F4108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>
          <w:rPr>
            <w:noProof/>
          </w:rPr>
          <w:t>18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F3" w:rsidRDefault="008450F3">
      <w:r>
        <w:separator/>
      </w:r>
    </w:p>
  </w:footnote>
  <w:footnote w:type="continuationSeparator" w:id="0">
    <w:p w:rsidR="008450F3" w:rsidRDefault="008450F3">
      <w:r>
        <w:continuationSeparator/>
      </w:r>
    </w:p>
  </w:footnote>
  <w:footnote w:type="continuationNotice" w:id="1">
    <w:p w:rsidR="008450F3" w:rsidRDefault="00845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003F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15A83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60610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50F3"/>
    <w:rsid w:val="00846B07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108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3408"/>
    <w:rsid w:val="009E34BE"/>
    <w:rsid w:val="009E5CD4"/>
    <w:rsid w:val="009E5CEB"/>
    <w:rsid w:val="009E6619"/>
    <w:rsid w:val="009F6E34"/>
    <w:rsid w:val="009F709E"/>
    <w:rsid w:val="009F7BDB"/>
    <w:rsid w:val="00A00CF8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68A0"/>
    <w:rsid w:val="00B96E7B"/>
    <w:rsid w:val="00BA0B92"/>
    <w:rsid w:val="00BA1F45"/>
    <w:rsid w:val="00BA2B0C"/>
    <w:rsid w:val="00BA3A12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9E6"/>
    <w:rsid w:val="00C45E7E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788E"/>
    <w:rsid w:val="00E2072D"/>
    <w:rsid w:val="00E2101C"/>
    <w:rsid w:val="00E22F7B"/>
    <w:rsid w:val="00E23FFB"/>
    <w:rsid w:val="00E34C66"/>
    <w:rsid w:val="00E35352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789D"/>
    <w:rsid w:val="00FA7A3F"/>
    <w:rsid w:val="00FB03BC"/>
    <w:rsid w:val="00FB0988"/>
    <w:rsid w:val="00FB2D89"/>
    <w:rsid w:val="00FB2EFD"/>
    <w:rsid w:val="00FB3929"/>
    <w:rsid w:val="00FB3E3B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6A15-A674-4A1E-9957-CE84636C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3043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6</cp:revision>
  <cp:lastPrinted>2012-10-03T14:54:00Z</cp:lastPrinted>
  <dcterms:created xsi:type="dcterms:W3CDTF">2012-10-04T13:20:00Z</dcterms:created>
  <dcterms:modified xsi:type="dcterms:W3CDTF">2012-11-20T05:38:00Z</dcterms:modified>
</cp:coreProperties>
</file>