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F50. Validity of the functional tests in patients with knee OA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2517"/>
        <w:gridCol w:w="2161"/>
        <w:gridCol w:w="4788"/>
      </w:tblGrid>
      <w:tr w:rsidR="00D86F11" w:rsidRPr="00DE43DC" w:rsidTr="00D86F11">
        <w:trPr>
          <w:cantSplit/>
          <w:tblHeader/>
        </w:trPr>
        <w:tc>
          <w:tcPr>
            <w:tcW w:w="1408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Author, year</w:t>
            </w: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br/>
              <w:t>Index; Reference methods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Country; Size</w:t>
            </w:r>
          </w:p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Mean age; % of females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Validity</w:t>
            </w:r>
          </w:p>
        </w:tc>
        <w:tc>
          <w:tcPr>
            <w:tcW w:w="1817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Estimate, significance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top w:val="single" w:sz="12" w:space="0" w:color="auto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Barker,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393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Sit-stand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Power (Leg extensor power)</w:t>
            </w:r>
          </w:p>
        </w:tc>
        <w:tc>
          <w:tcPr>
            <w:tcW w:w="955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UK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123 Mean age: 69.5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53.7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top w:val="single" w:sz="12" w:space="0" w:color="auto"/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Spearman's rank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0.392 P value: &lt;0.01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Barker,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393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Sit-stand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VAS: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ain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UK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123 Mean age: 69.5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53.7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Spearman's rank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0.383 P value: &lt;0.01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Barker,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393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Sit-stand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WOMAC: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ain subscale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UK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123 Mean age: 69.5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53.7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Spearman's rank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0.292 P value: &lt;0.01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ADLS (Activities of Daily Livingof the Knee Outcome Surgery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)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-0.34 P value: &lt;0.001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B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odily pain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-0.27 P value: 0.005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G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eneral health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-0.28 P value: 0.005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M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ental health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-0.34 P value: &lt;0.001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P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hysical function 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-0.44 P value: &lt;0.001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R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ole-emotional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-0.23 P value: 0.021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R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ole-physical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-0.15 P value: 0.128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ocial function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-0.17 P value: 0.081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 xml:space="preserve">Reference: SF-36: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V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itality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-0.13 P value: 0.195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Piva, 2004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404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Get Up and Go Test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WOMAC: Likert version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105 Mean age: 62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76.19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oncurrent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Pearson Product-Moment correlation coefficient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0.39 P value: &lt;0.001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lastRenderedPageBreak/>
              <w:t>Lankhorst, 1982</w:t>
            </w:r>
            <w:r w:rsidRPr="00DE43DC">
              <w:rPr>
                <w:noProof/>
                <w:sz w:val="18"/>
                <w:szCs w:val="18"/>
                <w:vertAlign w:val="superscript"/>
                <w:lang w:bidi="en-US"/>
              </w:rPr>
              <w:t>92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Number of steps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Endurance and maximal impulse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The Netherlands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24 Mean age: NR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NR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Factor analysis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-0.031 P value: NR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Lankhorst, 1982</w:t>
            </w:r>
            <w:r w:rsidRPr="00DE43DC">
              <w:rPr>
                <w:noProof/>
                <w:sz w:val="18"/>
                <w:szCs w:val="18"/>
                <w:vertAlign w:val="superscript"/>
                <w:lang w:bidi="en-US"/>
              </w:rPr>
              <w:t>92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Number of steps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Maximal isometric torque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The Netherlands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24 Mean age: NR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NR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Factor analysis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0.609 P value: NR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Lankhorst, 1982</w:t>
            </w:r>
            <w:r w:rsidRPr="00DE43DC">
              <w:rPr>
                <w:noProof/>
                <w:sz w:val="18"/>
                <w:szCs w:val="18"/>
                <w:vertAlign w:val="superscript"/>
                <w:lang w:bidi="en-US"/>
              </w:rPr>
              <w:t>92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Stair climbing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Endurance and maximal impulse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The Netherlands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24 Mean age: NR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NR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Factor analysis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0.297 P value: NR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Lankhorst, 1982</w:t>
            </w:r>
            <w:r w:rsidRPr="00DE43DC">
              <w:rPr>
                <w:noProof/>
                <w:sz w:val="18"/>
                <w:szCs w:val="18"/>
                <w:vertAlign w:val="superscript"/>
                <w:lang w:bidi="en-US"/>
              </w:rPr>
              <w:t>92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Stair climbing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Maximal isometric torque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The Netherlands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24 Mean age: NR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NR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Construct validity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Factor analysis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0.034 P value: NR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Steultjens, 1999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405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IRGL dexterity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Keefe and Block (adapted version) + subscales of 4 questionnaires (The Influence of Rheumatic Disease on General Health and Lifestyle mobility subscale that is a Dutch adaptation of the  Arthritis Impact Measurement Scales; Nottingham Health Profile mobility subscale; EuroQoL mobility subscale; QR &amp; S questionnaire (Questionnaire Rising and Sitting Down))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Netherlands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198 Mean age: 68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78.3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F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actor analysis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F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actor analysis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0.11 P value: NR</w:t>
            </w:r>
          </w:p>
        </w:tc>
      </w:tr>
      <w:tr w:rsidR="00D86F11" w:rsidRPr="00DE43DC" w:rsidTr="00D86F11">
        <w:trPr>
          <w:cantSplit/>
        </w:trPr>
        <w:tc>
          <w:tcPr>
            <w:tcW w:w="1408" w:type="pct"/>
            <w:tcBorders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Steultjens, 1999</w:t>
            </w:r>
            <w:r w:rsidRPr="00A424D8">
              <w:rPr>
                <w:noProof/>
                <w:sz w:val="18"/>
                <w:szCs w:val="18"/>
                <w:vertAlign w:val="superscript"/>
                <w:lang w:bidi="en-US"/>
              </w:rPr>
              <w:t>405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Index: IRGL dexterity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Reference: The Influence of Rheumatic Disease on General Health and Lifestyle mobility subscale and EuroQoL self-care subscale that measures self-reported disability in self-care</w:t>
            </w:r>
          </w:p>
        </w:tc>
        <w:tc>
          <w:tcPr>
            <w:tcW w:w="955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Netherlands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Size: 198 Mean age: 68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% of females: 78.3</w:t>
            </w:r>
          </w:p>
        </w:tc>
        <w:tc>
          <w:tcPr>
            <w:tcW w:w="8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F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actor analysis</w:t>
            </w:r>
          </w:p>
        </w:tc>
        <w:tc>
          <w:tcPr>
            <w:tcW w:w="1817" w:type="pct"/>
            <w:tcBorders>
              <w:left w:val="nil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F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actor analysis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br/>
              <w:t>0.67 P value: NR</w:t>
            </w:r>
          </w:p>
        </w:tc>
      </w:tr>
    </w:tbl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Abbreviations: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J-MAP: Joint-Specific Multidimensional Assessment of Pain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SF-36: 36-Item Short Form Health Survey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KPS: Knee Pain Scale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CES –D: Center for Epidemiologic Studies Depression Scale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 xml:space="preserve">FAST: Fitness and Arthritis in Seniors Trial 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ADL: Activities of Daily Living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IADL: Instrumental Activities of Daily Living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KPSI: Knee Patient -Specific Index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lastRenderedPageBreak/>
        <w:t>LEAP: Lower Extremity Activity Profile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MPQ-PRI: McGill Pain Questionnaire- Pain Rating Index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WIQ: Walking Impairment Questionnaire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AIMS2-SF: Short form Arthritis Impact Measurement Scale 2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EQ-5D: EuroQoL (first part consisting of 5 questions covering 5 dimensions)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MCS: Mental Component Summary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EQ-VAS: EuroQoL-Visual Analogue Scale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HAQ: DI: Health Assessment Questionnaire: Disability Index</w:t>
      </w:r>
      <w:r w:rsidRPr="00DE43DC">
        <w:rPr>
          <w:rFonts w:ascii="Arial" w:hAnsi="Arial" w:cs="Arial"/>
          <w:sz w:val="18"/>
          <w:szCs w:val="18"/>
          <w:lang w:bidi="en-US"/>
        </w:rPr>
        <w:br/>
        <w:t>WOMAC: Western Ontario McMaster Universities Osteoarthritis Index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HAQ: Health Assessment Questionnaire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AAS: Adjusted Activity Score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VAS: Visual Analogue Scale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TUG: Timed Up and Go Test</w:t>
      </w:r>
    </w:p>
    <w:p w:rsidR="00D86F11" w:rsidRPr="00DE43DC" w:rsidRDefault="00D86F11" w:rsidP="00D86F11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MAS: Maximal Activity Score</w:t>
      </w:r>
    </w:p>
    <w:p w:rsidR="00D86F11" w:rsidRPr="005A62B8" w:rsidRDefault="00D86F11" w:rsidP="005A62B8">
      <w:pPr>
        <w:tabs>
          <w:tab w:val="left" w:pos="720"/>
        </w:tabs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IRGL: The Influence of Rheumatic Disease on General Health and Lifestyle mobility subscale</w:t>
      </w:r>
    </w:p>
    <w:sectPr w:rsidR="00D86F11" w:rsidRPr="005A62B8" w:rsidSect="00147D8C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9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63" w:rsidRDefault="00396963">
      <w:r>
        <w:separator/>
      </w:r>
    </w:p>
  </w:endnote>
  <w:endnote w:type="continuationSeparator" w:id="0">
    <w:p w:rsidR="00396963" w:rsidRDefault="0039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607A14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607A14" w:rsidRPr="0089103A">
      <w:rPr>
        <w:rFonts w:ascii="Times New Roman" w:hAnsi="Times New Roman"/>
        <w:szCs w:val="24"/>
      </w:rPr>
      <w:fldChar w:fldCharType="separate"/>
    </w:r>
    <w:r w:rsidR="002D200A">
      <w:rPr>
        <w:rFonts w:ascii="Times New Roman" w:hAnsi="Times New Roman"/>
        <w:noProof/>
        <w:szCs w:val="24"/>
      </w:rPr>
      <w:t>192</w:t>
    </w:r>
    <w:r w:rsidR="00607A14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607A14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607A14" w:rsidRPr="00447B7F">
      <w:rPr>
        <w:rFonts w:ascii="Times New Roman" w:hAnsi="Times New Roman"/>
        <w:szCs w:val="24"/>
      </w:rPr>
      <w:fldChar w:fldCharType="separate"/>
    </w:r>
    <w:r w:rsidR="002D200A">
      <w:rPr>
        <w:rFonts w:ascii="Times New Roman" w:hAnsi="Times New Roman"/>
        <w:noProof/>
        <w:szCs w:val="24"/>
      </w:rPr>
      <w:t>190</w:t>
    </w:r>
    <w:r w:rsidR="00607A14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63" w:rsidRDefault="00396963">
      <w:r>
        <w:separator/>
      </w:r>
    </w:p>
  </w:footnote>
  <w:footnote w:type="continuationSeparator" w:id="0">
    <w:p w:rsidR="00396963" w:rsidRDefault="0039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8C" w:rsidRDefault="00147D8C" w:rsidP="00147D8C">
    <w:pPr>
      <w:pStyle w:val="Tabletitle1"/>
      <w:rPr>
        <w:b w:val="0"/>
      </w:rPr>
    </w:pPr>
    <w:r>
      <w:t>Appendix Table F50. Validity of the functional tests in patients with knee OA (continued)</w:t>
    </w:r>
  </w:p>
  <w:p w:rsidR="00147D8C" w:rsidRDefault="00147D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47D8C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17D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200A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6963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1D2B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62B8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07A14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76EA-BFC4-4C36-88D6-BD342A3F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5525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2012-10-11T19:44:00Z</cp:lastPrinted>
  <dcterms:created xsi:type="dcterms:W3CDTF">2012-11-10T05:23:00Z</dcterms:created>
  <dcterms:modified xsi:type="dcterms:W3CDTF">2012-11-12T10:44:00Z</dcterms:modified>
</cp:coreProperties>
</file>