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F43. Association between intermediate outcomes and doctor indication for patients to undergo total joint replacement within a year after consultation</w:t>
      </w:r>
    </w:p>
    <w:tbl>
      <w:tblPr>
        <w:tblW w:w="4756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241"/>
        <w:gridCol w:w="4249"/>
        <w:gridCol w:w="2070"/>
        <w:gridCol w:w="2973"/>
      </w:tblGrid>
      <w:tr w:rsidR="00D86F11" w:rsidRPr="00DE43DC" w:rsidTr="00D86F11">
        <w:trPr>
          <w:trHeight w:val="144"/>
        </w:trPr>
        <w:tc>
          <w:tcPr>
            <w:tcW w:w="12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Author, year</w:t>
            </w:r>
          </w:p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Study characteristics</w:t>
            </w:r>
          </w:p>
        </w:tc>
        <w:tc>
          <w:tcPr>
            <w:tcW w:w="1695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Intermediate outcome</w:t>
            </w:r>
          </w:p>
        </w:tc>
        <w:tc>
          <w:tcPr>
            <w:tcW w:w="826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Regression model</w:t>
            </w:r>
          </w:p>
        </w:tc>
        <w:tc>
          <w:tcPr>
            <w:tcW w:w="1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Regression coefficient (95% CI)</w:t>
            </w:r>
          </w:p>
        </w:tc>
      </w:tr>
      <w:tr w:rsidR="00D86F11" w:rsidRPr="00DE43DC" w:rsidTr="00D86F11">
        <w:trPr>
          <w:trHeight w:val="144"/>
        </w:trPr>
        <w:tc>
          <w:tcPr>
            <w:tcW w:w="1293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Boutron,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France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,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540</w:t>
            </w:r>
          </w:p>
        </w:tc>
        <w:tc>
          <w:tcPr>
            <w:tcW w:w="1695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Lequesne score (&gt;severity threshold)</w:t>
            </w:r>
          </w:p>
        </w:tc>
        <w:tc>
          <w:tcPr>
            <w:tcW w:w="826" w:type="pct"/>
            <w:tcBorders>
              <w:top w:val="single" w:sz="12" w:space="0" w:color="auto"/>
            </w:tcBorders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118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bidi="en-US"/>
              </w:rPr>
              <w:t>2.36 (1.71; 3.26)</w:t>
            </w:r>
          </w:p>
        </w:tc>
      </w:tr>
      <w:tr w:rsidR="00D86F11" w:rsidRPr="00DE43DC" w:rsidTr="00D86F11">
        <w:trPr>
          <w:trHeight w:val="144"/>
        </w:trPr>
        <w:tc>
          <w:tcPr>
            <w:tcW w:w="1293" w:type="pct"/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Boutron,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France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,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540</w:t>
            </w:r>
          </w:p>
        </w:tc>
        <w:tc>
          <w:tcPr>
            <w:tcW w:w="169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Number of days with pain per month (10 days)</w:t>
            </w:r>
          </w:p>
        </w:tc>
        <w:tc>
          <w:tcPr>
            <w:tcW w:w="826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1186" w:type="pct"/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1.39 (1.10; 1.75)</w:t>
            </w:r>
          </w:p>
        </w:tc>
      </w:tr>
      <w:tr w:rsidR="00D86F11" w:rsidRPr="00DE43DC" w:rsidTr="00D86F11">
        <w:trPr>
          <w:trHeight w:val="144"/>
        </w:trPr>
        <w:tc>
          <w:tcPr>
            <w:tcW w:w="1293" w:type="pct"/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Boutron,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France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,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540</w:t>
            </w:r>
          </w:p>
        </w:tc>
        <w:tc>
          <w:tcPr>
            <w:tcW w:w="169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SF-36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PCS (measures HRQoL)</w:t>
            </w:r>
          </w:p>
        </w:tc>
        <w:tc>
          <w:tcPr>
            <w:tcW w:w="826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1186" w:type="pct"/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0.97 (0.95; 0.99)</w:t>
            </w:r>
          </w:p>
        </w:tc>
      </w:tr>
      <w:tr w:rsidR="00D86F11" w:rsidRPr="00DE43DC" w:rsidTr="00D86F11">
        <w:trPr>
          <w:trHeight w:val="144"/>
        </w:trPr>
        <w:tc>
          <w:tcPr>
            <w:tcW w:w="1293" w:type="pct"/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Boutron,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France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,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540</w:t>
            </w:r>
          </w:p>
        </w:tc>
        <w:tc>
          <w:tcPr>
            <w:tcW w:w="169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Number of days with disability per month (10 days)</w:t>
            </w:r>
          </w:p>
        </w:tc>
        <w:tc>
          <w:tcPr>
            <w:tcW w:w="826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1186" w:type="pct"/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1.50 (1.19; 1.91)</w:t>
            </w:r>
          </w:p>
        </w:tc>
      </w:tr>
      <w:tr w:rsidR="00D86F11" w:rsidRPr="00DE43DC" w:rsidTr="00D86F11">
        <w:trPr>
          <w:trHeight w:val="144"/>
        </w:trPr>
        <w:tc>
          <w:tcPr>
            <w:tcW w:w="1293" w:type="pct"/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Boutron, 2008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388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France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,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540</w:t>
            </w:r>
          </w:p>
        </w:tc>
        <w:tc>
          <w:tcPr>
            <w:tcW w:w="1695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Patients' opinion of their disability (moderate/severe)</w:t>
            </w:r>
          </w:p>
        </w:tc>
        <w:tc>
          <w:tcPr>
            <w:tcW w:w="826" w:type="pct"/>
            <w:shd w:val="clear" w:color="000000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1186" w:type="pct"/>
            <w:shd w:val="clear" w:color="auto" w:fill="auto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1.57 (1.01; 2.20)</w:t>
            </w:r>
          </w:p>
        </w:tc>
      </w:tr>
    </w:tbl>
    <w:p w:rsidR="00D17166" w:rsidRPr="00AA22EA" w:rsidRDefault="00D86F11" w:rsidP="00AA22EA">
      <w:pPr>
        <w:tabs>
          <w:tab w:val="left" w:pos="720"/>
        </w:tabs>
        <w:outlineLvl w:val="0"/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Bold-</w:t>
      </w:r>
      <w:r w:rsidRPr="00DE43DC">
        <w:rPr>
          <w:rFonts w:ascii="Arial" w:hAnsi="Arial" w:cs="Arial"/>
          <w:b/>
          <w:sz w:val="18"/>
          <w:szCs w:val="18"/>
          <w:lang w:bidi="en-US"/>
        </w:rPr>
        <w:t xml:space="preserve"> </w:t>
      </w:r>
      <w:r w:rsidRPr="00DE43DC">
        <w:rPr>
          <w:rFonts w:ascii="Arial" w:hAnsi="Arial" w:cs="Arial"/>
          <w:sz w:val="18"/>
          <w:szCs w:val="18"/>
          <w:lang w:bidi="en-US"/>
        </w:rPr>
        <w:t>statistically significant results; underlined-large magnitude of the association</w:t>
      </w:r>
    </w:p>
    <w:sectPr w:rsidR="00D17166" w:rsidRPr="00AA22EA" w:rsidSect="00AA22EA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BE" w:rsidRDefault="000650BE">
      <w:r>
        <w:separator/>
      </w:r>
    </w:p>
  </w:endnote>
  <w:endnote w:type="continuationSeparator" w:id="0">
    <w:p w:rsidR="000650BE" w:rsidRDefault="0006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BC4C4F"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="00BC4C4F" w:rsidRPr="0089103A">
      <w:rPr>
        <w:rFonts w:ascii="Times New Roman" w:hAnsi="Times New Roman"/>
        <w:szCs w:val="24"/>
      </w:rPr>
      <w:fldChar w:fldCharType="separate"/>
    </w:r>
    <w:r w:rsidR="00AA22EA">
      <w:rPr>
        <w:rFonts w:ascii="Times New Roman" w:hAnsi="Times New Roman"/>
        <w:noProof/>
        <w:szCs w:val="24"/>
      </w:rPr>
      <w:t>170</w:t>
    </w:r>
    <w:r w:rsidR="00BC4C4F"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447B7F" w:rsidRDefault="004A09BC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4F28DF">
      <w:rPr>
        <w:rFonts w:ascii="Times New Roman" w:hAnsi="Times New Roman"/>
        <w:szCs w:val="24"/>
      </w:rPr>
      <w:t>148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BE" w:rsidRDefault="000650BE">
      <w:r>
        <w:separator/>
      </w:r>
    </w:p>
  </w:footnote>
  <w:footnote w:type="continuationSeparator" w:id="0">
    <w:p w:rsidR="000650BE" w:rsidRDefault="0006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650BE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45FFF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28D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C6665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22EA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4C4F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5832-C158-4638-AA6E-98B3F52B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994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2012-10-11T19:44:00Z</cp:lastPrinted>
  <dcterms:created xsi:type="dcterms:W3CDTF">2012-11-10T05:12:00Z</dcterms:created>
  <dcterms:modified xsi:type="dcterms:W3CDTF">2012-11-12T09:49:00Z</dcterms:modified>
</cp:coreProperties>
</file>