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F38. Association between joint stability and alignment with functional performance</w:t>
      </w:r>
    </w:p>
    <w:tbl>
      <w:tblPr>
        <w:tblW w:w="499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502"/>
        <w:gridCol w:w="3843"/>
        <w:gridCol w:w="2104"/>
        <w:gridCol w:w="1612"/>
        <w:gridCol w:w="1731"/>
        <w:gridCol w:w="1360"/>
      </w:tblGrid>
      <w:tr w:rsidR="00D86F11" w:rsidRPr="00DE43DC" w:rsidTr="00D86F11">
        <w:trPr>
          <w:cantSplit/>
          <w:trHeight w:val="144"/>
          <w:tblHeader/>
        </w:trPr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Author, year</w:t>
            </w:r>
          </w:p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Study characteristics</w:t>
            </w:r>
          </w:p>
        </w:tc>
        <w:tc>
          <w:tcPr>
            <w:tcW w:w="146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Adjustment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Joint stability and alignment measure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Functional outcome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Regression model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Mean (95% CI)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Thomas,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621</w:t>
            </w:r>
          </w:p>
        </w:tc>
        <w:tc>
          <w:tcPr>
            <w:tcW w:w="1461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800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Giving way: Yes vs. No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WOMAC: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hysical function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Cox regression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1.33 (1.08; 1.64)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Thomas,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621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Anteroposterior instability: Possible/definite vs. none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WOMAC: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hysical 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Cox regression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0.85 (0.60; 1.20)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Kauppila,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Finland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&gt;60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88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BMI, gender, comorbidity, flexion and extension relative peak torque of the affected leg, stair test, 15m walk-test, WOMAC pain, malalignments, restricted ROM, and previous surgery of the lower extremity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Antero-posterior laxity (knee instability) of the knee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WOMAC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Physical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11.30 (3.21; 19.35)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Kauppila,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Finland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&gt;60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88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BMI, gender, comorbidity, flexion and extension relative peak torque of the affected leg, stair test, 15m walk-test, WOMAC pain, malalignments, restricted ROM, and previous surgery of the lower extremity, antero-posterior laxity (knee instability)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Antero-posterior laxity (knee instability) of the knee and WOMAC pain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WOMAC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 Physical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-0.53 (-0.94; -0.13)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Der Esch, 2006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86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Joint laxity (knee instability)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WOMAC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hysical 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-1.04 (-1.84; -0.24)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Thomas,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621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Intercondylar gap in standing (cm): &gt;0 vs. 0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WOMAC: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hysical 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Cox regression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0.93 (0.72; 1.19)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Thomas,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621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Intermalleolar gap in standing (cm): &gt;0 vs. 0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WOMAC: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hysical 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Cox regression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1.16 (0.93; 1.43)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Thomas,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621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Fixed flexion deformity: Yes vs. no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WOMAC: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hysical function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Cox regression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1.09 (0.80; 1.48)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Hunt, 2010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57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Disease severity,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ymptoms(bilateral vs. unilateral), WOMAC pain,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q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uadriceps torque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Lower extremity alignment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Balance performance (center of pressure path length)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-2.73 (-4.74; -0.72)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5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Sharma, 2003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377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 xml:space="preserve">Country: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257</w:t>
            </w:r>
          </w:p>
        </w:tc>
        <w:tc>
          <w:tcPr>
            <w:tcW w:w="1461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Age, BMI, knee pain intensity, and disease severity (higher K/L grade of the 2 knees)</w:t>
            </w:r>
          </w:p>
        </w:tc>
        <w:tc>
          <w:tcPr>
            <w:tcW w:w="800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Laxity (knee instability), degrees</w:t>
            </w:r>
          </w:p>
        </w:tc>
        <w:tc>
          <w:tcPr>
            <w:tcW w:w="613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WOMAC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 Physical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function </w:t>
            </w:r>
          </w:p>
        </w:tc>
        <w:tc>
          <w:tcPr>
            <w:tcW w:w="658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517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1.58/3</w:t>
            </w: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  <w:lang w:bidi="en-US"/>
              </w:rPr>
              <w:t>0</w:t>
            </w: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 xml:space="preserve"> (1.04; 2.40)</w:t>
            </w:r>
          </w:p>
        </w:tc>
      </w:tr>
    </w:tbl>
    <w:p w:rsidR="00D86F11" w:rsidRDefault="00D86F11" w:rsidP="00D86F11">
      <w:pPr>
        <w:tabs>
          <w:tab w:val="left" w:pos="720"/>
        </w:tabs>
        <w:outlineLvl w:val="0"/>
        <w:rPr>
          <w:rFonts w:ascii="Arial" w:hAnsi="Arial" w:cs="Arial"/>
          <w:b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Bold- statistically significant results</w:t>
      </w:r>
    </w:p>
    <w:p w:rsidR="00D86F11" w:rsidRDefault="00D86F11" w:rsidP="00D86F11">
      <w:pPr>
        <w:tabs>
          <w:tab w:val="left" w:pos="720"/>
        </w:tabs>
        <w:outlineLvl w:val="0"/>
        <w:rPr>
          <w:rFonts w:ascii="Arial" w:hAnsi="Arial" w:cs="Arial"/>
          <w:sz w:val="18"/>
          <w:szCs w:val="18"/>
          <w:lang w:bidi="en-US"/>
        </w:rPr>
      </w:pPr>
      <w:r w:rsidRPr="002E5370">
        <w:rPr>
          <w:rFonts w:ascii="Arial" w:hAnsi="Arial" w:cs="Arial"/>
          <w:sz w:val="18"/>
          <w:szCs w:val="18"/>
          <w:lang w:bidi="en-US"/>
        </w:rPr>
        <w:t>NR –Not reported</w:t>
      </w:r>
    </w:p>
    <w:sectPr w:rsidR="00D86F11" w:rsidSect="00EE60A0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3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07" w:rsidRDefault="00C16F07">
      <w:r>
        <w:separator/>
      </w:r>
    </w:p>
  </w:endnote>
  <w:endnote w:type="continuationSeparator" w:id="0">
    <w:p w:rsidR="00C16F07" w:rsidRDefault="00C1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DB" w:rsidRPr="0089103A" w:rsidRDefault="00E370DB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AD47CA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AD47CA" w:rsidRPr="0089103A">
      <w:rPr>
        <w:rFonts w:ascii="Times New Roman" w:hAnsi="Times New Roman"/>
        <w:szCs w:val="24"/>
      </w:rPr>
      <w:fldChar w:fldCharType="separate"/>
    </w:r>
    <w:r w:rsidR="003F104D">
      <w:rPr>
        <w:rFonts w:ascii="Times New Roman" w:hAnsi="Times New Roman"/>
        <w:noProof/>
        <w:szCs w:val="24"/>
      </w:rPr>
      <w:t>139</w:t>
    </w:r>
    <w:r w:rsidR="00AD47CA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DB" w:rsidRPr="00447B7F" w:rsidRDefault="00E370DB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AD47CA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AD47CA" w:rsidRPr="00447B7F">
      <w:rPr>
        <w:rFonts w:ascii="Times New Roman" w:hAnsi="Times New Roman"/>
        <w:szCs w:val="24"/>
      </w:rPr>
      <w:fldChar w:fldCharType="separate"/>
    </w:r>
    <w:r w:rsidR="003F104D">
      <w:rPr>
        <w:rFonts w:ascii="Times New Roman" w:hAnsi="Times New Roman"/>
        <w:noProof/>
        <w:szCs w:val="24"/>
      </w:rPr>
      <w:t>138</w:t>
    </w:r>
    <w:r w:rsidR="00AD47CA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07" w:rsidRDefault="00C16F07">
      <w:r>
        <w:separator/>
      </w:r>
    </w:p>
  </w:footnote>
  <w:footnote w:type="continuationSeparator" w:id="0">
    <w:p w:rsidR="00C16F07" w:rsidRDefault="00C16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4D" w:rsidRDefault="003F104D" w:rsidP="00EE60A0">
    <w:pPr>
      <w:pStyle w:val="Tabletitle1"/>
    </w:pPr>
  </w:p>
  <w:p w:rsidR="00EE60A0" w:rsidRDefault="00EE60A0" w:rsidP="00EE60A0">
    <w:pPr>
      <w:pStyle w:val="Tabletitle1"/>
    </w:pPr>
    <w:r w:rsidRPr="008E6CA7">
      <w:t>Appendix Table F38. Association between joint stability and alignm</w:t>
    </w:r>
    <w:r>
      <w:t>ent with functional performance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104D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1679"/>
    <w:rsid w:val="00AD2C9B"/>
    <w:rsid w:val="00AD466D"/>
    <w:rsid w:val="00AD47CA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16F07"/>
    <w:rsid w:val="00C20967"/>
    <w:rsid w:val="00C218C6"/>
    <w:rsid w:val="00C21A95"/>
    <w:rsid w:val="00C30308"/>
    <w:rsid w:val="00C304C9"/>
    <w:rsid w:val="00C4181A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112C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370DB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E60A0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AE18-9685-46C3-A7C2-A8D464B7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2501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2012-10-11T19:44:00Z</cp:lastPrinted>
  <dcterms:created xsi:type="dcterms:W3CDTF">2012-11-09T14:22:00Z</dcterms:created>
  <dcterms:modified xsi:type="dcterms:W3CDTF">2012-11-12T09:42:00Z</dcterms:modified>
</cp:coreProperties>
</file>