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DE43DC">
        <w:rPr>
          <w:rFonts w:ascii="Arial" w:hAnsi="Arial" w:cs="Arial"/>
          <w:b/>
          <w:sz w:val="20"/>
          <w:szCs w:val="18"/>
        </w:rPr>
        <w:t>Appendix Table F36. Association between intermediate outcomes and disability</w:t>
      </w:r>
    </w:p>
    <w:tbl>
      <w:tblPr>
        <w:tblW w:w="502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ayout w:type="fixed"/>
        <w:tblCellMar>
          <w:left w:w="58" w:type="dxa"/>
          <w:right w:w="58" w:type="dxa"/>
        </w:tblCellMar>
        <w:tblLook w:val="04A0"/>
      </w:tblPr>
      <w:tblGrid>
        <w:gridCol w:w="2564"/>
        <w:gridCol w:w="1762"/>
        <w:gridCol w:w="1967"/>
        <w:gridCol w:w="2729"/>
        <w:gridCol w:w="1617"/>
        <w:gridCol w:w="2508"/>
      </w:tblGrid>
      <w:tr w:rsidR="00D86F11" w:rsidRPr="00DE43DC" w:rsidTr="00D86F11">
        <w:trPr>
          <w:trHeight w:val="393"/>
          <w:tblHeader/>
        </w:trPr>
        <w:tc>
          <w:tcPr>
            <w:tcW w:w="9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 xml:space="preserve">Author, year </w:t>
            </w:r>
          </w:p>
          <w:p w:rsidR="00D86F11" w:rsidRPr="00DE43DC" w:rsidRDefault="00D86F11" w:rsidP="00D86F11">
            <w:pPr>
              <w:tabs>
                <w:tab w:val="left" w:pos="720"/>
              </w:tabs>
              <w:ind w:right="-88"/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Study characteristics</w:t>
            </w:r>
          </w:p>
        </w:tc>
        <w:tc>
          <w:tcPr>
            <w:tcW w:w="6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Adjustment</w:t>
            </w:r>
          </w:p>
        </w:tc>
        <w:tc>
          <w:tcPr>
            <w:tcW w:w="7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Intermediate outcome</w:t>
            </w:r>
          </w:p>
        </w:tc>
        <w:tc>
          <w:tcPr>
            <w:tcW w:w="10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Outcomes</w:t>
            </w:r>
          </w:p>
        </w:tc>
        <w:tc>
          <w:tcPr>
            <w:tcW w:w="6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Regression model</w:t>
            </w:r>
          </w:p>
        </w:tc>
        <w:tc>
          <w:tcPr>
            <w:tcW w:w="9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left="-24"/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Regression coefficient (95% CI)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tcBorders>
              <w:top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Baar,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112</w:t>
            </w:r>
          </w:p>
        </w:tc>
        <w:tc>
          <w:tcPr>
            <w:tcW w:w="670" w:type="pct"/>
            <w:tcBorders>
              <w:top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Pain coping: worrying, resting; range of motion; medication: NSAID; age</w:t>
            </w:r>
          </w:p>
        </w:tc>
        <w:tc>
          <w:tcPr>
            <w:tcW w:w="748" w:type="pct"/>
            <w:tcBorders>
              <w:top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</w:t>
            </w:r>
          </w:p>
        </w:tc>
        <w:tc>
          <w:tcPr>
            <w:tcW w:w="1038" w:type="pct"/>
            <w:tcBorders>
              <w:top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Observed disability determined by studying videos of the patients' performance of a series of standardized tasks using an adaptation of the method described by Keefe</w:t>
            </w:r>
          </w:p>
        </w:tc>
        <w:tc>
          <w:tcPr>
            <w:tcW w:w="615" w:type="pct"/>
            <w:tcBorders>
              <w:top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tcBorders>
              <w:top w:val="single" w:sz="12" w:space="0" w:color="auto"/>
            </w:tcBorders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-0.24 P value ≤0.01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Baar,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112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Pain coping: resting; range of motion; pain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disability-IRGL, mobility subscale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-0.22 P value ≤0.01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Baar,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112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Pain coping: worrying, resting; muscle strength; medication: NSAID; age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Range of Motion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Observed disability determined by studying videos of the patients' performance of a series of standardized tasks using an adaptation of the method described by Keefe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-0.27 P value ≤0.01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Baar,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112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Pain coping: resting; muscle strength; pain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Range of motion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disability-IRGL, mobility subscale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-0.28 P value ≤0.01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Clark,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 xml:space="preserve">Country: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415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Education, employment, comorbidity, crepitus, bony enlargement, joint tenderness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Osteoarthritis of the Knee Severity Index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SF-36: Role function with physical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-1.19 P value &lt;0.001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Clark,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 xml:space="preserve">Country: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415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Age, education, comorbidity, crepitus, employment, bony enlargement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Joint tenderness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SF-36: Physical function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1.07 P value 0.69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Clark,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382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 xml:space="preserve">Country: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U.S.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415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Age, education, comorbidity, crepitus, employment, bony enlargement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Joint tenderness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SF-36: Role function with physical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-0.84 P value 0.83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keepNext/>
              <w:tabs>
                <w:tab w:val="left" w:pos="720"/>
              </w:tabs>
              <w:ind w:right="-86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van Baar,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112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547BE6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Pain coping: resting; muscle strength; range of motion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Pain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disability-IRGL, mobility subscale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CD063E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CD063E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0.21 P value ≤0.05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Baar,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112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Pain coping: worrying; muscle strength; medication: NSAID; age; range of motion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Pain coping: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esting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Observed disability determined by studying videos of the patients' performance of a series of standardized tasks using an adaptation of the method described by Keefe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0.21 P value ≤0.01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Baar,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112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Pain; muscle strength; range of motion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Pain coping: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esting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disability-IRGL, mobility subscale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0.26 P value ≤0.01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Baar,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381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112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Pain coping: resting; muscle strength; medication: NSAID; age; range of motion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Pain coping: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W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orrying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Observed disability determined by studying videos of the patients' performance of a series of standardized tasks using an adaptation of the method described by Keefe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0.20 P value ≤0.05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Muscle strength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0.252,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Muscle strength, pain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0.153,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Muscle strength, pain, comorbidity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0.133, P value &lt;0.05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Default="00D86F11" w:rsidP="00D86F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Muscle strength</w:t>
            </w:r>
          </w:p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 hip internal rotation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0.153, P value &lt;0.05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Muscle strength, pain 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ip internal rotation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0.044, P value NR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Muscle strength, pain, comorbidity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ip internal rotation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0.041, P value NR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Maly, 2006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Canada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54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NR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Peak knee extension angle (</w:t>
            </w:r>
            <w:r w:rsidRPr="00BA34F1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en-US"/>
              </w:rPr>
              <w:t>o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)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SF-36 (disability)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-6.42, P value 0.001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Maly, 2006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384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Canada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54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NR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Range knee flexion/extension angle (</w:t>
            </w:r>
            <w:r w:rsidRPr="00BA34F1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en-US"/>
              </w:rPr>
              <w:t>o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)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SF-36 (disability)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3.04, P value 0.021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Steultjens, 2000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365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198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NR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Knee flexion (ROM)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Observed disability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-0.154, P value NR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Steultjens, 2000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365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198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NR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Hip extension (ROM)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Observed disability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-0.201, P value &lt;0.05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Steultjens, 2000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365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198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NR 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Hip abduction (ROM)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Observed disability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-0.186, P value NR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Steultjens, 2000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365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198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NR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Hip external rotation (ROM)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Observed disability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-0.224, P value &lt;0.05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Steultjens, 2000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365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198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NR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Knee flexion (ROM)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disability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-0.195, P value &lt;0.05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Steultjens, 2000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365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198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NR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Hip extension (ROM)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disability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-0.279,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Steultjens, 2000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365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NR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198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NR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Hip external rotation (ROM)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disability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-0.331,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uscle strength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ip flexion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Linear,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standardized beta coefficient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-0.21,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ip flexion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Linear,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standardized beta coefficient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0.376,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ip flexion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Linear,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standardized beta coefficient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-0.401,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ip internal rotation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Linear,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standardized beta coefficient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0.246,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ip internal rotation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Linear,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standardized beta coefficient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-0.125, P value &lt;0.05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ip external rotation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Linear,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standardized beta coefficient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0.175,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H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ip external rotation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Linear,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standardized beta coefficient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-0.238,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nee flexion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Linear,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standardized beta coefficient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0.204,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nee flexion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Linear,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standardized beta coefficient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-0.296,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nee extension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Linear,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standardized beta coefficient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-0.008, P value NR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ROM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: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nee extension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Linear,</w:t>
            </w: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standardized beta coefficient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-0.246,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Muscle strength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 knee extension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0.215,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strength, pain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 knee extension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0.136, P value &lt;0.01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strength, pain, comorbidity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 knee extension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0.128, P value &lt;0.01</w:t>
            </w:r>
          </w:p>
        </w:tc>
      </w:tr>
      <w:tr w:rsidR="00D86F11" w:rsidRPr="00DE43DC" w:rsidTr="00D86F11"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O’Reilly,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300 each of cases and controls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Age, sex, BMI, depression, anxiety, activation (%), radiographic score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MVC (Maximum voluntary contraction of quadriceps) (kgF): &gt;30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Disability (WOMAC function score &gt;19)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1.00 (1.00; 1.00) reference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O’Reilly,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300 each of cases and controls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Age, sex, BMI, depression, anxiety, activation (%), radiographic score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MVC (Maximum voluntary contraction of quadriceps) (kgF): 20-30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Disability (WOMAC function score &gt;19)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1.48 (0.37; 5.93)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O’Reilly,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300 each of cases and controls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Age, sex, BMI, depression, anxiety, activation (%), radiographic score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MVC (Maximum voluntary contraction of quadriceps) (kgF): 10-20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Disability (WOMAC function score &gt;19)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4.88 (1.18; 20.14)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O’Reilly,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300 each of cases and controls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Age, sex, BMI, depression, anxiety, activation (%), radiographic score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MVC (Maximum voluntary contraction of quadriceps) (kgF): &lt;=10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Disability (WOMAC function score &gt;19)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8.23 (1.53; 44.38)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O’Reilly,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300 each of cases and controls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sz w:val="18"/>
                <w:szCs w:val="18"/>
                <w:lang w:bidi="en-US"/>
              </w:rPr>
              <w:t>Age, sex, BMI, depression, anxiety, activation (%), radiographic score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MVC (Maximum voluntary contraction) (kgF): &gt;40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Disability (SF-36 function score &lt;90)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1.00 (1.00; 1.00) reference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O’Reilly,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300 each of cases and controls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Age, sex, BMI, depression, anxiety, activation (%), radiographic score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MVC (Maximum voluntary contraction) (kgF): 30 -40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Disability (SF-36 function score &lt;90)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3.04 (0.86; 10.71)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O’Reilly,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300 each of cases and controls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 xml:space="preserve">Age, sex, BMI, depression, anxiety, </w:t>
            </w:r>
            <w:r w:rsidRPr="00DE43DC">
              <w:rPr>
                <w:rFonts w:ascii="Arial" w:hAnsi="Arial" w:cs="Arial"/>
                <w:sz w:val="18"/>
                <w:szCs w:val="18"/>
              </w:rPr>
              <w:lastRenderedPageBreak/>
              <w:t>activation (%), radiographic score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 xml:space="preserve">MVC (Maximum voluntary contraction) 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(kgF): 20-30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Disability (SF-36 function score &lt;90)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3.77 (1.02; 13.91)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lastRenderedPageBreak/>
              <w:t>O’Reilly, 1998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UK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&gt;40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300 each of cases and controls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Age, sex, BMI, depression, anxiety, activation (%), radiographic score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MVC (Maximum voluntary contraction) (kgF): &lt;=20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Disability (SF-36 function score &lt;90)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Logistic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4.98 (1.08; 22.97)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Muscle strength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 hip abduction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-0.184,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Muscle strength, pain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 hip abduction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-0.174,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Muscle strength, pain, cognitive functioning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 hip abduction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-0.186, P value &lt;0.01</w:t>
            </w:r>
          </w:p>
        </w:tc>
      </w:tr>
      <w:tr w:rsidR="00D86F11" w:rsidRPr="00DE43DC" w:rsidTr="00D86F11"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Muscle strength, pain, cognitive functioning, age/BMI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 hip abduction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-0.17,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 hip abduction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0.318, P value &lt;0.01</w:t>
            </w:r>
          </w:p>
        </w:tc>
      </w:tr>
      <w:tr w:rsidR="00D86F11" w:rsidRPr="00DE43DC" w:rsidTr="00D86F11">
        <w:trPr>
          <w:cantSplit/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 hip abduction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-0.356,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rPr>
                <w:rFonts w:ascii="Arial" w:hAnsi="Arial" w:cs="Arial"/>
                <w:sz w:val="18"/>
                <w:szCs w:val="18"/>
              </w:rPr>
            </w:pPr>
            <w:r w:rsidRPr="00DE43DC">
              <w:rPr>
                <w:rFonts w:ascii="Arial" w:hAnsi="Arial" w:cs="Arial"/>
                <w:sz w:val="18"/>
                <w:szCs w:val="18"/>
              </w:rPr>
              <w:t>Unadjusted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 knee extension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Self-reported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0.306, P value &lt;0.01</w:t>
            </w:r>
          </w:p>
        </w:tc>
      </w:tr>
      <w:tr w:rsidR="00D86F11" w:rsidRPr="00DE43DC" w:rsidTr="00D86F11">
        <w:trPr>
          <w:trHeight w:val="144"/>
        </w:trPr>
        <w:tc>
          <w:tcPr>
            <w:tcW w:w="97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ind w:right="-88"/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van Dijk, 2009</w:t>
            </w:r>
            <w:r w:rsidRPr="00A424D8">
              <w:rPr>
                <w:noProof/>
                <w:color w:val="000000"/>
                <w:sz w:val="18"/>
                <w:szCs w:val="18"/>
                <w:vertAlign w:val="superscript"/>
                <w:lang w:bidi="en-US"/>
              </w:rPr>
              <w:t>383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Country: The Netherlands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Age: &gt;50</w:t>
            </w: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br/>
              <w:t>Sample: 288</w:t>
            </w:r>
          </w:p>
        </w:tc>
        <w:tc>
          <w:tcPr>
            <w:tcW w:w="670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NR</w:t>
            </w:r>
          </w:p>
        </w:tc>
        <w:tc>
          <w:tcPr>
            <w:tcW w:w="74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Muscle strength knee extension</w:t>
            </w:r>
          </w:p>
        </w:tc>
        <w:tc>
          <w:tcPr>
            <w:tcW w:w="1038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Performance -based limitations in activities</w:t>
            </w:r>
          </w:p>
        </w:tc>
        <w:tc>
          <w:tcPr>
            <w:tcW w:w="615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bidi="en-US"/>
              </w:rPr>
              <w:t>Linear</w:t>
            </w:r>
          </w:p>
        </w:tc>
        <w:tc>
          <w:tcPr>
            <w:tcW w:w="954" w:type="pct"/>
            <w:shd w:val="clear" w:color="auto" w:fill="FFFFFF"/>
            <w:hideMark/>
          </w:tcPr>
          <w:p w:rsidR="00D86F11" w:rsidRPr="00DE43DC" w:rsidRDefault="00D86F11" w:rsidP="00D86F11">
            <w:pPr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DE43DC"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  <w:t>-0.274, P value &lt;0.01</w:t>
            </w:r>
          </w:p>
        </w:tc>
      </w:tr>
    </w:tbl>
    <w:p w:rsidR="00D17166" w:rsidRPr="00FF0331" w:rsidRDefault="00D86F11" w:rsidP="00FF0331">
      <w:pPr>
        <w:tabs>
          <w:tab w:val="left" w:pos="720"/>
        </w:tabs>
        <w:outlineLvl w:val="0"/>
        <w:rPr>
          <w:rFonts w:ascii="Arial" w:hAnsi="Arial" w:cs="Arial"/>
          <w:sz w:val="18"/>
          <w:szCs w:val="18"/>
          <w:lang w:bidi="en-US"/>
        </w:rPr>
      </w:pPr>
      <w:r w:rsidRPr="00DE43DC">
        <w:rPr>
          <w:rFonts w:ascii="Arial" w:hAnsi="Arial" w:cs="Arial"/>
          <w:sz w:val="18"/>
          <w:szCs w:val="18"/>
          <w:lang w:bidi="en-US"/>
        </w:rPr>
        <w:t>Bold-</w:t>
      </w:r>
      <w:r w:rsidRPr="00DE43DC">
        <w:rPr>
          <w:rFonts w:ascii="Arial" w:hAnsi="Arial" w:cs="Arial"/>
          <w:b/>
          <w:sz w:val="18"/>
          <w:szCs w:val="18"/>
          <w:lang w:bidi="en-US"/>
        </w:rPr>
        <w:t xml:space="preserve"> </w:t>
      </w:r>
      <w:r w:rsidRPr="00DE43DC">
        <w:rPr>
          <w:rFonts w:ascii="Arial" w:hAnsi="Arial" w:cs="Arial"/>
          <w:sz w:val="18"/>
          <w:szCs w:val="18"/>
          <w:lang w:bidi="en-US"/>
        </w:rPr>
        <w:t>statistically significant results</w:t>
      </w:r>
    </w:p>
    <w:sectPr w:rsidR="00D17166" w:rsidRPr="00FF0331" w:rsidSect="001D2056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3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4" w:rsidRDefault="004445A4">
      <w:r>
        <w:separator/>
      </w:r>
    </w:p>
  </w:endnote>
  <w:endnote w:type="continuationSeparator" w:id="0">
    <w:p w:rsidR="004445A4" w:rsidRDefault="0044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89103A" w:rsidRDefault="004A09BC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2E1F8F"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="002E1F8F" w:rsidRPr="0089103A">
      <w:rPr>
        <w:rFonts w:ascii="Times New Roman" w:hAnsi="Times New Roman"/>
        <w:szCs w:val="24"/>
      </w:rPr>
      <w:fldChar w:fldCharType="separate"/>
    </w:r>
    <w:r w:rsidR="003660CB">
      <w:rPr>
        <w:rFonts w:ascii="Times New Roman" w:hAnsi="Times New Roman"/>
        <w:noProof/>
        <w:szCs w:val="24"/>
      </w:rPr>
      <w:t>135</w:t>
    </w:r>
    <w:r w:rsidR="002E1F8F"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447B7F" w:rsidRDefault="004A09BC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2E1F8F" w:rsidRPr="00447B7F">
      <w:rPr>
        <w:rFonts w:ascii="Times New Roman" w:hAnsi="Times New Roman"/>
        <w:szCs w:val="24"/>
      </w:rPr>
      <w:fldChar w:fldCharType="begin"/>
    </w:r>
    <w:r w:rsidRPr="00447B7F">
      <w:rPr>
        <w:rFonts w:ascii="Times New Roman" w:hAnsi="Times New Roman"/>
        <w:szCs w:val="24"/>
      </w:rPr>
      <w:instrText xml:space="preserve"> PAGE   \* MERGEFORMAT </w:instrText>
    </w:r>
    <w:r w:rsidR="002E1F8F" w:rsidRPr="00447B7F">
      <w:rPr>
        <w:rFonts w:ascii="Times New Roman" w:hAnsi="Times New Roman"/>
        <w:szCs w:val="24"/>
      </w:rPr>
      <w:fldChar w:fldCharType="separate"/>
    </w:r>
    <w:r w:rsidR="0018120F">
      <w:rPr>
        <w:rFonts w:ascii="Times New Roman" w:hAnsi="Times New Roman"/>
        <w:noProof/>
        <w:szCs w:val="24"/>
      </w:rPr>
      <w:t>130</w:t>
    </w:r>
    <w:r w:rsidR="002E1F8F" w:rsidRPr="00447B7F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4" w:rsidRDefault="004445A4">
      <w:r>
        <w:separator/>
      </w:r>
    </w:p>
  </w:footnote>
  <w:footnote w:type="continuationSeparator" w:id="0">
    <w:p w:rsidR="004445A4" w:rsidRDefault="00444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56" w:rsidRDefault="001D2056" w:rsidP="001D2056">
    <w:pPr>
      <w:pStyle w:val="Tabletitle1"/>
    </w:pPr>
  </w:p>
  <w:p w:rsidR="001D2056" w:rsidRPr="001D2056" w:rsidRDefault="001D2056" w:rsidP="001D2056">
    <w:pPr>
      <w:pStyle w:val="Tabletitle1"/>
      <w:rPr>
        <w:b w:val="0"/>
      </w:rPr>
    </w:pPr>
    <w:r w:rsidRPr="008E6CA7">
      <w:t>Appendix Table F36. Association between intermediate outcomes and disability</w:t>
    </w:r>
    <w:r>
      <w:t xml:space="preserve">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120F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056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E1F8F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60CB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45A4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2F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2BB9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0331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53D3-DEB7-44C4-AA59-5C547373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11628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2012-10-11T19:44:00Z</cp:lastPrinted>
  <dcterms:created xsi:type="dcterms:W3CDTF">2012-11-09T14:15:00Z</dcterms:created>
  <dcterms:modified xsi:type="dcterms:W3CDTF">2012-11-12T09:37:00Z</dcterms:modified>
</cp:coreProperties>
</file>