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F13. Strength of evidence of differences in outcomes with physical therapy interventions for adults with knee OA</w:t>
      </w:r>
    </w:p>
    <w:tbl>
      <w:tblPr>
        <w:tblW w:w="5078" w:type="pct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9" w:type="dxa"/>
          <w:right w:w="43" w:type="dxa"/>
        </w:tblCellMar>
        <w:tblLook w:val="04A0"/>
      </w:tblPr>
      <w:tblGrid>
        <w:gridCol w:w="1354"/>
        <w:gridCol w:w="1159"/>
        <w:gridCol w:w="1339"/>
        <w:gridCol w:w="1246"/>
        <w:gridCol w:w="981"/>
        <w:gridCol w:w="1071"/>
        <w:gridCol w:w="1249"/>
        <w:gridCol w:w="1246"/>
        <w:gridCol w:w="1071"/>
        <w:gridCol w:w="1336"/>
        <w:gridCol w:w="1204"/>
      </w:tblGrid>
      <w:tr w:rsidR="00D86F11" w:rsidRPr="00DE43DC" w:rsidTr="00D86F11">
        <w:trPr>
          <w:cantSplit/>
          <w:tblHeader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Physical therapy interventions</w:t>
            </w:r>
          </w:p>
        </w:tc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Outcomes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Author, year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Studies, subjects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Risk of bias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ind w:left="-110" w:right="-128"/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Directness</w:t>
            </w:r>
          </w:p>
        </w:tc>
        <w:tc>
          <w:tcPr>
            <w:tcW w:w="471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ind w:left="-110" w:right="-128"/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Consistency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ind w:left="-110" w:right="-128"/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Statistical heterogeneity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ind w:left="-110" w:right="-128"/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Precision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ind w:left="-110" w:right="-128"/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Strength of the association</w:t>
            </w:r>
          </w:p>
        </w:tc>
        <w:tc>
          <w:tcPr>
            <w:tcW w:w="454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Evidence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&lt;6 weeks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Callaghan,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175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Fukuda,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205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4; Subjects: 259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Akyol, 2010 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143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&lt;6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Callaghan, 2005 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175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Fukuda, 2011 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205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4; Subjects: 259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183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Fukuda,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205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229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183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joint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143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joint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143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Callaghan,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175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173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Diathermy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Laufer,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242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Akyol,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183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Estim vs. exercise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Cheing,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181</w:t>
            </w:r>
          </w:p>
          <w:p w:rsidR="00D86F11" w:rsidRPr="00DE43DC" w:rsidRDefault="00D86F11" w:rsidP="00D86F1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Durmus,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81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 vs. exercise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Cheing,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182</w:t>
            </w:r>
          </w:p>
          <w:p w:rsidR="00D86F11" w:rsidRPr="00DE43DC" w:rsidRDefault="00D86F11" w:rsidP="00D86F1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Durmus,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81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Shakoor,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288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Keefe,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233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Farr, 2010</w:t>
            </w:r>
            <w:r w:rsidRPr="00DE43DC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429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Farr, 2010</w:t>
            </w:r>
            <w:r w:rsidRPr="00DE43DC">
              <w:rPr>
                <w:noProof/>
                <w:sz w:val="18"/>
                <w:szCs w:val="18"/>
                <w:vertAlign w:val="superscript"/>
              </w:rPr>
              <w:t>10</w:t>
            </w:r>
          </w:p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Messier,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511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proprioception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Weng,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Tsauo,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198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proprioception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Weng,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Tsauo,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198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proprioception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Jan,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Tsauo,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181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Orthotics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Hinman,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Maly,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Kerrigan,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Kuroyanagi,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241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4; Subjects: 101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Orthotics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Toda,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Bar-Ziv,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138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Elastic subtalar strapping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Toda,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Toda,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Toda,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246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Massage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Yip,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Ko,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236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94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Garland,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Selfe,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287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98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Taylor, 1981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Law,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Cheing,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181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Selfe,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Itoh,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Pietrosimone,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Grimmer, 1992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211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7; Subjects: 301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Cheing,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181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Itoh,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Gaines,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Garland,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Selfe,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7; Subjects: 304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Gaines,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76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Global assessment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Selfe,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Garland,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207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98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Garland,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Selfe,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287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138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joint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Selfe,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Grimmer, 1992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211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100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joint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Garland,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207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Selfe,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287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ind w:right="-137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98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 function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Yurtkuran,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Cheing,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Law,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Pietrosimone,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277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4; Subjects: 191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 function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Cheing,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164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Strength 120 degree extension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118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Estim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Strength 60 degree extension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Cheing,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182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146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Deyle, 2000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117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Large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Yip, 2007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324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Yip, 2008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326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Kovar, 1992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238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Deyle, 2000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189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Bautch, 1997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165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Peloquin,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Keefe,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8; Subjects: 739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Yip,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Yip,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326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32 Subjects: 277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Yip,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Sullivan, 1998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331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Rejeski,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Ettinger,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4; Subjects: 806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Psychological disability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Peloquin,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Keefe,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233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4; Subjects: 271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&lt;6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Messier,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137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Yip, 2007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324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Yip, 2008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326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Kovar, 1992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238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An, 2008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157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Messier, 1997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332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Talbot, 2003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294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Bautch, 1997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165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Peloquin, 1999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274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Keefe, 2004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233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Farr, 2010</w:t>
            </w:r>
            <w:r w:rsidRPr="00DE43DC">
              <w:rPr>
                <w:noProof/>
                <w:sz w:val="18"/>
                <w:szCs w:val="18"/>
                <w:vertAlign w:val="superscript"/>
                <w:lang w:val="nb-NO"/>
              </w:rPr>
              <w:t>10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Hay,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ind w:right="-137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12; Subjects: 1242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Yip,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Yip,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Messier,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Messier,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Hay,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6; Subjects: 953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Ettinger, 1997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195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Farr, 2010</w:t>
            </w:r>
            <w:r w:rsidRPr="00DE43DC">
              <w:rPr>
                <w:noProof/>
                <w:sz w:val="18"/>
                <w:szCs w:val="18"/>
                <w:vertAlign w:val="superscript"/>
                <w:lang w:val="nb-NO"/>
              </w:rPr>
              <w:t>10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Yip, 2008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326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Hay, 2006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214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3DC">
              <w:rPr>
                <w:rFonts w:ascii="Arial" w:hAnsi="Arial" w:cs="Arial"/>
                <w:sz w:val="18"/>
                <w:szCs w:val="18"/>
                <w:lang w:val="nb-NO"/>
              </w:rPr>
              <w:t>Sullivan, 1998</w:t>
            </w:r>
            <w:r w:rsidRPr="00A424D8">
              <w:rPr>
                <w:noProof/>
                <w:sz w:val="18"/>
                <w:szCs w:val="18"/>
                <w:vertAlign w:val="superscript"/>
                <w:lang w:val="nb-NO"/>
              </w:rPr>
              <w:t>331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Messier,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6; Subjects: 1221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Jan,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Hay,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351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Large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Hay,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Messier,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Ettinger,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826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Messier,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Deyle, 2000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220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 function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Peterson, 1993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Jan,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Deyle, 2000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Messier,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Peloquin, 1999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8; Subjects: 632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Messier,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Talbot, 2003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Messier,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459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 function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Focht,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334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Ettinger,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ind w:right="-47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609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Health perception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Aglamis,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ind w:right="-47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62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Health perception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Sullivan, 1998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331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Yip,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Rejeski,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ind w:right="-47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513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Exercise aquatic 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Rooks,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99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Exercise aquatic 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Patrick,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303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Exercise aquatic 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Rooks,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99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Exercise aquatic 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Patrick,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303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Exercise aquatic 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QL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Patrick,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303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Exercise aquatic 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Rooks, 2006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99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Schilke, 1996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Doi,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4; Subjects: 606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Baker,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490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ind w:right="-173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Ettinger,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687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Swank,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Schilke, 1996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285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Gur,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Jan,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Cheing,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181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Weng,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Doi,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Borjesson, 1996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Lim, 2008</w:t>
            </w:r>
            <w:r w:rsidRPr="00DE43DC">
              <w:rPr>
                <w:noProof/>
                <w:sz w:val="18"/>
                <w:szCs w:val="18"/>
                <w:vertAlign w:val="superscript"/>
              </w:rPr>
              <w:t>20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Bennell,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13; Subjects: 1404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Baker,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Topp,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4; Subjects: 592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ind w:right="-173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Ettinger,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Weng,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319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786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QL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Doi,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194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Jan,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Weng,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Lim, 2008</w:t>
            </w:r>
            <w:r w:rsidRPr="00DE43DC">
              <w:rPr>
                <w:noProof/>
                <w:sz w:val="18"/>
                <w:szCs w:val="18"/>
                <w:vertAlign w:val="superscript"/>
              </w:rPr>
              <w:t>20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Bennell,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6; Subjects: 521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Large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Baker,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Topp,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200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Weng,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Ettinger,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394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Large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Gur,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212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Jan,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Cheing, 2004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182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Lin,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Borjesson, 1996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Lim, 2008</w:t>
            </w:r>
            <w:r w:rsidRPr="00DE43DC">
              <w:rPr>
                <w:noProof/>
                <w:sz w:val="18"/>
                <w:szCs w:val="18"/>
                <w:vertAlign w:val="superscript"/>
              </w:rPr>
              <w:t>20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Bennell,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167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Swank, 2011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9; Subjects: 958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 function13-26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Topp,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310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494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strength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 function&gt;26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Kuptniratsaikul, 2002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Ettinger, 1997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195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687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PEMF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Ay,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Thamsborg,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298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145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PEMF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Ay,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159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Thamsborg,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298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145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Tai Chi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Lee,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Brismee,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85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Tai Chi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13-26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Brismee,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171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Song,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292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123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Tai Chi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Lee,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Brismee,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85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Tai Chi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Lee,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Brismee,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85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Tai Chi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joint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Lee,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245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Brismee, 2007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85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Disability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Tascioglu,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Ozgonenel,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157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Tascioglu,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Ozgonenel,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157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200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222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160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200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160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Large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 function &lt; 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Tascioglu, 2010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296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Ozgonenel, 2009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270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157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223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Cetin,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178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3; Subjects: 200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Large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Gait function &gt;26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Huang, 2005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223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160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Large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aquatic vs. aerobic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Pain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Lund,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250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Wyatt,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322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110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Inconsistent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D86F11" w:rsidRPr="00DE43DC" w:rsidTr="00D86F11">
        <w:trPr>
          <w:cantSplit/>
        </w:trPr>
        <w:tc>
          <w:tcPr>
            <w:tcW w:w="51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Laterally vs. neutrally wedged insole</w:t>
            </w:r>
          </w:p>
        </w:tc>
        <w:tc>
          <w:tcPr>
            <w:tcW w:w="437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Function composite 6-13 weeks</w:t>
            </w:r>
          </w:p>
        </w:tc>
        <w:tc>
          <w:tcPr>
            <w:tcW w:w="505" w:type="pct"/>
            <w:shd w:val="clear" w:color="000000" w:fill="FFFFFF"/>
          </w:tcPr>
          <w:p w:rsidR="00D86F11" w:rsidRPr="00DE43DC" w:rsidRDefault="00D86F11" w:rsidP="00D86F1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Maillefert, 2001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252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Toda, 2008</w:t>
            </w:r>
            <w:r w:rsidRPr="00A424D8">
              <w:rPr>
                <w:noProof/>
                <w:sz w:val="18"/>
                <w:szCs w:val="18"/>
                <w:vertAlign w:val="superscript"/>
              </w:rPr>
              <w:t>305</w:t>
            </w:r>
            <w:r w:rsidRPr="00DE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Studies: 2; Subjects: 383</w:t>
            </w:r>
          </w:p>
        </w:tc>
        <w:tc>
          <w:tcPr>
            <w:tcW w:w="3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471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Consistent</w:t>
            </w:r>
          </w:p>
        </w:tc>
        <w:tc>
          <w:tcPr>
            <w:tcW w:w="470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Imprecise</w:t>
            </w:r>
          </w:p>
        </w:tc>
        <w:tc>
          <w:tcPr>
            <w:tcW w:w="50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54" w:type="pct"/>
            <w:shd w:val="clear" w:color="000000" w:fill="FFFFFF"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</w:tbl>
    <w:p w:rsidR="00D17166" w:rsidRPr="003A7163" w:rsidRDefault="00D17166" w:rsidP="0053565F">
      <w:pPr>
        <w:spacing w:before="120"/>
        <w:outlineLvl w:val="0"/>
        <w:rPr>
          <w:rFonts w:ascii="Times New Roman" w:eastAsia="Calibri" w:hAnsi="Times New Roman"/>
          <w:szCs w:val="24"/>
        </w:rPr>
      </w:pPr>
    </w:p>
    <w:sectPr w:rsidR="00D17166" w:rsidRPr="003A7163" w:rsidSect="008659BE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7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37" w:rsidRDefault="00056D37">
      <w:r>
        <w:separator/>
      </w:r>
    </w:p>
  </w:endnote>
  <w:endnote w:type="continuationSeparator" w:id="0">
    <w:p w:rsidR="00056D37" w:rsidRDefault="0005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79" w:rsidRPr="0089103A" w:rsidRDefault="00BB0D79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Pr="0089103A">
      <w:rPr>
        <w:rFonts w:ascii="Times New Roman" w:hAnsi="Times New Roman"/>
        <w:szCs w:val="24"/>
      </w:rPr>
      <w:fldChar w:fldCharType="separate"/>
    </w:r>
    <w:r w:rsidR="001277F3">
      <w:rPr>
        <w:rFonts w:ascii="Times New Roman" w:hAnsi="Times New Roman"/>
        <w:noProof/>
        <w:szCs w:val="24"/>
      </w:rPr>
      <w:t>76</w:t>
    </w:r>
    <w:r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79" w:rsidRPr="00447B7F" w:rsidRDefault="00BB0D79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Pr="00447B7F">
      <w:rPr>
        <w:rFonts w:ascii="Times New Roman" w:hAnsi="Times New Roman"/>
        <w:szCs w:val="24"/>
      </w:rPr>
      <w:fldChar w:fldCharType="separate"/>
    </w:r>
    <w:r w:rsidR="001277F3">
      <w:rPr>
        <w:rFonts w:ascii="Times New Roman" w:hAnsi="Times New Roman"/>
        <w:noProof/>
        <w:szCs w:val="24"/>
      </w:rPr>
      <w:t>75</w:t>
    </w:r>
    <w:r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37" w:rsidRDefault="00056D37">
      <w:r>
        <w:separator/>
      </w:r>
    </w:p>
  </w:footnote>
  <w:footnote w:type="continuationSeparator" w:id="0">
    <w:p w:rsidR="00056D37" w:rsidRDefault="0005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79" w:rsidRDefault="00BB0D79" w:rsidP="008659BE">
    <w:pPr>
      <w:tabs>
        <w:tab w:val="left" w:pos="2160"/>
      </w:tabs>
      <w:rPr>
        <w:rFonts w:ascii="Arial" w:hAnsi="Arial" w:cs="Arial"/>
        <w:b/>
        <w:sz w:val="20"/>
      </w:rPr>
    </w:pPr>
  </w:p>
  <w:p w:rsidR="00BB0D79" w:rsidRPr="008659BE" w:rsidRDefault="00BB0D79" w:rsidP="008659BE">
    <w:pPr>
      <w:tabs>
        <w:tab w:val="left" w:pos="2160"/>
      </w:tabs>
      <w:rPr>
        <w:rFonts w:ascii="Arial" w:hAnsi="Arial" w:cs="Arial"/>
        <w:b/>
        <w:sz w:val="20"/>
      </w:rPr>
    </w:pPr>
    <w:r w:rsidRPr="006E515C">
      <w:rPr>
        <w:rFonts w:ascii="Arial" w:hAnsi="Arial" w:cs="Arial"/>
        <w:b/>
        <w:sz w:val="20"/>
      </w:rPr>
      <w:t>Appendix Table F13. Strength of evidence of differences in outcomes with physical therapy interventions for adults with knee OA</w:t>
    </w:r>
    <w:r>
      <w:rPr>
        <w:rFonts w:ascii="Arial" w:hAnsi="Arial" w:cs="Arial"/>
        <w:b/>
        <w:sz w:val="20"/>
      </w:rP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56D37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277F3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973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565F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659BE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0D79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32714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7F1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C80A-055A-4492-8907-55F1BA72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14184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2012-10-11T19:44:00Z</cp:lastPrinted>
  <dcterms:created xsi:type="dcterms:W3CDTF">2012-11-09T13:17:00Z</dcterms:created>
  <dcterms:modified xsi:type="dcterms:W3CDTF">2012-11-10T11:56:00Z</dcterms:modified>
</cp:coreProperties>
</file>