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A" w:rsidRPr="00DA0884" w:rsidRDefault="00333E6A" w:rsidP="00333E6A">
      <w:pPr>
        <w:pStyle w:val="Level1Heading"/>
        <w:spacing w:before="0"/>
        <w:rPr>
          <w:rFonts w:cs="Arial"/>
        </w:rPr>
      </w:pPr>
      <w:r w:rsidRPr="00DA0884">
        <w:rPr>
          <w:rFonts w:cs="Arial"/>
        </w:rPr>
        <w:t xml:space="preserve">Evidence Table </w:t>
      </w:r>
      <w:r>
        <w:rPr>
          <w:rFonts w:cs="Arial"/>
        </w:rPr>
        <w:t>11</w:t>
      </w:r>
      <w:r w:rsidRPr="00DA0884">
        <w:rPr>
          <w:rFonts w:cs="Arial"/>
        </w:rPr>
        <w:t xml:space="preserve">. Sustained virologic response and clinical outcomes summary results </w:t>
      </w:r>
    </w:p>
    <w:tbl>
      <w:tblPr>
        <w:tblW w:w="5000" w:type="pct"/>
        <w:tblLayout w:type="fixed"/>
        <w:tblLook w:val="04A0"/>
      </w:tblPr>
      <w:tblGrid>
        <w:gridCol w:w="2017"/>
        <w:gridCol w:w="2321"/>
        <w:gridCol w:w="1871"/>
        <w:gridCol w:w="1897"/>
        <w:gridCol w:w="1991"/>
        <w:gridCol w:w="2160"/>
        <w:gridCol w:w="2359"/>
      </w:tblGrid>
      <w:tr w:rsidR="00333E6A" w:rsidRPr="00DA0884" w:rsidTr="00947CE5">
        <w:trPr>
          <w:cantSplit/>
          <w:tblHeader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Author, Year</w:t>
            </w:r>
            <w:r w:rsidRPr="00DA0884">
              <w:rPr>
                <w:b/>
              </w:rPr>
              <w:br/>
              <w:t>Country</w:t>
            </w:r>
            <w:r w:rsidRPr="00DA0884">
              <w:rPr>
                <w:b/>
              </w:rPr>
              <w:br/>
              <w:t>Quality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Study Type</w:t>
            </w:r>
            <w:r w:rsidRPr="00DA0884">
              <w:rPr>
                <w:b/>
              </w:rPr>
              <w:br/>
              <w:t>Number Analyzed</w:t>
            </w:r>
            <w:r w:rsidRPr="00DA0884">
              <w:rPr>
                <w:b/>
              </w:rPr>
              <w:br/>
              <w:t>Duration of Followup</w:t>
            </w:r>
            <w:r w:rsidRPr="00DA0884">
              <w:rPr>
                <w:b/>
              </w:rPr>
              <w:br/>
              <w:t>Proportion with Cirrhosis: SVR vs. no SVR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Hepatocellular Carcinoma: Adjusted Hazards Ratio (95% CI)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Liver-Related Mortality: Adjusted Hazard Ratio (95% CI)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All-Cause Mortality: Adjusted Hazard Ratio (95% CI)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Other Clinical Outcomes: Adjusted Hazard Ratio (95% CI)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pStyle w:val="TableText"/>
              <w:rPr>
                <w:b/>
              </w:rPr>
            </w:pPr>
            <w:r w:rsidRPr="00DA0884">
              <w:rPr>
                <w:b/>
              </w:rPr>
              <w:t>Results Adjusted for at Least Age, Sex, Viral Load, Genotype, and Fibrosis Stage, or no Association Found in Univariate Analyses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33E6A" w:rsidRPr="00DA0884" w:rsidRDefault="00333E6A" w:rsidP="00947CE5">
            <w:pPr>
              <w:pStyle w:val="TableText"/>
              <w:rPr>
                <w:b/>
                <w:i/>
              </w:rPr>
            </w:pPr>
            <w:r w:rsidRPr="00DA0884">
              <w:rPr>
                <w:b/>
                <w:i/>
              </w:rPr>
              <w:t>Studies of general populations of treated patients with HCV infection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Arase, </w:t>
            </w:r>
            <w:r w:rsidRPr="00DA0884">
              <w:rPr>
                <w:rFonts w:eastAsia="Times New Roman"/>
              </w:rPr>
              <w:t>2007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63</w:t>
            </w:r>
            <w:r w:rsidRPr="00DA0884">
              <w:br/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n=500</w:t>
            </w:r>
            <w:r w:rsidRPr="00DA0884">
              <w:br/>
              <w:t>Mean 7.4 years</w:t>
            </w:r>
            <w:r w:rsidRPr="00DA0884">
              <w:br/>
              <w:t>Cirrhosis: 9% vs. 16%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0.19 (0.08-0.45)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0.13 (0.03-0.59)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0.39 (0.16-0.93)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Backus, </w:t>
            </w:r>
            <w:r w:rsidRPr="00DA0884">
              <w:rPr>
                <w:rFonts w:eastAsia="Times New Roman"/>
              </w:rPr>
              <w:t>2011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64</w:t>
            </w:r>
            <w:r w:rsidRPr="00DA0884">
              <w:t>#</w:t>
            </w:r>
            <w:r w:rsidRPr="00DA0884">
              <w:br/>
              <w:t>USA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n=16,864</w:t>
            </w:r>
            <w:r w:rsidRPr="00DA0884">
              <w:br/>
              <w:t>Median 3.8 years</w:t>
            </w:r>
            <w:r w:rsidRPr="00DA0884">
              <w:br/>
              <w:t>Cirrhosis: 9-12% vs. 12-20%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SVR vs. no SVR (genotypes 1, 2, and 3, respectively): 0.71 (0.60-0.86), 0.62 (0.44-0.87), and 0.51 (0.35-0.75)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Coverdale, 2004</w:t>
            </w:r>
            <w:r w:rsidRPr="00906BB7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  <w:r w:rsidRPr="00DA0884">
              <w:t>*</w:t>
            </w:r>
            <w:r w:rsidRPr="00DA0884">
              <w:br/>
              <w:t>Australia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Prospective cohort (some patients originally enrolled in randomized trials)</w:t>
            </w:r>
            <w:r w:rsidRPr="00DA0884">
              <w:br/>
              <w:t>n=343</w:t>
            </w:r>
            <w:r w:rsidRPr="00DA0884">
              <w:br/>
              <w:t>Median 9 years</w:t>
            </w:r>
            <w:r w:rsidRPr="00DA0884">
              <w:br/>
              <w:t>Cirrhosis: Not reported, median fibrosis score F2 (Scheuer)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response-relapse vs. nonresponse</w:t>
            </w:r>
            <w:r w:rsidRPr="00DA0884">
              <w:br/>
              <w:t>Adjusted HR not reported (p&gt;0.05)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response-relapse vs. nonresponse</w:t>
            </w:r>
            <w:r w:rsidRPr="00DA0884">
              <w:br/>
              <w:t>Liver transplant or liver-related death: Adjusted HR not reported (p=0.20)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response-relapse vs. nonresponse</w:t>
            </w:r>
            <w:r w:rsidRPr="00DA0884">
              <w:br/>
              <w:t>Liver-related complications:** Adjusted HR not reported (p=0.06)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Unclear</w:t>
            </w:r>
          </w:p>
        </w:tc>
      </w:tr>
      <w:tr w:rsidR="00333E6A" w:rsidRPr="00DA0884" w:rsidTr="00947CE5">
        <w:trPr>
          <w:cantSplit/>
          <w:trHeight w:val="120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</w:rPr>
              <w:t>Imazeki, 2003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72</w:t>
            </w:r>
            <w:r w:rsidRPr="00DA0884">
              <w:br/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n=459</w:t>
            </w:r>
            <w:r w:rsidRPr="00DA0884">
              <w:br/>
              <w:t>Mean 8.2 years</w:t>
            </w:r>
            <w:r w:rsidRPr="00DA0884">
              <w:br/>
              <w:t>Cirrhosis: 13% overall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0.11 (0.01-0.96)</w:t>
            </w:r>
            <w:r>
              <w:t>##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0.12 (0.01-1.3)</w:t>
            </w:r>
            <w:r>
              <w:t>##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Innes, 2011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73</w:t>
            </w:r>
          </w:p>
          <w:p w:rsidR="00333E6A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UK</w:t>
            </w:r>
          </w:p>
          <w:p w:rsidR="00333E6A" w:rsidRDefault="00333E6A" w:rsidP="00947CE5">
            <w:pPr>
              <w:pStyle w:val="TableText"/>
              <w:rPr>
                <w:rFonts w:eastAsia="Times New Roman"/>
              </w:rPr>
            </w:pPr>
          </w:p>
          <w:p w:rsidR="00333E6A" w:rsidRPr="00DA0884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Default="00333E6A" w:rsidP="00947CE5">
            <w:pPr>
              <w:pStyle w:val="TableText"/>
            </w:pPr>
            <w:r>
              <w:t>Retrospective cohort</w:t>
            </w:r>
          </w:p>
          <w:p w:rsidR="00333E6A" w:rsidRDefault="00333E6A" w:rsidP="00947CE5">
            <w:pPr>
              <w:pStyle w:val="TableText"/>
            </w:pPr>
            <w:r>
              <w:t>n=1215</w:t>
            </w:r>
          </w:p>
          <w:p w:rsidR="00333E6A" w:rsidRDefault="00333E6A" w:rsidP="00947CE5">
            <w:pPr>
              <w:pStyle w:val="TableText"/>
            </w:pPr>
            <w:r>
              <w:t>Mean 5.3 years</w:t>
            </w:r>
          </w:p>
          <w:p w:rsidR="00333E6A" w:rsidRPr="00DA0884" w:rsidRDefault="00333E6A" w:rsidP="00947CE5">
            <w:pPr>
              <w:pStyle w:val="TableText"/>
            </w:pPr>
            <w:r>
              <w:t>Cirrhosis: 10% vs. 18%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SVR vs. no SVR: 0.22 (0.09-0.58)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Default="00333E6A" w:rsidP="00947CE5">
            <w:pPr>
              <w:pStyle w:val="TableText"/>
            </w:pPr>
            <w:r>
              <w:t>SVR vs. no SVR</w:t>
            </w:r>
          </w:p>
          <w:p w:rsidR="00333E6A" w:rsidRDefault="00333E6A" w:rsidP="00947CE5">
            <w:pPr>
              <w:pStyle w:val="TableText"/>
            </w:pPr>
            <w:r>
              <w:t>Liver-related hospital episode: 0.22 (0.15-0.34)</w:t>
            </w:r>
          </w:p>
          <w:p w:rsidR="00333E6A" w:rsidRPr="00DA0884" w:rsidRDefault="00333E6A" w:rsidP="00947CE5">
            <w:pPr>
              <w:pStyle w:val="TableText"/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  <w:rPr>
                <w:rFonts w:eastAsia="Times New Roman"/>
              </w:rPr>
            </w:pPr>
            <w:r w:rsidRPr="00DA0884">
              <w:rPr>
                <w:rFonts w:eastAsia="Times New Roman"/>
              </w:rPr>
              <w:lastRenderedPageBreak/>
              <w:t>Izumi, 2005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74</w:t>
            </w:r>
          </w:p>
          <w:p w:rsidR="00333E6A" w:rsidRPr="00DA0884" w:rsidRDefault="00333E6A" w:rsidP="00947CE5">
            <w:pPr>
              <w:pStyle w:val="TableText"/>
            </w:pPr>
            <w:r w:rsidRPr="00DA0884"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Cohort study, appears retrospective</w:t>
            </w:r>
            <w:r w:rsidRPr="00DA0884">
              <w:br/>
              <w:t>n=495</w:t>
            </w:r>
            <w:r w:rsidRPr="00DA0884">
              <w:br/>
              <w:t>Duration of followup: Not reported</w:t>
            </w:r>
            <w:r w:rsidRPr="00DA0884">
              <w:br/>
              <w:t>Cirrhosis: 5.1% overall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0.36 (0.04-0.83)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Unclear</w:t>
            </w:r>
          </w:p>
        </w:tc>
      </w:tr>
      <w:tr w:rsidR="00333E6A" w:rsidRPr="00DA0884" w:rsidTr="00947CE5">
        <w:trPr>
          <w:cantSplit/>
          <w:trHeight w:val="638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</w:rPr>
              <w:t>Kasahara, 2004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75</w:t>
            </w:r>
            <w:r w:rsidRPr="00DA0884">
              <w:br/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n=2698</w:t>
            </w:r>
            <w:r w:rsidRPr="00DA0884">
              <w:br/>
              <w:t>Mean 6 years</w:t>
            </w:r>
            <w:r w:rsidRPr="00DA0884">
              <w:br/>
              <w:t>Cirrhosis: 3.0% vs. 5.4%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0.04 (0.005-0.30)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0.14 (0.06-0.35)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Maruoka, 2012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76</w:t>
            </w:r>
          </w:p>
          <w:p w:rsidR="00333E6A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Japan</w:t>
            </w:r>
          </w:p>
          <w:p w:rsidR="00333E6A" w:rsidRDefault="00333E6A" w:rsidP="00947CE5">
            <w:pPr>
              <w:pStyle w:val="TableText"/>
              <w:rPr>
                <w:rFonts w:eastAsia="Times New Roman"/>
              </w:rPr>
            </w:pPr>
          </w:p>
          <w:p w:rsidR="00333E6A" w:rsidRPr="00DA0884" w:rsidRDefault="00333E6A" w:rsidP="00947CE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Default="00333E6A" w:rsidP="00947CE5">
            <w:pPr>
              <w:pStyle w:val="TableText"/>
            </w:pPr>
            <w:r>
              <w:t>Retrospective cohort</w:t>
            </w:r>
          </w:p>
          <w:p w:rsidR="00333E6A" w:rsidRDefault="00333E6A" w:rsidP="00947CE5">
            <w:pPr>
              <w:pStyle w:val="TableText"/>
            </w:pPr>
            <w:r>
              <w:t>n=577</w:t>
            </w:r>
          </w:p>
          <w:p w:rsidR="00333E6A" w:rsidRDefault="00333E6A" w:rsidP="00947CE5">
            <w:pPr>
              <w:pStyle w:val="TableText"/>
            </w:pPr>
            <w:r>
              <w:t>Mean 9.9 years</w:t>
            </w:r>
          </w:p>
          <w:p w:rsidR="00333E6A" w:rsidRPr="00DA0884" w:rsidRDefault="00333E6A" w:rsidP="00947CE5">
            <w:pPr>
              <w:pStyle w:val="TableText"/>
            </w:pPr>
            <w:r>
              <w:t>Cirrhosis: 10% overall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SVR vs. no SVR: 0.12 (0.04-0.40)##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Del="00AD23DD" w:rsidRDefault="00333E6A" w:rsidP="00947CE5">
            <w:pPr>
              <w:pStyle w:val="TableText"/>
            </w:pPr>
            <w:r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Del="00AD23DD" w:rsidRDefault="00333E6A" w:rsidP="00947CE5">
            <w:pPr>
              <w:pStyle w:val="TableText"/>
            </w:pPr>
            <w:r>
              <w:t>SVR vs. no SVR: 0.20 (0.08-0.54)##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</w:rPr>
              <w:t>Yoshida, 2002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80</w:t>
            </w:r>
            <w:r w:rsidRPr="00DA0884">
              <w:rPr>
                <w:rFonts w:eastAsia="Times New Roman"/>
              </w:rPr>
              <w:br/>
            </w:r>
            <w:r w:rsidRPr="00DA0884"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n=2889</w:t>
            </w:r>
            <w:r w:rsidRPr="00DA0884">
              <w:br/>
              <w:t>Mean 5.4 years</w:t>
            </w:r>
            <w:r w:rsidRPr="00DA0884">
              <w:br/>
              <w:t>Cirrhosis: 6.5% vs. 11%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0.13 (0.02-0.66)</w:t>
            </w:r>
            <w:r>
              <w:t>##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0.32 (0.12-0.86)</w:t>
            </w:r>
            <w:r>
              <w:t>##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  <w:trHeight w:val="917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  <w:bCs/>
              </w:rPr>
              <w:t>Yu, 2006</w:t>
            </w:r>
            <w:r w:rsidRPr="00906BB7">
              <w:rPr>
                <w:rFonts w:ascii="Times New Roman" w:eastAsia="Times New Roman" w:hAnsi="Times New Roman" w:cs="Times New Roman"/>
                <w:bCs/>
                <w:noProof/>
                <w:vertAlign w:val="superscript"/>
              </w:rPr>
              <w:t>42</w:t>
            </w:r>
            <w:r w:rsidRPr="00DA0884">
              <w:br/>
              <w:t>Taiwan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n=1057</w:t>
            </w:r>
            <w:r w:rsidRPr="00DA0884">
              <w:br/>
              <w:t>Mean 5.2 years</w:t>
            </w:r>
            <w:r w:rsidRPr="00DA0884">
              <w:br/>
              <w:t>Cirrhosis: 16% overall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</w:t>
            </w:r>
            <w:r w:rsidRPr="00DA0884">
              <w:br/>
              <w:t>SVR vs. no SVR: 0.25 (0.13-0.54)</w:t>
            </w:r>
            <w:r>
              <w:t>##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0.28 (0.08-1.0)</w:t>
            </w:r>
            <w:r>
              <w:t>##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33E6A" w:rsidRPr="00DA0884" w:rsidRDefault="00333E6A" w:rsidP="00947CE5">
            <w:pPr>
              <w:pStyle w:val="TableText"/>
              <w:rPr>
                <w:b/>
                <w:i/>
              </w:rPr>
            </w:pPr>
            <w:r w:rsidRPr="00DA0884">
              <w:rPr>
                <w:b/>
                <w:i/>
              </w:rPr>
              <w:t>Studies of populations with advanced fibrosis and cirrhosis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 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</w:rPr>
              <w:t>Bruno, 2007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65</w:t>
            </w:r>
            <w:r w:rsidRPr="00DA0884">
              <w:br/>
              <w:t>Italy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 study</w:t>
            </w:r>
            <w:r w:rsidRPr="00DA0884">
              <w:br/>
              <w:t>n=883</w:t>
            </w:r>
            <w:r w:rsidRPr="00DA0884">
              <w:br/>
              <w:t>Mean 8 years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0.39 (0.17-0.88)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0.14 (0.04-0.59)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Ascites, encephalopathy, or gastrointestinal bleeding: Not calculated, 0 events/1061 person-years vs. 107 events/5703 person-years (1.88 events/100 person-years)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lastRenderedPageBreak/>
              <w:t xml:space="preserve">Cardoso, </w:t>
            </w:r>
            <w:r w:rsidRPr="00DA0884">
              <w:rPr>
                <w:rFonts w:eastAsia="Times New Roman"/>
              </w:rPr>
              <w:t>2010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66</w:t>
            </w:r>
            <w:r w:rsidRPr="00DA0884">
              <w:br/>
              <w:t>France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 study (of patients originally enrolled in clinical trials)</w:t>
            </w:r>
            <w:r w:rsidRPr="00DA0884">
              <w:br/>
              <w:t>n=307</w:t>
            </w:r>
            <w:r w:rsidRPr="00DA0884">
              <w:br/>
              <w:t>Median 3.5 years</w:t>
            </w:r>
            <w:r w:rsidRPr="00DA0884">
              <w:br/>
              <w:t>Cirrhosis: 53% vs. 61%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0.33 (0.23-0.89)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0.27 (0.08-0.95)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Ascites or variceal bleeding: 0.21 (0.05-0.92)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El Braks, </w:t>
            </w:r>
            <w:r w:rsidRPr="00DA0884">
              <w:rPr>
                <w:rFonts w:eastAsia="Times New Roman"/>
              </w:rPr>
              <w:t>2007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68</w:t>
            </w:r>
            <w:r w:rsidRPr="00DA0884">
              <w:br/>
              <w:t>France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 study</w:t>
            </w:r>
            <w:r w:rsidRPr="00DA0884">
              <w:br/>
              <w:t>n=113</w:t>
            </w:r>
            <w:r w:rsidRPr="00DA0884">
              <w:br/>
              <w:t>Mean 7.7 years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Clinical events (hepatocellular cancer, ascites, hepatic encephalopathy, or death): 0.14 (0.04-0.45)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Fernandez-Rodriguez, </w:t>
            </w:r>
            <w:r w:rsidRPr="00DA0884">
              <w:rPr>
                <w:rFonts w:eastAsia="Times New Roman"/>
              </w:rPr>
              <w:t>2010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69</w:t>
            </w:r>
            <w:r w:rsidRPr="00DA0884">
              <w:t>#</w:t>
            </w:r>
            <w:r w:rsidRPr="00DA0884">
              <w:br/>
              <w:t>Spain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 study</w:t>
            </w:r>
            <w:r w:rsidRPr="00DA0884">
              <w:br/>
              <w:t>n=509</w:t>
            </w:r>
            <w:r w:rsidRPr="00DA0884">
              <w:br/>
              <w:t>Median 35 months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Combined clinical endpoint:*** 0.38 (0.18-0.76)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Unclear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Hasegawa, </w:t>
            </w:r>
            <w:r w:rsidRPr="00DA0884">
              <w:rPr>
                <w:rFonts w:eastAsia="Times New Roman"/>
              </w:rPr>
              <w:t>2007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70</w:t>
            </w:r>
            <w:r w:rsidRPr="00DA0884">
              <w:t>^</w:t>
            </w:r>
            <w:r w:rsidRPr="00DA0884">
              <w:br/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 study</w:t>
            </w:r>
            <w:r w:rsidRPr="00DA0884">
              <w:br/>
              <w:t>n=105</w:t>
            </w:r>
            <w:r w:rsidRPr="00DA0884">
              <w:br/>
              <w:t>Median 4.6 years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0.18 (0.04-0.81)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Hung, </w:t>
            </w:r>
            <w:r w:rsidRPr="00DA0884">
              <w:rPr>
                <w:rFonts w:eastAsia="Times New Roman"/>
              </w:rPr>
              <w:t>2006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71</w:t>
            </w:r>
            <w:r w:rsidRPr="00DA0884">
              <w:br/>
              <w:t>Taiwan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Cohort study (unclear if retrospective or prospective)</w:t>
            </w:r>
            <w:r w:rsidRPr="00DA0884">
              <w:br/>
              <w:t>n=132</w:t>
            </w:r>
            <w:r w:rsidRPr="00DA0884">
              <w:br/>
              <w:t>Median 37 months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0.28 (0.09-0.92)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Yes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 xml:space="preserve">Morgan, </w:t>
            </w:r>
            <w:r w:rsidRPr="00DA0884">
              <w:rPr>
                <w:rFonts w:eastAsia="Times New Roman"/>
              </w:rPr>
              <w:t>2010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77</w:t>
            </w:r>
            <w:r w:rsidRPr="00DA0884">
              <w:t>#</w:t>
            </w:r>
            <w:r w:rsidRPr="00DA0884">
              <w:br/>
              <w:t>USA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Prospective cohort study of patient enrolled in a randomized trial</w:t>
            </w:r>
            <w:r w:rsidRPr="00DA0884">
              <w:br/>
              <w:t>n=526</w:t>
            </w:r>
            <w:r w:rsidRPr="00DA0884">
              <w:br/>
              <w:t>Median 79 to 86 months</w:t>
            </w:r>
            <w:r w:rsidRPr="00DA0884">
              <w:br/>
              <w:t>Cirrhosis: 21% vs. 43%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0.19 (0.04-0.80)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Liver-related mortality or liver transplantation: 0.12 (0.03-0.48)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All-cause mortality or liver transplantation: 0.17 (0.06-0.46)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Any liver-related outcome:^^ 0.15 (0.06-0.38)</w:t>
            </w:r>
            <w:r w:rsidRPr="00DA0884">
              <w:br/>
              <w:t>Decompensated liver disease: 0.13 (0.03-0.53)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Unclear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lastRenderedPageBreak/>
              <w:t xml:space="preserve">Shiratori, </w:t>
            </w:r>
            <w:r w:rsidRPr="00DA0884">
              <w:rPr>
                <w:rFonts w:eastAsia="Times New Roman"/>
              </w:rPr>
              <w:t>2005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78</w:t>
            </w:r>
            <w:r w:rsidRPr="00DA0884">
              <w:br/>
              <w:t>Japan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Poor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Prospective cohort study of patients enrolled in randomized trials</w:t>
            </w:r>
            <w:r w:rsidRPr="00DA0884">
              <w:br/>
              <w:t>n=271</w:t>
            </w:r>
            <w:r w:rsidRPr="00DA0884">
              <w:br/>
              <w:t>Median 6.8 years</w:t>
            </w:r>
            <w:r w:rsidRPr="00DA0884">
              <w:br/>
              <w:t>Cirrhosis: All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br/>
              <w:t>SVR vs. no SVR: 0.40 (0.18-0.89)</w:t>
            </w:r>
            <w:r>
              <w:t>##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677572" w:rsidRDefault="00333E6A" w:rsidP="00947CE5">
            <w:pPr>
              <w:pStyle w:val="TableText"/>
            </w:pPr>
            <w:r w:rsidRPr="00DA0884">
              <w:br/>
              <w:t>SVR vs. no SVR: 0.07</w:t>
            </w:r>
            <w:r>
              <w:rPr>
                <w:vertAlign w:val="superscript"/>
              </w:rPr>
              <w:t xml:space="preserve"> </w:t>
            </w:r>
            <w:r>
              <w:t>(0.01-0.56)##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  <w:tr w:rsidR="00333E6A" w:rsidRPr="00DA0884" w:rsidTr="00947CE5">
        <w:trPr>
          <w:cantSplit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rPr>
                <w:rFonts w:eastAsia="Times New Roman"/>
              </w:rPr>
              <w:t>Veldt, 2007</w:t>
            </w:r>
            <w:r w:rsidRPr="00906BB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79</w:t>
            </w:r>
            <w:r w:rsidRPr="00DA0884">
              <w:br/>
              <w:t>Europe and Canada</w:t>
            </w:r>
          </w:p>
          <w:p w:rsidR="00333E6A" w:rsidRPr="00DA0884" w:rsidRDefault="00333E6A" w:rsidP="00947CE5">
            <w:pPr>
              <w:pStyle w:val="TableText"/>
            </w:pPr>
          </w:p>
          <w:p w:rsidR="00333E6A" w:rsidRPr="00DA0884" w:rsidRDefault="00333E6A" w:rsidP="00947CE5">
            <w:pPr>
              <w:pStyle w:val="TableText"/>
            </w:pPr>
            <w:r w:rsidRPr="00DA0884">
              <w:t>Overall Quality: Fair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Retrospective cohort</w:t>
            </w:r>
            <w:r w:rsidRPr="00DA0884">
              <w:br/>
              <w:t>n=479</w:t>
            </w:r>
            <w:r w:rsidRPr="00DA0884">
              <w:br/>
              <w:t>Median 2.1 years</w:t>
            </w:r>
            <w:r w:rsidRPr="00DA0884">
              <w:br/>
              <w:t>Cirrhosis: 71% vs. 77%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0.46 (0.12-1.7)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0.19 (0.02-1.4)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SVR: 0.31 (0.07-1.4)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SVR vs. no SVR</w:t>
            </w:r>
            <w:r w:rsidRPr="00DA0884">
              <w:br/>
              <w:t>Any event (death, liver failure, and hepatocellular cancer): 0.20 (0.07-0.58)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E6A" w:rsidRPr="00DA0884" w:rsidRDefault="00333E6A" w:rsidP="00947CE5">
            <w:pPr>
              <w:pStyle w:val="TableText"/>
            </w:pPr>
            <w:r w:rsidRPr="00DA0884">
              <w:t>No</w:t>
            </w:r>
          </w:p>
        </w:tc>
      </w:tr>
    </w:tbl>
    <w:p w:rsidR="00333E6A" w:rsidRPr="005713EE" w:rsidRDefault="00333E6A" w:rsidP="00333E6A">
      <w:pPr>
        <w:pStyle w:val="TableNote"/>
        <w:spacing w:after="0"/>
      </w:pPr>
      <w:r w:rsidRPr="005713EE">
        <w:t>Abbreviations: HCV, hepatitis C virus; NR, not reported; SVR, sustained virologic response.</w:t>
      </w:r>
    </w:p>
    <w:p w:rsidR="00333E6A" w:rsidRPr="00677572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Note: SVR defined in all studies as undetectable HCV RNA in serum 6 months after the end of antiviral therapy, except as noted.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* SVR defined as undetectable HCV RNA on at least 2 occasions at least 2 years after completion of therapy.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^ Duration of undetectability to meet criteria for SVR not reported.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# Study primarily evaluated patients who received pegylated interferon plus ribavirin.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** Hepatic decompensation, complications of portal hypertension, hepatocellular carcinoma, liver transplantation, and liver-related mortality.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*** Hepatic decompensation, upper gastrointestinal bleeding secondary to rupture of esophageal or gastric varices, hepatocellular carcinoma, liver transplantation, and liver-related or liver-unrelated mortality.</w:t>
      </w:r>
    </w:p>
    <w:p w:rsidR="00333E6A" w:rsidRDefault="00333E6A" w:rsidP="00333E6A">
      <w:pPr>
        <w:pStyle w:val="TableNote"/>
        <w:spacing w:after="0"/>
        <w:rPr>
          <w:szCs w:val="12"/>
        </w:rPr>
      </w:pPr>
      <w:r w:rsidRPr="005713EE">
        <w:rPr>
          <w:szCs w:val="12"/>
        </w:rPr>
        <w:t>^^ Decompensated liver disease (ascites, variceal bleeding, hepatic encephalopathy, spontaneous bacterial peritonitis), hepatocellular carcinoma, liver transplantation, and liver-related mortality.</w:t>
      </w:r>
    </w:p>
    <w:p w:rsidR="00333E6A" w:rsidRPr="005713EE" w:rsidRDefault="00333E6A" w:rsidP="00333E6A">
      <w:pPr>
        <w:pStyle w:val="TableNote"/>
        <w:spacing w:after="0"/>
        <w:rPr>
          <w:szCs w:val="12"/>
        </w:rPr>
      </w:pPr>
      <w:r>
        <w:rPr>
          <w:szCs w:val="12"/>
        </w:rPr>
        <w:t>## Calculated from estimates for SVR vs. untreated and no SVR vs. untreated</w:t>
      </w:r>
    </w:p>
    <w:sectPr w:rsidR="00333E6A" w:rsidRPr="005713EE" w:rsidSect="00C1263C">
      <w:footerReference w:type="default" r:id="rId8"/>
      <w:footerReference w:type="first" r:id="rId9"/>
      <w:pgSz w:w="15840" w:h="12240" w:orient="landscape"/>
      <w:pgMar w:top="1296" w:right="720" w:bottom="1296" w:left="720" w:header="720" w:footer="720" w:gutter="0"/>
      <w:pgNumType w:start="184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6B" w:rsidRDefault="00977F6B">
      <w:r>
        <w:separator/>
      </w:r>
    </w:p>
  </w:endnote>
  <w:endnote w:type="continuationSeparator" w:id="0">
    <w:p w:rsidR="00977F6B" w:rsidRDefault="0097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Footer"/>
      <w:jc w:val="center"/>
    </w:pPr>
    <w:r w:rsidRPr="00C50DA4">
      <w:rPr>
        <w:rFonts w:ascii="Times New Roman" w:hAnsi="Times New Roman"/>
        <w:sz w:val="24"/>
        <w:szCs w:val="24"/>
      </w:rPr>
      <w:t>H</w:t>
    </w:r>
    <w:r>
      <w:rPr>
        <w:rFonts w:ascii="Times New Roman" w:hAnsi="Times New Roman"/>
        <w:sz w:val="24"/>
        <w:szCs w:val="24"/>
      </w:rPr>
      <w:t>-</w:t>
    </w:r>
    <w:r w:rsidR="00A959A2" w:rsidRPr="00C50DA4">
      <w:rPr>
        <w:rFonts w:ascii="Times New Roman" w:hAnsi="Times New Roman"/>
        <w:szCs w:val="24"/>
      </w:rPr>
      <w:fldChar w:fldCharType="begin"/>
    </w:r>
    <w:r w:rsidRPr="00C50DA4">
      <w:rPr>
        <w:rFonts w:ascii="Times New Roman" w:hAnsi="Times New Roman"/>
        <w:sz w:val="24"/>
        <w:szCs w:val="24"/>
      </w:rPr>
      <w:instrText xml:space="preserve"> PAGE   \* MERGEFORMAT </w:instrText>
    </w:r>
    <w:r w:rsidR="00A959A2" w:rsidRPr="00C50DA4">
      <w:rPr>
        <w:rFonts w:ascii="Times New Roman" w:hAnsi="Times New Roman"/>
        <w:szCs w:val="24"/>
      </w:rPr>
      <w:fldChar w:fldCharType="separate"/>
    </w:r>
    <w:r w:rsidR="00125BDB">
      <w:rPr>
        <w:rFonts w:ascii="Times New Roman" w:hAnsi="Times New Roman"/>
        <w:noProof/>
        <w:sz w:val="24"/>
        <w:szCs w:val="24"/>
      </w:rPr>
      <w:t>187</w:t>
    </w:r>
    <w:r w:rsidR="00A959A2" w:rsidRPr="00C50DA4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PageNumber"/>
    </w:pPr>
    <w:r>
      <w:t>H-</w:t>
    </w:r>
    <w:fldSimple w:instr=" PAGE   \* MERGEFORMAT ">
      <w:r w:rsidR="00C1263C">
        <w:rPr>
          <w:noProof/>
        </w:rPr>
        <w:t>184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6B" w:rsidRDefault="00977F6B">
      <w:r>
        <w:separator/>
      </w:r>
    </w:p>
  </w:footnote>
  <w:footnote w:type="continuationSeparator" w:id="0">
    <w:p w:rsidR="00977F6B" w:rsidRDefault="00977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3A0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449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5AC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B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6D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079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76D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457D3"/>
    <w:multiLevelType w:val="hybridMultilevel"/>
    <w:tmpl w:val="FF6A2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09311D"/>
    <w:multiLevelType w:val="hybridMultilevel"/>
    <w:tmpl w:val="B59A7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982722"/>
    <w:multiLevelType w:val="hybridMultilevel"/>
    <w:tmpl w:val="166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F4D42"/>
    <w:multiLevelType w:val="hybridMultilevel"/>
    <w:tmpl w:val="F4DE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6705C"/>
    <w:multiLevelType w:val="hybridMultilevel"/>
    <w:tmpl w:val="88EA0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25491"/>
    <w:multiLevelType w:val="multilevel"/>
    <w:tmpl w:val="F28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452DA3"/>
    <w:multiLevelType w:val="hybridMultilevel"/>
    <w:tmpl w:val="6EA05102"/>
    <w:lvl w:ilvl="0" w:tplc="E3943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A07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4BCE"/>
    <w:multiLevelType w:val="hybridMultilevel"/>
    <w:tmpl w:val="BFD8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1278A"/>
    <w:multiLevelType w:val="hybridMultilevel"/>
    <w:tmpl w:val="323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DE6EC2"/>
    <w:multiLevelType w:val="multilevel"/>
    <w:tmpl w:val="9C1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EC0471"/>
    <w:multiLevelType w:val="hybridMultilevel"/>
    <w:tmpl w:val="3FD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65D37"/>
    <w:multiLevelType w:val="hybridMultilevel"/>
    <w:tmpl w:val="DA8E2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D6857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C347A2"/>
    <w:multiLevelType w:val="hybridMultilevel"/>
    <w:tmpl w:val="6F1C1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6280E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77004D"/>
    <w:multiLevelType w:val="multilevel"/>
    <w:tmpl w:val="53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627C1"/>
    <w:multiLevelType w:val="hybridMultilevel"/>
    <w:tmpl w:val="9710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E1E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34C64042"/>
    <w:multiLevelType w:val="hybridMultilevel"/>
    <w:tmpl w:val="B82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4473E"/>
    <w:multiLevelType w:val="hybridMultilevel"/>
    <w:tmpl w:val="8D4E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80EEE"/>
    <w:multiLevelType w:val="hybridMultilevel"/>
    <w:tmpl w:val="CDE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D63FC"/>
    <w:multiLevelType w:val="hybridMultilevel"/>
    <w:tmpl w:val="317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392B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487B4D44"/>
    <w:multiLevelType w:val="hybridMultilevel"/>
    <w:tmpl w:val="EE782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3D5DB5"/>
    <w:multiLevelType w:val="hybridMultilevel"/>
    <w:tmpl w:val="460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A005C"/>
    <w:multiLevelType w:val="hybridMultilevel"/>
    <w:tmpl w:val="F10C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E97913"/>
    <w:multiLevelType w:val="hybridMultilevel"/>
    <w:tmpl w:val="AD365B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3138AE"/>
    <w:multiLevelType w:val="hybridMultilevel"/>
    <w:tmpl w:val="870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CC2903"/>
    <w:multiLevelType w:val="multilevel"/>
    <w:tmpl w:val="04B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AF287E"/>
    <w:multiLevelType w:val="hybridMultilevel"/>
    <w:tmpl w:val="4A3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CD7059"/>
    <w:multiLevelType w:val="hybridMultilevel"/>
    <w:tmpl w:val="1B341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49"/>
  </w:num>
  <w:num w:numId="2">
    <w:abstractNumId w:val="17"/>
  </w:num>
  <w:num w:numId="3">
    <w:abstractNumId w:val="45"/>
  </w:num>
  <w:num w:numId="4">
    <w:abstractNumId w:val="25"/>
  </w:num>
  <w:num w:numId="5">
    <w:abstractNumId w:val="44"/>
  </w:num>
  <w:num w:numId="6">
    <w:abstractNumId w:val="4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42"/>
  </w:num>
  <w:num w:numId="18">
    <w:abstractNumId w:val="20"/>
  </w:num>
  <w:num w:numId="19">
    <w:abstractNumId w:val="36"/>
  </w:num>
  <w:num w:numId="20">
    <w:abstractNumId w:val="32"/>
  </w:num>
  <w:num w:numId="21">
    <w:abstractNumId w:val="29"/>
  </w:num>
  <w:num w:numId="22">
    <w:abstractNumId w:val="16"/>
  </w:num>
  <w:num w:numId="23">
    <w:abstractNumId w:val="53"/>
  </w:num>
  <w:num w:numId="24">
    <w:abstractNumId w:val="34"/>
  </w:num>
  <w:num w:numId="25">
    <w:abstractNumId w:val="43"/>
  </w:num>
  <w:num w:numId="26">
    <w:abstractNumId w:val="40"/>
  </w:num>
  <w:num w:numId="27">
    <w:abstractNumId w:val="11"/>
  </w:num>
  <w:num w:numId="28">
    <w:abstractNumId w:val="14"/>
  </w:num>
  <w:num w:numId="29">
    <w:abstractNumId w:val="35"/>
  </w:num>
  <w:num w:numId="30">
    <w:abstractNumId w:val="45"/>
  </w:num>
  <w:num w:numId="31">
    <w:abstractNumId w:val="45"/>
  </w:num>
  <w:num w:numId="32">
    <w:abstractNumId w:val="25"/>
  </w:num>
  <w:num w:numId="33">
    <w:abstractNumId w:val="54"/>
  </w:num>
  <w:num w:numId="34">
    <w:abstractNumId w:val="21"/>
  </w:num>
  <w:num w:numId="35">
    <w:abstractNumId w:val="15"/>
  </w:num>
  <w:num w:numId="36">
    <w:abstractNumId w:val="27"/>
  </w:num>
  <w:num w:numId="37">
    <w:abstractNumId w:val="26"/>
  </w:num>
  <w:num w:numId="38">
    <w:abstractNumId w:val="31"/>
  </w:num>
  <w:num w:numId="39">
    <w:abstractNumId w:val="10"/>
  </w:num>
  <w:num w:numId="40">
    <w:abstractNumId w:val="12"/>
  </w:num>
  <w:num w:numId="41">
    <w:abstractNumId w:val="13"/>
  </w:num>
  <w:num w:numId="42">
    <w:abstractNumId w:val="19"/>
  </w:num>
  <w:num w:numId="43">
    <w:abstractNumId w:val="50"/>
  </w:num>
  <w:num w:numId="44">
    <w:abstractNumId w:val="22"/>
  </w:num>
  <w:num w:numId="45">
    <w:abstractNumId w:val="23"/>
  </w:num>
  <w:num w:numId="46">
    <w:abstractNumId w:val="46"/>
  </w:num>
  <w:num w:numId="47">
    <w:abstractNumId w:val="47"/>
  </w:num>
  <w:num w:numId="48">
    <w:abstractNumId w:val="52"/>
  </w:num>
  <w:num w:numId="49">
    <w:abstractNumId w:val="30"/>
  </w:num>
  <w:num w:numId="50">
    <w:abstractNumId w:val="33"/>
  </w:num>
  <w:num w:numId="51">
    <w:abstractNumId w:val="48"/>
  </w:num>
  <w:num w:numId="52">
    <w:abstractNumId w:val="37"/>
  </w:num>
  <w:num w:numId="53">
    <w:abstractNumId w:val="24"/>
  </w:num>
  <w:num w:numId="54">
    <w:abstractNumId w:val="28"/>
  </w:num>
  <w:num w:numId="55">
    <w:abstractNumId w:val="39"/>
  </w:num>
  <w:num w:numId="56">
    <w:abstractNumId w:val="51"/>
  </w:num>
  <w:num w:numId="57">
    <w:abstractNumId w:val="18"/>
  </w:num>
  <w:num w:numId="58">
    <w:abstractNumId w:val="3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Treatment_Updated 061312.enl&lt;/item&gt;&lt;/Libraries&gt;&lt;/ENLibraries&gt;"/>
  </w:docVars>
  <w:rsids>
    <w:rsidRoot w:val="0066656E"/>
    <w:rsid w:val="000037C9"/>
    <w:rsid w:val="00003CDD"/>
    <w:rsid w:val="00005BDF"/>
    <w:rsid w:val="00022A12"/>
    <w:rsid w:val="0003190D"/>
    <w:rsid w:val="000375EE"/>
    <w:rsid w:val="000402E6"/>
    <w:rsid w:val="000429EA"/>
    <w:rsid w:val="00047DA9"/>
    <w:rsid w:val="00053F22"/>
    <w:rsid w:val="00055BC2"/>
    <w:rsid w:val="00055C20"/>
    <w:rsid w:val="0006017D"/>
    <w:rsid w:val="000610E3"/>
    <w:rsid w:val="000620E5"/>
    <w:rsid w:val="00062AFF"/>
    <w:rsid w:val="00065C89"/>
    <w:rsid w:val="00065DA8"/>
    <w:rsid w:val="00072543"/>
    <w:rsid w:val="00073B1E"/>
    <w:rsid w:val="00073B90"/>
    <w:rsid w:val="00080D51"/>
    <w:rsid w:val="00081848"/>
    <w:rsid w:val="0008385B"/>
    <w:rsid w:val="000844D9"/>
    <w:rsid w:val="000850F6"/>
    <w:rsid w:val="00093530"/>
    <w:rsid w:val="00094101"/>
    <w:rsid w:val="0009655D"/>
    <w:rsid w:val="000A0F65"/>
    <w:rsid w:val="000A1A8F"/>
    <w:rsid w:val="000A1DF5"/>
    <w:rsid w:val="000A3654"/>
    <w:rsid w:val="000A443C"/>
    <w:rsid w:val="000C2DB1"/>
    <w:rsid w:val="000C4BAE"/>
    <w:rsid w:val="000C7610"/>
    <w:rsid w:val="000C7C59"/>
    <w:rsid w:val="000D54CA"/>
    <w:rsid w:val="000E05A6"/>
    <w:rsid w:val="000E672A"/>
    <w:rsid w:val="000F242A"/>
    <w:rsid w:val="00113E9E"/>
    <w:rsid w:val="00116ECC"/>
    <w:rsid w:val="00120920"/>
    <w:rsid w:val="00120B70"/>
    <w:rsid w:val="00121CED"/>
    <w:rsid w:val="00125BDB"/>
    <w:rsid w:val="00130082"/>
    <w:rsid w:val="00130C8A"/>
    <w:rsid w:val="00132B29"/>
    <w:rsid w:val="001355AE"/>
    <w:rsid w:val="001362B5"/>
    <w:rsid w:val="00140FCA"/>
    <w:rsid w:val="0014122C"/>
    <w:rsid w:val="00143376"/>
    <w:rsid w:val="0014400D"/>
    <w:rsid w:val="00144F90"/>
    <w:rsid w:val="00145B99"/>
    <w:rsid w:val="00152BF0"/>
    <w:rsid w:val="001566ED"/>
    <w:rsid w:val="00157789"/>
    <w:rsid w:val="00157AF2"/>
    <w:rsid w:val="00157F6A"/>
    <w:rsid w:val="00163AFF"/>
    <w:rsid w:val="0016619E"/>
    <w:rsid w:val="00167198"/>
    <w:rsid w:val="0017184C"/>
    <w:rsid w:val="0017185A"/>
    <w:rsid w:val="00172B47"/>
    <w:rsid w:val="001745C4"/>
    <w:rsid w:val="00174A78"/>
    <w:rsid w:val="0017667A"/>
    <w:rsid w:val="00183650"/>
    <w:rsid w:val="00183EB9"/>
    <w:rsid w:val="00184503"/>
    <w:rsid w:val="001864C7"/>
    <w:rsid w:val="001879AE"/>
    <w:rsid w:val="0019392B"/>
    <w:rsid w:val="00194325"/>
    <w:rsid w:val="0019736D"/>
    <w:rsid w:val="001A1D4C"/>
    <w:rsid w:val="001A620B"/>
    <w:rsid w:val="001B0BA4"/>
    <w:rsid w:val="001B355B"/>
    <w:rsid w:val="001B6021"/>
    <w:rsid w:val="001B671B"/>
    <w:rsid w:val="001C07DF"/>
    <w:rsid w:val="001C16C3"/>
    <w:rsid w:val="001C3110"/>
    <w:rsid w:val="001C4AE4"/>
    <w:rsid w:val="001C51A5"/>
    <w:rsid w:val="001C6026"/>
    <w:rsid w:val="001D4C9D"/>
    <w:rsid w:val="001D4CBE"/>
    <w:rsid w:val="001D55FC"/>
    <w:rsid w:val="001D7BD3"/>
    <w:rsid w:val="001E18D3"/>
    <w:rsid w:val="001E6ABC"/>
    <w:rsid w:val="001E6D3A"/>
    <w:rsid w:val="001F00D7"/>
    <w:rsid w:val="001F1308"/>
    <w:rsid w:val="001F384C"/>
    <w:rsid w:val="001F5D30"/>
    <w:rsid w:val="002012D7"/>
    <w:rsid w:val="00201F4B"/>
    <w:rsid w:val="00204B30"/>
    <w:rsid w:val="00205EF3"/>
    <w:rsid w:val="0021020F"/>
    <w:rsid w:val="002211C6"/>
    <w:rsid w:val="002217BC"/>
    <w:rsid w:val="002354F4"/>
    <w:rsid w:val="00237232"/>
    <w:rsid w:val="0024184D"/>
    <w:rsid w:val="002458FC"/>
    <w:rsid w:val="00247361"/>
    <w:rsid w:val="0026258E"/>
    <w:rsid w:val="00263CC8"/>
    <w:rsid w:val="00263DE2"/>
    <w:rsid w:val="00265B8E"/>
    <w:rsid w:val="002672D0"/>
    <w:rsid w:val="00271A3F"/>
    <w:rsid w:val="00273996"/>
    <w:rsid w:val="00275260"/>
    <w:rsid w:val="002777BF"/>
    <w:rsid w:val="00277E00"/>
    <w:rsid w:val="002844D3"/>
    <w:rsid w:val="0029194D"/>
    <w:rsid w:val="002930EC"/>
    <w:rsid w:val="002965E1"/>
    <w:rsid w:val="002970D0"/>
    <w:rsid w:val="002A22E6"/>
    <w:rsid w:val="002A5392"/>
    <w:rsid w:val="002A61D1"/>
    <w:rsid w:val="002A7892"/>
    <w:rsid w:val="002A7A3B"/>
    <w:rsid w:val="002B2086"/>
    <w:rsid w:val="002B274A"/>
    <w:rsid w:val="002B45C9"/>
    <w:rsid w:val="002B5AA5"/>
    <w:rsid w:val="002B7B90"/>
    <w:rsid w:val="002C2924"/>
    <w:rsid w:val="002C58C9"/>
    <w:rsid w:val="002D1FD6"/>
    <w:rsid w:val="002D4C6E"/>
    <w:rsid w:val="002D61C4"/>
    <w:rsid w:val="002E4D7A"/>
    <w:rsid w:val="002F182D"/>
    <w:rsid w:val="002F506D"/>
    <w:rsid w:val="00314727"/>
    <w:rsid w:val="00321E5A"/>
    <w:rsid w:val="0032308D"/>
    <w:rsid w:val="003271B5"/>
    <w:rsid w:val="0033074E"/>
    <w:rsid w:val="003319F4"/>
    <w:rsid w:val="00333E6A"/>
    <w:rsid w:val="003436C9"/>
    <w:rsid w:val="00345E7F"/>
    <w:rsid w:val="00346479"/>
    <w:rsid w:val="00350013"/>
    <w:rsid w:val="0036274C"/>
    <w:rsid w:val="0036306C"/>
    <w:rsid w:val="00366EDD"/>
    <w:rsid w:val="00370668"/>
    <w:rsid w:val="003721BC"/>
    <w:rsid w:val="003724D2"/>
    <w:rsid w:val="00382AF9"/>
    <w:rsid w:val="00396601"/>
    <w:rsid w:val="0039686B"/>
    <w:rsid w:val="003A4BF4"/>
    <w:rsid w:val="003C07E4"/>
    <w:rsid w:val="003D0DA4"/>
    <w:rsid w:val="003D5EAE"/>
    <w:rsid w:val="003D74A9"/>
    <w:rsid w:val="003F21BA"/>
    <w:rsid w:val="003F22F2"/>
    <w:rsid w:val="003F2386"/>
    <w:rsid w:val="003F2FB2"/>
    <w:rsid w:val="003F4B8F"/>
    <w:rsid w:val="003F6A11"/>
    <w:rsid w:val="0040175E"/>
    <w:rsid w:val="0040239E"/>
    <w:rsid w:val="004041A8"/>
    <w:rsid w:val="004051EF"/>
    <w:rsid w:val="004057E8"/>
    <w:rsid w:val="00407ECC"/>
    <w:rsid w:val="004109C7"/>
    <w:rsid w:val="0041471D"/>
    <w:rsid w:val="00424AAA"/>
    <w:rsid w:val="00427FD1"/>
    <w:rsid w:val="00434417"/>
    <w:rsid w:val="00436FB2"/>
    <w:rsid w:val="00443C7F"/>
    <w:rsid w:val="00444280"/>
    <w:rsid w:val="00450234"/>
    <w:rsid w:val="004534D4"/>
    <w:rsid w:val="0045368A"/>
    <w:rsid w:val="004626DA"/>
    <w:rsid w:val="00474D63"/>
    <w:rsid w:val="004763E8"/>
    <w:rsid w:val="00483CF1"/>
    <w:rsid w:val="00492416"/>
    <w:rsid w:val="00497455"/>
    <w:rsid w:val="004A01B9"/>
    <w:rsid w:val="004A0C54"/>
    <w:rsid w:val="004A7EC3"/>
    <w:rsid w:val="004B1D78"/>
    <w:rsid w:val="004B35D8"/>
    <w:rsid w:val="004B36DF"/>
    <w:rsid w:val="004B5A03"/>
    <w:rsid w:val="004B78FA"/>
    <w:rsid w:val="004C1817"/>
    <w:rsid w:val="004C2000"/>
    <w:rsid w:val="004C3233"/>
    <w:rsid w:val="004C587E"/>
    <w:rsid w:val="004C6A9D"/>
    <w:rsid w:val="004C7A3C"/>
    <w:rsid w:val="004D50AB"/>
    <w:rsid w:val="004E3C7A"/>
    <w:rsid w:val="004F353A"/>
    <w:rsid w:val="00504E22"/>
    <w:rsid w:val="00512657"/>
    <w:rsid w:val="00512E9C"/>
    <w:rsid w:val="00515AAD"/>
    <w:rsid w:val="0052244F"/>
    <w:rsid w:val="00523F6A"/>
    <w:rsid w:val="00524C81"/>
    <w:rsid w:val="00525A1A"/>
    <w:rsid w:val="005313DA"/>
    <w:rsid w:val="0054535E"/>
    <w:rsid w:val="00562ACA"/>
    <w:rsid w:val="00564740"/>
    <w:rsid w:val="005660D9"/>
    <w:rsid w:val="00566E8F"/>
    <w:rsid w:val="005709C8"/>
    <w:rsid w:val="00571D14"/>
    <w:rsid w:val="00572527"/>
    <w:rsid w:val="005730EF"/>
    <w:rsid w:val="005740D1"/>
    <w:rsid w:val="00586C75"/>
    <w:rsid w:val="005874B9"/>
    <w:rsid w:val="005957E5"/>
    <w:rsid w:val="005A1F64"/>
    <w:rsid w:val="005A4688"/>
    <w:rsid w:val="005A540D"/>
    <w:rsid w:val="005B02DB"/>
    <w:rsid w:val="005B3F29"/>
    <w:rsid w:val="005B5BDE"/>
    <w:rsid w:val="005C28E0"/>
    <w:rsid w:val="005D5E56"/>
    <w:rsid w:val="005E6717"/>
    <w:rsid w:val="005E7B15"/>
    <w:rsid w:val="005F119B"/>
    <w:rsid w:val="005F5FB4"/>
    <w:rsid w:val="005F6688"/>
    <w:rsid w:val="005F6CD4"/>
    <w:rsid w:val="005F7DCB"/>
    <w:rsid w:val="00601F7C"/>
    <w:rsid w:val="00604DC9"/>
    <w:rsid w:val="0060665F"/>
    <w:rsid w:val="00617D11"/>
    <w:rsid w:val="0062024D"/>
    <w:rsid w:val="00621A5F"/>
    <w:rsid w:val="00622558"/>
    <w:rsid w:val="006254C8"/>
    <w:rsid w:val="006317DB"/>
    <w:rsid w:val="006330E8"/>
    <w:rsid w:val="00633BEB"/>
    <w:rsid w:val="00642687"/>
    <w:rsid w:val="00643207"/>
    <w:rsid w:val="00644D64"/>
    <w:rsid w:val="006500EF"/>
    <w:rsid w:val="00650777"/>
    <w:rsid w:val="006519E7"/>
    <w:rsid w:val="006554F6"/>
    <w:rsid w:val="006601B6"/>
    <w:rsid w:val="00661BF1"/>
    <w:rsid w:val="0066506A"/>
    <w:rsid w:val="0066656E"/>
    <w:rsid w:val="00672C95"/>
    <w:rsid w:val="00672DFE"/>
    <w:rsid w:val="0067675A"/>
    <w:rsid w:val="00680F00"/>
    <w:rsid w:val="00681A21"/>
    <w:rsid w:val="006865C6"/>
    <w:rsid w:val="006901D3"/>
    <w:rsid w:val="00693E74"/>
    <w:rsid w:val="006A010C"/>
    <w:rsid w:val="006A0239"/>
    <w:rsid w:val="006A05F1"/>
    <w:rsid w:val="006A7CEE"/>
    <w:rsid w:val="006B0928"/>
    <w:rsid w:val="006B1534"/>
    <w:rsid w:val="006B63BE"/>
    <w:rsid w:val="006C0EFE"/>
    <w:rsid w:val="006C260C"/>
    <w:rsid w:val="006C2A1D"/>
    <w:rsid w:val="006C5281"/>
    <w:rsid w:val="006C5886"/>
    <w:rsid w:val="006C64EF"/>
    <w:rsid w:val="006D2081"/>
    <w:rsid w:val="006D3E3F"/>
    <w:rsid w:val="00702002"/>
    <w:rsid w:val="0070382A"/>
    <w:rsid w:val="00703C87"/>
    <w:rsid w:val="00730003"/>
    <w:rsid w:val="00731DB1"/>
    <w:rsid w:val="00736817"/>
    <w:rsid w:val="00737ED9"/>
    <w:rsid w:val="00744AFD"/>
    <w:rsid w:val="00746D4D"/>
    <w:rsid w:val="007507DD"/>
    <w:rsid w:val="00750972"/>
    <w:rsid w:val="00752752"/>
    <w:rsid w:val="007600A0"/>
    <w:rsid w:val="007668C0"/>
    <w:rsid w:val="007707F6"/>
    <w:rsid w:val="00770808"/>
    <w:rsid w:val="00770E4E"/>
    <w:rsid w:val="00774DEA"/>
    <w:rsid w:val="007755F9"/>
    <w:rsid w:val="00783CAB"/>
    <w:rsid w:val="007A34F3"/>
    <w:rsid w:val="007A3567"/>
    <w:rsid w:val="007A616B"/>
    <w:rsid w:val="007B0769"/>
    <w:rsid w:val="007B1CCA"/>
    <w:rsid w:val="007B2731"/>
    <w:rsid w:val="007B2E85"/>
    <w:rsid w:val="007B4F69"/>
    <w:rsid w:val="007C1050"/>
    <w:rsid w:val="007C24F5"/>
    <w:rsid w:val="007C3426"/>
    <w:rsid w:val="007C40C5"/>
    <w:rsid w:val="007C4399"/>
    <w:rsid w:val="007C538F"/>
    <w:rsid w:val="007C6AEC"/>
    <w:rsid w:val="007D1783"/>
    <w:rsid w:val="007E31F3"/>
    <w:rsid w:val="007E64A0"/>
    <w:rsid w:val="007F2B3B"/>
    <w:rsid w:val="007F3AEB"/>
    <w:rsid w:val="0080457C"/>
    <w:rsid w:val="00805804"/>
    <w:rsid w:val="0080685A"/>
    <w:rsid w:val="008163C8"/>
    <w:rsid w:val="00817DF1"/>
    <w:rsid w:val="0082056E"/>
    <w:rsid w:val="00822C81"/>
    <w:rsid w:val="0082352D"/>
    <w:rsid w:val="00832E69"/>
    <w:rsid w:val="0084128E"/>
    <w:rsid w:val="00843CB6"/>
    <w:rsid w:val="00845CA1"/>
    <w:rsid w:val="00850A59"/>
    <w:rsid w:val="00856308"/>
    <w:rsid w:val="00870F04"/>
    <w:rsid w:val="00871DA4"/>
    <w:rsid w:val="00872290"/>
    <w:rsid w:val="0087420D"/>
    <w:rsid w:val="008769DE"/>
    <w:rsid w:val="008778C7"/>
    <w:rsid w:val="0089012D"/>
    <w:rsid w:val="008938AA"/>
    <w:rsid w:val="00895F5A"/>
    <w:rsid w:val="008A07F1"/>
    <w:rsid w:val="008A2350"/>
    <w:rsid w:val="008A3447"/>
    <w:rsid w:val="008A4D6E"/>
    <w:rsid w:val="008A60E1"/>
    <w:rsid w:val="008B03B4"/>
    <w:rsid w:val="008B19C6"/>
    <w:rsid w:val="008B1BF0"/>
    <w:rsid w:val="008B3054"/>
    <w:rsid w:val="008B7EFF"/>
    <w:rsid w:val="008C0137"/>
    <w:rsid w:val="008C512A"/>
    <w:rsid w:val="008C731F"/>
    <w:rsid w:val="008D1272"/>
    <w:rsid w:val="008D3642"/>
    <w:rsid w:val="008D4076"/>
    <w:rsid w:val="008D531B"/>
    <w:rsid w:val="008D677B"/>
    <w:rsid w:val="008E0326"/>
    <w:rsid w:val="008E1516"/>
    <w:rsid w:val="008E48EB"/>
    <w:rsid w:val="008F0C3C"/>
    <w:rsid w:val="008F0E65"/>
    <w:rsid w:val="008F113A"/>
    <w:rsid w:val="008F2E49"/>
    <w:rsid w:val="008F594F"/>
    <w:rsid w:val="008F5D0C"/>
    <w:rsid w:val="00901594"/>
    <w:rsid w:val="00902AEA"/>
    <w:rsid w:val="00904FC8"/>
    <w:rsid w:val="00920187"/>
    <w:rsid w:val="00922827"/>
    <w:rsid w:val="009262E9"/>
    <w:rsid w:val="00926AB9"/>
    <w:rsid w:val="009274EB"/>
    <w:rsid w:val="00930DA3"/>
    <w:rsid w:val="00933864"/>
    <w:rsid w:val="009435B6"/>
    <w:rsid w:val="00944254"/>
    <w:rsid w:val="00947CE5"/>
    <w:rsid w:val="009657BE"/>
    <w:rsid w:val="0096635D"/>
    <w:rsid w:val="00977F6B"/>
    <w:rsid w:val="009833C3"/>
    <w:rsid w:val="00984767"/>
    <w:rsid w:val="00985389"/>
    <w:rsid w:val="009A194D"/>
    <w:rsid w:val="009A22F6"/>
    <w:rsid w:val="009A4F37"/>
    <w:rsid w:val="009A6E14"/>
    <w:rsid w:val="009A711B"/>
    <w:rsid w:val="009C035B"/>
    <w:rsid w:val="009C1200"/>
    <w:rsid w:val="009C39D5"/>
    <w:rsid w:val="009C5D3B"/>
    <w:rsid w:val="009D48C8"/>
    <w:rsid w:val="009E5CD4"/>
    <w:rsid w:val="009E6872"/>
    <w:rsid w:val="009F7F24"/>
    <w:rsid w:val="00A00928"/>
    <w:rsid w:val="00A02BF4"/>
    <w:rsid w:val="00A0474D"/>
    <w:rsid w:val="00A2092E"/>
    <w:rsid w:val="00A22C2B"/>
    <w:rsid w:val="00A230ED"/>
    <w:rsid w:val="00A23F1D"/>
    <w:rsid w:val="00A2480A"/>
    <w:rsid w:val="00A25FC7"/>
    <w:rsid w:val="00A35685"/>
    <w:rsid w:val="00A37778"/>
    <w:rsid w:val="00A433AE"/>
    <w:rsid w:val="00A57B0E"/>
    <w:rsid w:val="00A646B0"/>
    <w:rsid w:val="00A65B71"/>
    <w:rsid w:val="00A7525F"/>
    <w:rsid w:val="00A77D78"/>
    <w:rsid w:val="00A855C9"/>
    <w:rsid w:val="00A87660"/>
    <w:rsid w:val="00A959A2"/>
    <w:rsid w:val="00A961D1"/>
    <w:rsid w:val="00AA170C"/>
    <w:rsid w:val="00AA3B43"/>
    <w:rsid w:val="00AA4BA0"/>
    <w:rsid w:val="00AA66C4"/>
    <w:rsid w:val="00AB2468"/>
    <w:rsid w:val="00AC37F9"/>
    <w:rsid w:val="00AC54FC"/>
    <w:rsid w:val="00AD48F7"/>
    <w:rsid w:val="00AD6852"/>
    <w:rsid w:val="00AD6E5F"/>
    <w:rsid w:val="00AE13BF"/>
    <w:rsid w:val="00AE1F46"/>
    <w:rsid w:val="00AE2524"/>
    <w:rsid w:val="00AE30D0"/>
    <w:rsid w:val="00AE3936"/>
    <w:rsid w:val="00AE3E72"/>
    <w:rsid w:val="00AE5A5B"/>
    <w:rsid w:val="00AE6257"/>
    <w:rsid w:val="00AE76B0"/>
    <w:rsid w:val="00AF13CF"/>
    <w:rsid w:val="00B00F5F"/>
    <w:rsid w:val="00B038D0"/>
    <w:rsid w:val="00B078F5"/>
    <w:rsid w:val="00B11CDC"/>
    <w:rsid w:val="00B1317C"/>
    <w:rsid w:val="00B1406C"/>
    <w:rsid w:val="00B1503A"/>
    <w:rsid w:val="00B1576F"/>
    <w:rsid w:val="00B17797"/>
    <w:rsid w:val="00B233D1"/>
    <w:rsid w:val="00B33CE4"/>
    <w:rsid w:val="00B358D7"/>
    <w:rsid w:val="00B379AD"/>
    <w:rsid w:val="00B423F0"/>
    <w:rsid w:val="00B42690"/>
    <w:rsid w:val="00B4683D"/>
    <w:rsid w:val="00B57427"/>
    <w:rsid w:val="00B653F5"/>
    <w:rsid w:val="00B67D33"/>
    <w:rsid w:val="00B70203"/>
    <w:rsid w:val="00B70FB6"/>
    <w:rsid w:val="00B71066"/>
    <w:rsid w:val="00B71352"/>
    <w:rsid w:val="00B83455"/>
    <w:rsid w:val="00B837EC"/>
    <w:rsid w:val="00B855A6"/>
    <w:rsid w:val="00B87280"/>
    <w:rsid w:val="00B90593"/>
    <w:rsid w:val="00B91A24"/>
    <w:rsid w:val="00BA0BEA"/>
    <w:rsid w:val="00BA0F6E"/>
    <w:rsid w:val="00BA28F0"/>
    <w:rsid w:val="00BA46A6"/>
    <w:rsid w:val="00BA48E1"/>
    <w:rsid w:val="00BA6BC7"/>
    <w:rsid w:val="00BA6E66"/>
    <w:rsid w:val="00BA6EAD"/>
    <w:rsid w:val="00BB47CC"/>
    <w:rsid w:val="00BB50C9"/>
    <w:rsid w:val="00BB6BAF"/>
    <w:rsid w:val="00BB7CDF"/>
    <w:rsid w:val="00BC28D4"/>
    <w:rsid w:val="00BC64D2"/>
    <w:rsid w:val="00BD14E9"/>
    <w:rsid w:val="00BD45A9"/>
    <w:rsid w:val="00BD53C5"/>
    <w:rsid w:val="00BD56E5"/>
    <w:rsid w:val="00BD59D6"/>
    <w:rsid w:val="00BD5CDE"/>
    <w:rsid w:val="00BD75E4"/>
    <w:rsid w:val="00BD7B7B"/>
    <w:rsid w:val="00BE088B"/>
    <w:rsid w:val="00BE1AD9"/>
    <w:rsid w:val="00BE1DBD"/>
    <w:rsid w:val="00BE3F33"/>
    <w:rsid w:val="00BE55F3"/>
    <w:rsid w:val="00BE571B"/>
    <w:rsid w:val="00BE7347"/>
    <w:rsid w:val="00BE74A1"/>
    <w:rsid w:val="00BF30BC"/>
    <w:rsid w:val="00BF379C"/>
    <w:rsid w:val="00BF5F0F"/>
    <w:rsid w:val="00C04F2D"/>
    <w:rsid w:val="00C065A5"/>
    <w:rsid w:val="00C10D23"/>
    <w:rsid w:val="00C1263C"/>
    <w:rsid w:val="00C2104B"/>
    <w:rsid w:val="00C24130"/>
    <w:rsid w:val="00C24370"/>
    <w:rsid w:val="00C253BD"/>
    <w:rsid w:val="00C31178"/>
    <w:rsid w:val="00C3345F"/>
    <w:rsid w:val="00C34345"/>
    <w:rsid w:val="00C447D1"/>
    <w:rsid w:val="00C538A7"/>
    <w:rsid w:val="00C620E0"/>
    <w:rsid w:val="00C66765"/>
    <w:rsid w:val="00C67B72"/>
    <w:rsid w:val="00C67BC7"/>
    <w:rsid w:val="00C71873"/>
    <w:rsid w:val="00C814A4"/>
    <w:rsid w:val="00C82F0E"/>
    <w:rsid w:val="00C8522E"/>
    <w:rsid w:val="00C87101"/>
    <w:rsid w:val="00C875D4"/>
    <w:rsid w:val="00C911D4"/>
    <w:rsid w:val="00C9417A"/>
    <w:rsid w:val="00C95385"/>
    <w:rsid w:val="00C97C99"/>
    <w:rsid w:val="00C97F61"/>
    <w:rsid w:val="00CA6478"/>
    <w:rsid w:val="00CA79A5"/>
    <w:rsid w:val="00CB115E"/>
    <w:rsid w:val="00CB48D5"/>
    <w:rsid w:val="00CB6346"/>
    <w:rsid w:val="00CC279B"/>
    <w:rsid w:val="00CC309D"/>
    <w:rsid w:val="00CC3D09"/>
    <w:rsid w:val="00CC4743"/>
    <w:rsid w:val="00CC7BF9"/>
    <w:rsid w:val="00CD1EB4"/>
    <w:rsid w:val="00CD4325"/>
    <w:rsid w:val="00CE23E3"/>
    <w:rsid w:val="00CE42A6"/>
    <w:rsid w:val="00CF61C7"/>
    <w:rsid w:val="00D046B0"/>
    <w:rsid w:val="00D10A6F"/>
    <w:rsid w:val="00D12E11"/>
    <w:rsid w:val="00D144BF"/>
    <w:rsid w:val="00D14D6F"/>
    <w:rsid w:val="00D176E1"/>
    <w:rsid w:val="00D20345"/>
    <w:rsid w:val="00D260FC"/>
    <w:rsid w:val="00D270A6"/>
    <w:rsid w:val="00D275D9"/>
    <w:rsid w:val="00D3016D"/>
    <w:rsid w:val="00D33381"/>
    <w:rsid w:val="00D42FCA"/>
    <w:rsid w:val="00D47466"/>
    <w:rsid w:val="00D502EA"/>
    <w:rsid w:val="00D5141C"/>
    <w:rsid w:val="00D53777"/>
    <w:rsid w:val="00D55073"/>
    <w:rsid w:val="00D710F4"/>
    <w:rsid w:val="00D74A0B"/>
    <w:rsid w:val="00D7659D"/>
    <w:rsid w:val="00D81889"/>
    <w:rsid w:val="00D853F1"/>
    <w:rsid w:val="00D86A99"/>
    <w:rsid w:val="00D90B24"/>
    <w:rsid w:val="00D93203"/>
    <w:rsid w:val="00DB1C82"/>
    <w:rsid w:val="00DB51ED"/>
    <w:rsid w:val="00DC2450"/>
    <w:rsid w:val="00DC3028"/>
    <w:rsid w:val="00DC351B"/>
    <w:rsid w:val="00DC37D0"/>
    <w:rsid w:val="00DC4BF8"/>
    <w:rsid w:val="00DC5589"/>
    <w:rsid w:val="00DD0F43"/>
    <w:rsid w:val="00DD3873"/>
    <w:rsid w:val="00DD427B"/>
    <w:rsid w:val="00DE030F"/>
    <w:rsid w:val="00E006E5"/>
    <w:rsid w:val="00E043BE"/>
    <w:rsid w:val="00E0442F"/>
    <w:rsid w:val="00E05D00"/>
    <w:rsid w:val="00E07F17"/>
    <w:rsid w:val="00E1155D"/>
    <w:rsid w:val="00E13813"/>
    <w:rsid w:val="00E2436C"/>
    <w:rsid w:val="00E273BC"/>
    <w:rsid w:val="00E316FD"/>
    <w:rsid w:val="00E43943"/>
    <w:rsid w:val="00E442E3"/>
    <w:rsid w:val="00E444C5"/>
    <w:rsid w:val="00E454A7"/>
    <w:rsid w:val="00E4723D"/>
    <w:rsid w:val="00E50ACA"/>
    <w:rsid w:val="00E50E7B"/>
    <w:rsid w:val="00E525A6"/>
    <w:rsid w:val="00E52DF1"/>
    <w:rsid w:val="00E52F09"/>
    <w:rsid w:val="00E54004"/>
    <w:rsid w:val="00E63F7A"/>
    <w:rsid w:val="00E651B2"/>
    <w:rsid w:val="00E65A95"/>
    <w:rsid w:val="00E831CA"/>
    <w:rsid w:val="00E87646"/>
    <w:rsid w:val="00E9239F"/>
    <w:rsid w:val="00E95355"/>
    <w:rsid w:val="00EA5C37"/>
    <w:rsid w:val="00EB1B04"/>
    <w:rsid w:val="00EB5484"/>
    <w:rsid w:val="00EB5922"/>
    <w:rsid w:val="00EB6EC1"/>
    <w:rsid w:val="00EB7111"/>
    <w:rsid w:val="00EB7500"/>
    <w:rsid w:val="00EB7908"/>
    <w:rsid w:val="00EC282A"/>
    <w:rsid w:val="00EC601B"/>
    <w:rsid w:val="00ED2870"/>
    <w:rsid w:val="00ED2F72"/>
    <w:rsid w:val="00EE0DE6"/>
    <w:rsid w:val="00EE1B02"/>
    <w:rsid w:val="00EE2196"/>
    <w:rsid w:val="00EE78FF"/>
    <w:rsid w:val="00EF6E27"/>
    <w:rsid w:val="00EF7249"/>
    <w:rsid w:val="00EF754B"/>
    <w:rsid w:val="00F00733"/>
    <w:rsid w:val="00F0086E"/>
    <w:rsid w:val="00F01F29"/>
    <w:rsid w:val="00F03B71"/>
    <w:rsid w:val="00F03EE5"/>
    <w:rsid w:val="00F1165F"/>
    <w:rsid w:val="00F157DD"/>
    <w:rsid w:val="00F15FEC"/>
    <w:rsid w:val="00F170F6"/>
    <w:rsid w:val="00F17393"/>
    <w:rsid w:val="00F212C2"/>
    <w:rsid w:val="00F22E60"/>
    <w:rsid w:val="00F276B5"/>
    <w:rsid w:val="00F37CC3"/>
    <w:rsid w:val="00F4178C"/>
    <w:rsid w:val="00F46B31"/>
    <w:rsid w:val="00F56A6C"/>
    <w:rsid w:val="00F577A3"/>
    <w:rsid w:val="00F57BC4"/>
    <w:rsid w:val="00F64B7E"/>
    <w:rsid w:val="00F671D3"/>
    <w:rsid w:val="00F705E0"/>
    <w:rsid w:val="00F74C00"/>
    <w:rsid w:val="00F830BF"/>
    <w:rsid w:val="00F831E4"/>
    <w:rsid w:val="00F9258E"/>
    <w:rsid w:val="00F97976"/>
    <w:rsid w:val="00FA177B"/>
    <w:rsid w:val="00FA1EEA"/>
    <w:rsid w:val="00FA62D9"/>
    <w:rsid w:val="00FA789D"/>
    <w:rsid w:val="00FA7C93"/>
    <w:rsid w:val="00FC41DF"/>
    <w:rsid w:val="00FE6F1A"/>
    <w:rsid w:val="00FE7DB6"/>
    <w:rsid w:val="00FF2A7C"/>
    <w:rsid w:val="00FF45C8"/>
    <w:rsid w:val="00FF4D59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3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C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345"/>
    <w:pPr>
      <w:keepNext/>
      <w:keepLines/>
      <w:spacing w:before="20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345"/>
    <w:pPr>
      <w:keepNext/>
      <w:keepLines/>
      <w:spacing w:before="200"/>
      <w:outlineLvl w:val="3"/>
    </w:pPr>
    <w:rPr>
      <w:rFonts w:ascii="Arial" w:hAnsi="Arial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C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C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C95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C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9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345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0345"/>
    <w:rPr>
      <w:rFonts w:ascii="Arial" w:eastAsia="Times New Roman" w:hAnsi="Arial" w:cs="Times New Roman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2C9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72C9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72C9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72C9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2C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B67D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7D3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3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B67D33"/>
    <w:pPr>
      <w:numPr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B67D33"/>
    <w:pPr>
      <w:numPr>
        <w:ilvl w:val="1"/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B67D33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B67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D3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B67D33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33"/>
    <w:rPr>
      <w:b/>
      <w:bCs/>
    </w:rPr>
  </w:style>
  <w:style w:type="paragraph" w:customStyle="1" w:styleId="Contents">
    <w:name w:val="Contents"/>
    <w:qFormat/>
    <w:rsid w:val="00B67D3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67D33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D3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D33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B67D3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67D3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7D33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7D33"/>
    <w:rPr>
      <w:color w:val="0000FF"/>
      <w:u w:val="single"/>
    </w:rPr>
  </w:style>
  <w:style w:type="paragraph" w:customStyle="1" w:styleId="Investigators">
    <w:name w:val="Investigators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B67D33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B67D33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B67D33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67D33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B67D33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67D33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67D33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67D33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B67D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B67D33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7D33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B67D33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B67D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67D33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B67D33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7D33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B67D33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7D33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67D33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67D33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B67D3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67D3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B67D33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B67D33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67D3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B67D33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B67D3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B67D3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Revision">
    <w:name w:val="Revision"/>
    <w:hidden/>
    <w:uiPriority w:val="99"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333E6A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333E6A"/>
    <w:pPr>
      <w:ind w:firstLine="36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33E6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6A"/>
    <w:pPr>
      <w:ind w:left="720"/>
      <w:contextualSpacing/>
    </w:pPr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E6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E6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33E6A"/>
    <w:rPr>
      <w:vertAlign w:val="superscript"/>
    </w:rPr>
  </w:style>
  <w:style w:type="character" w:customStyle="1" w:styleId="searchhistory-search-term">
    <w:name w:val="searchhistory-search-term"/>
    <w:basedOn w:val="DefaultParagraphFont"/>
    <w:rsid w:val="00333E6A"/>
  </w:style>
  <w:style w:type="paragraph" w:styleId="DocumentMap">
    <w:name w:val="Document Map"/>
    <w:basedOn w:val="Normal"/>
    <w:link w:val="DocumentMapChar"/>
    <w:uiPriority w:val="99"/>
    <w:semiHidden/>
    <w:unhideWhenUsed/>
    <w:rsid w:val="00333E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E6A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semiHidden/>
    <w:rsid w:val="00333E6A"/>
    <w:pPr>
      <w:tabs>
        <w:tab w:val="num" w:pos="1080"/>
      </w:tabs>
      <w:ind w:left="1080" w:hanging="360"/>
    </w:pPr>
    <w:rPr>
      <w:rFonts w:ascii="Times New Roman" w:hAnsi="Times New Roman"/>
      <w:szCs w:val="24"/>
    </w:rPr>
  </w:style>
  <w:style w:type="character" w:customStyle="1" w:styleId="st1">
    <w:name w:val="st1"/>
    <w:basedOn w:val="DefaultParagraphFont"/>
    <w:rsid w:val="00333E6A"/>
  </w:style>
  <w:style w:type="paragraph" w:styleId="PlainText">
    <w:name w:val="Plain Text"/>
    <w:basedOn w:val="Normal"/>
    <w:link w:val="PlainTextChar"/>
    <w:uiPriority w:val="99"/>
    <w:semiHidden/>
    <w:unhideWhenUsed/>
    <w:rsid w:val="00333E6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E6A"/>
    <w:rPr>
      <w:rFonts w:ascii="Consolas" w:eastAsia="Calibri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3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61957-106F-42ED-AB5B-F346D37B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2012-12-14T11:12:00Z</dcterms:created>
  <dcterms:modified xsi:type="dcterms:W3CDTF">2012-12-14T14:15:00Z</dcterms:modified>
</cp:coreProperties>
</file>