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Default="006F7B64" w:rsidP="006F7B64">
      <w:pPr>
        <w:pStyle w:val="Caption"/>
        <w:rPr>
          <w:rFonts w:ascii="Arial" w:hAnsi="Arial" w:cs="Arial"/>
        </w:rPr>
      </w:pPr>
      <w:r w:rsidRPr="00C60378">
        <w:rPr>
          <w:rFonts w:ascii="Arial" w:hAnsi="Arial" w:cs="Arial"/>
        </w:rPr>
        <w:t xml:space="preserve">Table </w:t>
      </w:r>
      <w:r>
        <w:rPr>
          <w:rFonts w:ascii="Arial" w:hAnsi="Arial" w:cs="Arial"/>
          <w:noProof/>
        </w:rPr>
        <w:t>55</w:t>
      </w:r>
      <w:r w:rsidRPr="00BD75EA">
        <w:rPr>
          <w:rFonts w:ascii="Arial" w:hAnsi="Arial" w:cs="Arial"/>
        </w:rPr>
        <w:t xml:space="preserve">. Patient </w:t>
      </w:r>
      <w:r>
        <w:rPr>
          <w:rFonts w:ascii="Arial" w:hAnsi="Arial" w:cs="Arial"/>
        </w:rPr>
        <w:t>c</w:t>
      </w:r>
      <w:r w:rsidRPr="00BD75EA">
        <w:rPr>
          <w:rFonts w:ascii="Arial" w:hAnsi="Arial" w:cs="Arial"/>
        </w:rPr>
        <w:t>haracteristics–haloperidol versus ziprasidone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color w:val="000000"/>
                <w:sz w:val="18"/>
                <w:szCs w:val="18"/>
              </w:rPr>
              <w:t>Vieta et al. 2005</w:t>
            </w:r>
            <w:r w:rsidRPr="00034D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Bipolar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(n = 76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Spain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Industry (Bristol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Myers Squibb, Otsuka)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Washout period performed: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yes (1–3 days)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 wks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5D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F045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045D0">
              <w:rPr>
                <w:rFonts w:ascii="Arial" w:hAnsi="Arial" w:cs="Arial"/>
                <w:sz w:val="18"/>
                <w:szCs w:val="18"/>
              </w:rPr>
              <w:t xml:space="preserve">DSM–IV </w:t>
            </w:r>
            <w:r>
              <w:rPr>
                <w:rFonts w:ascii="Arial" w:hAnsi="Arial" w:cs="Arial"/>
                <w:sz w:val="18"/>
                <w:szCs w:val="18"/>
              </w:rPr>
              <w:t>Dx of bipolar I disorder</w:t>
            </w:r>
          </w:p>
          <w:p w:rsidR="006F7B64" w:rsidRPr="00BD74EB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5D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Main exclusion criteria: </w:t>
            </w:r>
            <w:r w:rsidRPr="00F045D0">
              <w:rPr>
                <w:rFonts w:ascii="Arial" w:hAnsi="Arial" w:cs="Arial"/>
                <w:sz w:val="18"/>
                <w:szCs w:val="18"/>
              </w:rPr>
              <w:t>Presence of rapid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045D0">
              <w:rPr>
                <w:rFonts w:ascii="Arial" w:hAnsi="Arial" w:cs="Arial"/>
                <w:sz w:val="18"/>
                <w:szCs w:val="18"/>
              </w:rPr>
              <w:t>cycling bipolar I disorder; duration of the current manic episode of more than 4 weeks; proven substance misuse; pt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045D0">
              <w:rPr>
                <w:rFonts w:ascii="Arial" w:hAnsi="Arial" w:cs="Arial"/>
                <w:sz w:val="18"/>
                <w:szCs w:val="18"/>
              </w:rPr>
              <w:t xml:space="preserve">considered </w:t>
            </w:r>
            <w:r>
              <w:rPr>
                <w:rFonts w:ascii="Arial" w:hAnsi="Arial" w:cs="Arial"/>
                <w:sz w:val="18"/>
                <w:szCs w:val="18"/>
              </w:rPr>
              <w:t>unresponsive to antipsychotics;</w:t>
            </w:r>
            <w:r w:rsidRPr="00F045D0">
              <w:rPr>
                <w:rFonts w:ascii="Arial" w:hAnsi="Arial" w:cs="Arial"/>
                <w:sz w:val="18"/>
                <w:szCs w:val="18"/>
              </w:rPr>
              <w:t xml:space="preserve"> recent </w:t>
            </w:r>
            <w:r>
              <w:rPr>
                <w:rFonts w:ascii="Arial" w:hAnsi="Arial" w:cs="Arial"/>
                <w:sz w:val="18"/>
                <w:szCs w:val="18"/>
              </w:rPr>
              <w:t>Tx</w:t>
            </w:r>
            <w:r w:rsidRPr="00F045D0">
              <w:rPr>
                <w:rFonts w:ascii="Arial" w:hAnsi="Arial" w:cs="Arial"/>
                <w:sz w:val="18"/>
                <w:szCs w:val="18"/>
              </w:rPr>
              <w:t xml:space="preserve"> with a long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045D0">
              <w:rPr>
                <w:rFonts w:ascii="Arial" w:hAnsi="Arial" w:cs="Arial"/>
                <w:sz w:val="18"/>
                <w:szCs w:val="18"/>
              </w:rPr>
              <w:t>acting antipsy</w:t>
            </w:r>
            <w:r>
              <w:rPr>
                <w:rFonts w:ascii="Arial" w:hAnsi="Arial" w:cs="Arial"/>
                <w:sz w:val="18"/>
                <w:szCs w:val="18"/>
              </w:rPr>
              <w:t>chotic, lithium or divalproate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41.00 ± 11.80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57/172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(31.9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  <w:r w:rsidRPr="00463BF1">
              <w:rPr>
                <w:rFonts w:ascii="Arial" w:hAnsi="Arial" w:cs="Arial"/>
                <w:color w:val="000000"/>
                <w:sz w:val="18"/>
                <w:szCs w:val="18"/>
              </w:rPr>
              <w:t xml:space="preserve">4.90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 1.31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YMRS (mean±SD): </w:t>
            </w:r>
            <w:r w:rsidRPr="00463BF1">
              <w:rPr>
                <w:rFonts w:ascii="Arial" w:hAnsi="Arial" w:cs="Arial"/>
                <w:color w:val="000000"/>
                <w:sz w:val="18"/>
                <w:szCs w:val="18"/>
              </w:rPr>
              <w:t xml:space="preserve">31.50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 7.87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244/336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72.6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NR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BPRS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463BF1">
              <w:rPr>
                <w:rFonts w:ascii="Arial" w:hAnsi="Arial" w:cs="Arial"/>
                <w:color w:val="000000"/>
                <w:sz w:val="18"/>
                <w:szCs w:val="18"/>
              </w:rPr>
              <w:t xml:space="preserve">5.00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 1.32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YMRS (mean±SD): </w:t>
            </w:r>
            <w:r w:rsidRPr="00463BF1">
              <w:rPr>
                <w:rFonts w:ascii="Arial" w:hAnsi="Arial" w:cs="Arial"/>
                <w:color w:val="000000"/>
                <w:sz w:val="18"/>
                <w:szCs w:val="18"/>
              </w:rPr>
              <w:t xml:space="preserve">31.10 </w:t>
            </w:r>
            <w:r w:rsidRPr="00463BF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±6.61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Haloperidol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10–15mg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Aripiprazole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15–30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6F7B64" w:rsidRDefault="006F7B64" w:rsidP="006F7B64">
      <w:r>
        <w:rPr>
          <w:rFonts w:ascii="Times New Roman" w:hAnsi="Times New Roman"/>
          <w:sz w:val="18"/>
          <w:szCs w:val="18"/>
        </w:rPr>
        <w:t>AP = antipsychotic; BID = Twice daily;</w:t>
      </w:r>
      <w:r w:rsidRPr="003C415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BL = baseline; </w:t>
      </w:r>
      <w:r w:rsidRPr="00134704">
        <w:rPr>
          <w:rFonts w:ascii="Times New Roman" w:hAnsi="Times New Roman"/>
          <w:sz w:val="18"/>
          <w:szCs w:val="18"/>
        </w:rPr>
        <w:t xml:space="preserve">BPRS = </w:t>
      </w:r>
      <w:r>
        <w:rPr>
          <w:rFonts w:ascii="Times New Roman" w:hAnsi="Times New Roman"/>
          <w:sz w:val="18"/>
          <w:szCs w:val="18"/>
        </w:rPr>
        <w:t>Brief Psychiatric Rating Scale; d = day; DSM = Diagnostic and Statistical Manual of Mental Disorders;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FGA = first-generation antipsychotic; mg = milligram; n = number; NR = not reported; 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wk = week; YMRS = Young Mania Rating Scale; yr = year</w:t>
      </w:r>
    </w:p>
    <w:sectPr w:rsidR="006F7B64" w:rsidSect="000E456A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FE" w:rsidRDefault="009B1EFE">
      <w:r>
        <w:separator/>
      </w:r>
    </w:p>
  </w:endnote>
  <w:endnote w:type="continuationSeparator" w:id="0">
    <w:p w:rsidR="009B1EFE" w:rsidRDefault="009B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9C3567">
          <w:rPr>
            <w:rFonts w:ascii="Times New Roman" w:hAnsi="Times New Roman"/>
            <w:sz w:val="24"/>
          </w:rPr>
          <w:t>142</w:t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FE" w:rsidRDefault="009B1EFE">
      <w:r>
        <w:separator/>
      </w:r>
    </w:p>
  </w:footnote>
  <w:footnote w:type="continuationSeparator" w:id="0">
    <w:p w:rsidR="009B1EFE" w:rsidRDefault="009B1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4973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53E1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380E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A13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1EFE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3567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1474-176D-43C0-963E-8649F5FD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2012-08-30T08:26:00Z</dcterms:created>
  <dcterms:modified xsi:type="dcterms:W3CDTF">2012-08-30T10:27:00Z</dcterms:modified>
</cp:coreProperties>
</file>