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69C" w:rsidRPr="00060DE0" w:rsidRDefault="0051469C" w:rsidP="0051469C">
      <w:pPr>
        <w:pStyle w:val="TableTitle"/>
      </w:pPr>
      <w:r w:rsidRPr="00060DE0">
        <w:t xml:space="preserve">Evidence Table 8. </w:t>
      </w:r>
      <w:proofErr w:type="spellStart"/>
      <w:r w:rsidRPr="00060DE0">
        <w:t>KQ</w:t>
      </w:r>
      <w:proofErr w:type="spellEnd"/>
      <w:r w:rsidRPr="00060DE0">
        <w:t xml:space="preserve"> 4 </w:t>
      </w:r>
      <w:r>
        <w:t>m</w:t>
      </w:r>
      <w:r w:rsidRPr="00060DE0">
        <w:t xml:space="preserve">edical </w:t>
      </w:r>
      <w:r>
        <w:t>o</w:t>
      </w:r>
      <w:r w:rsidRPr="00060DE0">
        <w:t>utcomes</w:t>
      </w:r>
    </w:p>
    <w:tbl>
      <w:tblPr>
        <w:tblStyle w:val="TableGrid8"/>
        <w:tblW w:w="4699" w:type="pct"/>
        <w:jc w:val="center"/>
        <w:tblBorders>
          <w:insideV w:val="single" w:sz="4" w:space="0" w:color="BFBFBF" w:themeColor="background1" w:themeShade="BF"/>
        </w:tblBorders>
        <w:tblLayout w:type="fixed"/>
        <w:tblLook w:val="04A0"/>
      </w:tblPr>
      <w:tblGrid>
        <w:gridCol w:w="1613"/>
        <w:gridCol w:w="2222"/>
        <w:gridCol w:w="2791"/>
        <w:gridCol w:w="2610"/>
        <w:gridCol w:w="4500"/>
      </w:tblGrid>
      <w:tr w:rsidR="0051469C" w:rsidRPr="00060DE0" w:rsidTr="00E15C8D">
        <w:trPr>
          <w:cantSplit/>
          <w:tblHeader/>
          <w:jc w:val="center"/>
        </w:trPr>
        <w:tc>
          <w:tcPr>
            <w:tcW w:w="587" w:type="pct"/>
          </w:tcPr>
          <w:p w:rsidR="0051469C" w:rsidRPr="00060DE0" w:rsidRDefault="0051469C" w:rsidP="00E15C8D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060DE0">
              <w:rPr>
                <w:rFonts w:cs="Arial"/>
                <w:b/>
                <w:sz w:val="18"/>
                <w:szCs w:val="18"/>
              </w:rPr>
              <w:t>Study</w:t>
            </w:r>
          </w:p>
        </w:tc>
        <w:tc>
          <w:tcPr>
            <w:tcW w:w="809" w:type="pct"/>
          </w:tcPr>
          <w:p w:rsidR="0051469C" w:rsidRPr="00060DE0" w:rsidRDefault="0051469C" w:rsidP="00E15C8D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060DE0">
              <w:rPr>
                <w:rFonts w:cs="Arial"/>
                <w:b/>
                <w:sz w:val="18"/>
                <w:szCs w:val="18"/>
              </w:rPr>
              <w:t>Comparators</w:t>
            </w:r>
          </w:p>
        </w:tc>
        <w:tc>
          <w:tcPr>
            <w:tcW w:w="1016" w:type="pct"/>
          </w:tcPr>
          <w:p w:rsidR="0051469C" w:rsidRPr="00060DE0" w:rsidRDefault="0051469C" w:rsidP="00E15C8D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060DE0">
              <w:rPr>
                <w:rFonts w:cs="Arial"/>
                <w:b/>
                <w:sz w:val="18"/>
                <w:szCs w:val="18"/>
              </w:rPr>
              <w:t>Visual Field Mean Deviation at baseline</w:t>
            </w:r>
          </w:p>
        </w:tc>
        <w:tc>
          <w:tcPr>
            <w:tcW w:w="950" w:type="pct"/>
          </w:tcPr>
          <w:p w:rsidR="0051469C" w:rsidRPr="00060DE0" w:rsidRDefault="0051469C" w:rsidP="00E15C8D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060DE0">
              <w:rPr>
                <w:rFonts w:cs="Arial"/>
                <w:b/>
                <w:sz w:val="18"/>
                <w:szCs w:val="18"/>
              </w:rPr>
              <w:t>Visual Field Mean Deviation at follow-up</w:t>
            </w:r>
          </w:p>
        </w:tc>
        <w:tc>
          <w:tcPr>
            <w:tcW w:w="1638" w:type="pct"/>
          </w:tcPr>
          <w:p w:rsidR="0051469C" w:rsidRPr="00060DE0" w:rsidRDefault="0051469C" w:rsidP="00E15C8D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060DE0">
              <w:rPr>
                <w:rFonts w:cs="Arial"/>
                <w:b/>
                <w:sz w:val="18"/>
                <w:szCs w:val="18"/>
              </w:rPr>
              <w:t>Comments</w:t>
            </w:r>
          </w:p>
        </w:tc>
      </w:tr>
      <w:tr w:rsidR="0051469C" w:rsidRPr="00060DE0" w:rsidTr="00E15C8D">
        <w:trPr>
          <w:cantSplit/>
          <w:jc w:val="center"/>
        </w:trPr>
        <w:tc>
          <w:tcPr>
            <w:tcW w:w="587" w:type="pct"/>
          </w:tcPr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>Berry</w:t>
            </w:r>
          </w:p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>1984</w:t>
            </w:r>
            <w:r w:rsidR="00607352">
              <w:rPr>
                <w:rFonts w:cs="Arial"/>
                <w:sz w:val="18"/>
                <w:szCs w:val="18"/>
              </w:rPr>
              <w:fldChar w:fldCharType="begin"/>
            </w:r>
            <w:r>
              <w:rPr>
                <w:rFonts w:cs="Arial"/>
                <w:sz w:val="18"/>
                <w:szCs w:val="18"/>
              </w:rPr>
              <w:instrText xml:space="preserve"> QUOTE "</w:instrText>
            </w:r>
            <w:r>
              <w:rPr>
                <w:rFonts w:cs="Arial"/>
                <w:sz w:val="18"/>
                <w:szCs w:val="18"/>
                <w:vertAlign w:val="superscript"/>
              </w:rPr>
              <w:instrText>24</w:instrText>
            </w:r>
            <w:r>
              <w:rPr>
                <w:rFonts w:cs="Arial"/>
                <w:sz w:val="18"/>
                <w:szCs w:val="18"/>
              </w:rPr>
              <w:instrText xml:space="preserve">" </w:instrText>
            </w:r>
            <w:r w:rsidR="00607352" w:rsidRPr="00AE2097">
              <w:rPr>
                <w:rFonts w:cs="Arial"/>
                <w:vanish/>
                <w:sz w:val="18"/>
                <w:szCs w:val="18"/>
              </w:rPr>
              <w:fldChar w:fldCharType="begin"/>
            </w:r>
            <w:r w:rsidRPr="00AE2097">
              <w:rPr>
                <w:rFonts w:cs="Arial"/>
                <w:vanish/>
                <w:sz w:val="18"/>
                <w:szCs w:val="18"/>
              </w:rPr>
              <w:instrText xml:space="preserve"> ADDIN PROCITE ÿ\11\05‘\19\02\00\00\00\0224\01\01\00\02\00\00\01\00\00\00\1BM_\00\00\00\00ÿ\11\018©Ú\01\01\00\00\008\00\00\00\00\00\00\008\00\00\00É\18\00\00;Y:\5CGlaucoma\5CDatabase\5CTreatment\5CDec 2\5CGlaucoma-Treatment.pdt%Berry, Van Buskirk, et al. 1984 #6332\00%\00 </w:instrText>
            </w:r>
            <w:r w:rsidR="00607352" w:rsidRPr="00AE2097">
              <w:rPr>
                <w:rFonts w:cs="Arial"/>
                <w:vanish/>
                <w:sz w:val="18"/>
                <w:szCs w:val="18"/>
              </w:rPr>
              <w:fldChar w:fldCharType="end"/>
            </w:r>
            <w:r w:rsidR="00607352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  <w:vertAlign w:val="superscript"/>
              </w:rPr>
              <w:t>24</w:t>
            </w:r>
            <w:r w:rsidR="00607352">
              <w:rPr>
                <w:rFonts w:cs="Arial"/>
                <w:sz w:val="18"/>
                <w:szCs w:val="18"/>
              </w:rPr>
              <w:fldChar w:fldCharType="end"/>
            </w:r>
          </w:p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09" w:type="pct"/>
          </w:tcPr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proofErr w:type="spellStart"/>
            <w:r w:rsidRPr="00060DE0">
              <w:rPr>
                <w:rFonts w:cs="Arial"/>
                <w:sz w:val="18"/>
                <w:szCs w:val="18"/>
              </w:rPr>
              <w:t>Betaxolol</w:t>
            </w:r>
            <w:proofErr w:type="spellEnd"/>
          </w:p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proofErr w:type="spellStart"/>
            <w:r w:rsidRPr="00060DE0">
              <w:rPr>
                <w:rFonts w:cs="Arial"/>
                <w:sz w:val="18"/>
                <w:szCs w:val="18"/>
              </w:rPr>
              <w:t>Timolol</w:t>
            </w:r>
            <w:proofErr w:type="spellEnd"/>
          </w:p>
        </w:tc>
        <w:tc>
          <w:tcPr>
            <w:tcW w:w="1016" w:type="pct"/>
          </w:tcPr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>Not reported</w:t>
            </w:r>
          </w:p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</w:p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50" w:type="pct"/>
          </w:tcPr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>Not reported</w:t>
            </w:r>
          </w:p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638" w:type="pct"/>
          </w:tcPr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>Small changes, consistent with</w:t>
            </w:r>
          </w:p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>glaucomatous damage, were observed</w:t>
            </w:r>
          </w:p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 xml:space="preserve">between the visual fields before treatment and at 26 weeks in three </w:t>
            </w:r>
            <w:proofErr w:type="spellStart"/>
            <w:r w:rsidRPr="00060DE0">
              <w:rPr>
                <w:rFonts w:cs="Arial"/>
                <w:sz w:val="18"/>
                <w:szCs w:val="18"/>
              </w:rPr>
              <w:t>betaxolol</w:t>
            </w:r>
            <w:proofErr w:type="spellEnd"/>
            <w:r w:rsidRPr="00060DE0">
              <w:rPr>
                <w:rFonts w:cs="Arial"/>
                <w:sz w:val="18"/>
                <w:szCs w:val="18"/>
              </w:rPr>
              <w:t xml:space="preserve">-treated and two </w:t>
            </w:r>
            <w:proofErr w:type="spellStart"/>
            <w:r w:rsidRPr="00060DE0">
              <w:rPr>
                <w:rFonts w:cs="Arial"/>
                <w:sz w:val="18"/>
                <w:szCs w:val="18"/>
              </w:rPr>
              <w:t>timolol</w:t>
            </w:r>
            <w:proofErr w:type="spellEnd"/>
            <w:r w:rsidRPr="00060DE0">
              <w:rPr>
                <w:rFonts w:cs="Arial"/>
                <w:sz w:val="18"/>
                <w:szCs w:val="18"/>
              </w:rPr>
              <w:t>-treated patients. These changes were</w:t>
            </w:r>
          </w:p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>considered to be within the expected</w:t>
            </w:r>
          </w:p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>normal range of variation.</w:t>
            </w:r>
          </w:p>
        </w:tc>
      </w:tr>
      <w:tr w:rsidR="0051469C" w:rsidRPr="00060DE0" w:rsidTr="00E15C8D">
        <w:trPr>
          <w:cantSplit/>
          <w:jc w:val="center"/>
        </w:trPr>
        <w:tc>
          <w:tcPr>
            <w:tcW w:w="587" w:type="pct"/>
          </w:tcPr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proofErr w:type="spellStart"/>
            <w:r w:rsidRPr="00060DE0">
              <w:rPr>
                <w:rFonts w:cs="Arial"/>
                <w:sz w:val="18"/>
                <w:szCs w:val="18"/>
              </w:rPr>
              <w:t>Chiselita</w:t>
            </w:r>
            <w:proofErr w:type="spellEnd"/>
          </w:p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>2005</w:t>
            </w:r>
            <w:r w:rsidR="00607352">
              <w:rPr>
                <w:rFonts w:cs="Arial"/>
                <w:sz w:val="18"/>
                <w:szCs w:val="18"/>
              </w:rPr>
              <w:fldChar w:fldCharType="begin"/>
            </w:r>
            <w:r>
              <w:rPr>
                <w:rFonts w:cs="Arial"/>
                <w:sz w:val="18"/>
                <w:szCs w:val="18"/>
              </w:rPr>
              <w:instrText xml:space="preserve"> QUOTE "</w:instrText>
            </w:r>
            <w:r>
              <w:rPr>
                <w:rFonts w:cs="Arial"/>
                <w:sz w:val="18"/>
                <w:szCs w:val="18"/>
                <w:vertAlign w:val="superscript"/>
              </w:rPr>
              <w:instrText>26</w:instrText>
            </w:r>
            <w:r>
              <w:rPr>
                <w:rFonts w:cs="Arial"/>
                <w:sz w:val="18"/>
                <w:szCs w:val="18"/>
              </w:rPr>
              <w:instrText xml:space="preserve">" </w:instrText>
            </w:r>
            <w:r w:rsidR="00607352" w:rsidRPr="00AE2097">
              <w:rPr>
                <w:rFonts w:cs="Arial"/>
                <w:vanish/>
                <w:sz w:val="18"/>
                <w:szCs w:val="18"/>
              </w:rPr>
              <w:fldChar w:fldCharType="begin"/>
            </w:r>
            <w:r w:rsidRPr="00AE2097">
              <w:rPr>
                <w:rFonts w:cs="Arial"/>
                <w:vanish/>
                <w:sz w:val="18"/>
                <w:szCs w:val="18"/>
              </w:rPr>
              <w:instrText xml:space="preserve"> ADDIN PROCITE ÿ\11\05‘\19\02\00\00\00\0226\01\01\00\02\00\00\01\00\00\00\1BM_\00\00\00\00ÀÌ\10\01p©Ú\01\01\00\00\008\00\00\00\00\00\00\008\00\00\00í\06\00\00;Y:\5CGlaucoma\5CDatabase\5CTreatment\5CDec 2\5CGlaucoma-Treatment.pdt$Chiselita, Antohi, et al. 2005 #1771\00$\00 </w:instrText>
            </w:r>
            <w:r w:rsidR="00607352" w:rsidRPr="00AE2097">
              <w:rPr>
                <w:rFonts w:cs="Arial"/>
                <w:vanish/>
                <w:sz w:val="18"/>
                <w:szCs w:val="18"/>
              </w:rPr>
              <w:fldChar w:fldCharType="end"/>
            </w:r>
            <w:r w:rsidR="00607352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  <w:vertAlign w:val="superscript"/>
              </w:rPr>
              <w:t>26</w:t>
            </w:r>
            <w:r w:rsidR="0060735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809" w:type="pct"/>
          </w:tcPr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proofErr w:type="spellStart"/>
            <w:r w:rsidRPr="00060DE0">
              <w:rPr>
                <w:rFonts w:cs="Arial"/>
                <w:sz w:val="18"/>
                <w:szCs w:val="18"/>
              </w:rPr>
              <w:t>Latanoprost</w:t>
            </w:r>
            <w:proofErr w:type="spellEnd"/>
            <w:r w:rsidRPr="00060DE0">
              <w:rPr>
                <w:rFonts w:cs="Arial"/>
                <w:sz w:val="18"/>
                <w:szCs w:val="18"/>
              </w:rPr>
              <w:t xml:space="preserve"> 0.005%</w:t>
            </w:r>
          </w:p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proofErr w:type="spellStart"/>
            <w:r w:rsidRPr="00060DE0">
              <w:rPr>
                <w:rFonts w:cs="Arial"/>
                <w:sz w:val="18"/>
                <w:szCs w:val="18"/>
              </w:rPr>
              <w:t>Travoprost</w:t>
            </w:r>
            <w:proofErr w:type="spellEnd"/>
            <w:r w:rsidRPr="00060DE0">
              <w:rPr>
                <w:rFonts w:cs="Arial"/>
                <w:sz w:val="18"/>
                <w:szCs w:val="18"/>
              </w:rPr>
              <w:t xml:space="preserve"> 0.004%</w:t>
            </w:r>
          </w:p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proofErr w:type="spellStart"/>
            <w:r w:rsidRPr="00060DE0">
              <w:rPr>
                <w:rFonts w:cs="Arial"/>
                <w:sz w:val="18"/>
                <w:szCs w:val="18"/>
              </w:rPr>
              <w:t>Dorzalamide</w:t>
            </w:r>
            <w:proofErr w:type="spellEnd"/>
            <w:r w:rsidRPr="00060DE0">
              <w:rPr>
                <w:rFonts w:cs="Arial"/>
                <w:sz w:val="18"/>
                <w:szCs w:val="18"/>
              </w:rPr>
              <w:t>/</w:t>
            </w:r>
            <w:proofErr w:type="spellStart"/>
            <w:r w:rsidRPr="00060DE0">
              <w:rPr>
                <w:rFonts w:cs="Arial"/>
                <w:sz w:val="18"/>
                <w:szCs w:val="18"/>
              </w:rPr>
              <w:t>Timolol</w:t>
            </w:r>
            <w:proofErr w:type="spellEnd"/>
          </w:p>
        </w:tc>
        <w:tc>
          <w:tcPr>
            <w:tcW w:w="1016" w:type="pct"/>
          </w:tcPr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>Entire study</w:t>
            </w:r>
          </w:p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>MD= -4.01</w:t>
            </w:r>
          </w:p>
        </w:tc>
        <w:tc>
          <w:tcPr>
            <w:tcW w:w="950" w:type="pct"/>
          </w:tcPr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>Entire study</w:t>
            </w:r>
          </w:p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>MD= -4.68 ± 4.51</w:t>
            </w:r>
          </w:p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>2-9 months</w:t>
            </w:r>
          </w:p>
        </w:tc>
        <w:tc>
          <w:tcPr>
            <w:tcW w:w="1638" w:type="pct"/>
          </w:tcPr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>No significant difference</w:t>
            </w:r>
          </w:p>
        </w:tc>
      </w:tr>
      <w:tr w:rsidR="0051469C" w:rsidRPr="00060DE0" w:rsidTr="00E15C8D">
        <w:trPr>
          <w:cantSplit/>
          <w:jc w:val="center"/>
        </w:trPr>
        <w:tc>
          <w:tcPr>
            <w:tcW w:w="587" w:type="pct"/>
          </w:tcPr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>Dirks</w:t>
            </w:r>
          </w:p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>2006</w:t>
            </w:r>
            <w:r w:rsidR="00607352">
              <w:rPr>
                <w:rFonts w:cs="Arial"/>
                <w:sz w:val="18"/>
                <w:szCs w:val="18"/>
              </w:rPr>
              <w:fldChar w:fldCharType="begin"/>
            </w:r>
            <w:r>
              <w:rPr>
                <w:rFonts w:cs="Arial"/>
                <w:sz w:val="18"/>
                <w:szCs w:val="18"/>
              </w:rPr>
              <w:instrText xml:space="preserve"> QUOTE "</w:instrText>
            </w:r>
            <w:r>
              <w:rPr>
                <w:rFonts w:cs="Arial"/>
                <w:sz w:val="18"/>
                <w:szCs w:val="18"/>
                <w:vertAlign w:val="superscript"/>
              </w:rPr>
              <w:instrText>33</w:instrText>
            </w:r>
            <w:r>
              <w:rPr>
                <w:rFonts w:cs="Arial"/>
                <w:sz w:val="18"/>
                <w:szCs w:val="18"/>
              </w:rPr>
              <w:instrText xml:space="preserve">" </w:instrText>
            </w:r>
            <w:r w:rsidR="00607352" w:rsidRPr="00AE2097">
              <w:rPr>
                <w:rFonts w:cs="Arial"/>
                <w:vanish/>
                <w:sz w:val="18"/>
                <w:szCs w:val="18"/>
              </w:rPr>
              <w:fldChar w:fldCharType="begin"/>
            </w:r>
            <w:r w:rsidRPr="00AE2097">
              <w:rPr>
                <w:rFonts w:cs="Arial"/>
                <w:vanish/>
                <w:sz w:val="18"/>
                <w:szCs w:val="18"/>
              </w:rPr>
              <w:instrText xml:space="preserve"> ADDIN PROCITE ÿ\11\05‘\19\02\00\00\00\0233\01\01\00\02\00\00\01\00\00\00\1BM_\00\00\00\008\01è§Ú\01\01\00\00\008\00\00\00\00\00\00\008\00\00\00\01\06\00\00;Y:\5CGlaucoma\5CDatabase\5CTreatment\5CDec 2\5CGlaucoma-Treatment.pdt!Dirks, Noecker, et al. 2006 #1535\00!\00 </w:instrText>
            </w:r>
            <w:r w:rsidR="00607352" w:rsidRPr="00AE2097">
              <w:rPr>
                <w:rFonts w:cs="Arial"/>
                <w:vanish/>
                <w:sz w:val="18"/>
                <w:szCs w:val="18"/>
              </w:rPr>
              <w:fldChar w:fldCharType="end"/>
            </w:r>
            <w:r w:rsidR="00607352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  <w:vertAlign w:val="superscript"/>
              </w:rPr>
              <w:t>33</w:t>
            </w:r>
            <w:r w:rsidR="0060735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809" w:type="pct"/>
          </w:tcPr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proofErr w:type="spellStart"/>
            <w:r w:rsidRPr="00060DE0">
              <w:rPr>
                <w:rFonts w:cs="Arial"/>
                <w:sz w:val="18"/>
                <w:szCs w:val="18"/>
              </w:rPr>
              <w:t>Bimatoprost</w:t>
            </w:r>
            <w:proofErr w:type="spellEnd"/>
            <w:r w:rsidRPr="00060DE0">
              <w:rPr>
                <w:rFonts w:cs="Arial"/>
                <w:sz w:val="18"/>
                <w:szCs w:val="18"/>
              </w:rPr>
              <w:t xml:space="preserve"> 0.03%</w:t>
            </w:r>
          </w:p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proofErr w:type="spellStart"/>
            <w:r w:rsidRPr="00060DE0">
              <w:rPr>
                <w:rFonts w:cs="Arial"/>
                <w:sz w:val="18"/>
                <w:szCs w:val="18"/>
              </w:rPr>
              <w:t>Latanoprost</w:t>
            </w:r>
            <w:proofErr w:type="spellEnd"/>
            <w:r w:rsidRPr="00060DE0">
              <w:rPr>
                <w:rFonts w:cs="Arial"/>
                <w:sz w:val="18"/>
                <w:szCs w:val="18"/>
              </w:rPr>
              <w:t xml:space="preserve"> 0.005%</w:t>
            </w:r>
          </w:p>
        </w:tc>
        <w:tc>
          <w:tcPr>
            <w:tcW w:w="1016" w:type="pct"/>
          </w:tcPr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>Not reported</w:t>
            </w:r>
          </w:p>
        </w:tc>
        <w:tc>
          <w:tcPr>
            <w:tcW w:w="950" w:type="pct"/>
          </w:tcPr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>Not reported</w:t>
            </w:r>
          </w:p>
        </w:tc>
        <w:tc>
          <w:tcPr>
            <w:tcW w:w="1638" w:type="pct"/>
          </w:tcPr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 xml:space="preserve">Defects of visual field in one patient in the </w:t>
            </w:r>
            <w:proofErr w:type="spellStart"/>
            <w:r w:rsidRPr="00060DE0">
              <w:rPr>
                <w:rFonts w:cs="Arial"/>
                <w:sz w:val="18"/>
                <w:szCs w:val="18"/>
              </w:rPr>
              <w:t>latanoprost</w:t>
            </w:r>
            <w:proofErr w:type="spellEnd"/>
            <w:r w:rsidRPr="00060DE0">
              <w:rPr>
                <w:rFonts w:cs="Arial"/>
                <w:sz w:val="18"/>
                <w:szCs w:val="18"/>
              </w:rPr>
              <w:t xml:space="preserve"> group worsened in both eyes. No other changes were reported during the 3 months.</w:t>
            </w:r>
          </w:p>
        </w:tc>
      </w:tr>
      <w:tr w:rsidR="0051469C" w:rsidRPr="00060DE0" w:rsidTr="00E15C8D">
        <w:trPr>
          <w:cantSplit/>
          <w:jc w:val="center"/>
        </w:trPr>
        <w:tc>
          <w:tcPr>
            <w:tcW w:w="587" w:type="pct"/>
          </w:tcPr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>Evans</w:t>
            </w:r>
          </w:p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>2008</w:t>
            </w:r>
            <w:r w:rsidR="00607352">
              <w:rPr>
                <w:rFonts w:cs="Arial"/>
                <w:sz w:val="18"/>
                <w:szCs w:val="18"/>
              </w:rPr>
              <w:fldChar w:fldCharType="begin"/>
            </w:r>
            <w:r>
              <w:rPr>
                <w:rFonts w:cs="Arial"/>
                <w:sz w:val="18"/>
                <w:szCs w:val="18"/>
              </w:rPr>
              <w:instrText xml:space="preserve"> QUOTE "</w:instrText>
            </w:r>
            <w:r>
              <w:rPr>
                <w:rFonts w:cs="Arial"/>
                <w:sz w:val="18"/>
                <w:szCs w:val="18"/>
                <w:vertAlign w:val="superscript"/>
              </w:rPr>
              <w:instrText>37</w:instrText>
            </w:r>
            <w:r>
              <w:rPr>
                <w:rFonts w:cs="Arial"/>
                <w:sz w:val="18"/>
                <w:szCs w:val="18"/>
              </w:rPr>
              <w:instrText xml:space="preserve">" </w:instrText>
            </w:r>
            <w:r w:rsidR="00607352" w:rsidRPr="00AE2097">
              <w:rPr>
                <w:rFonts w:cs="Arial"/>
                <w:vanish/>
                <w:sz w:val="18"/>
                <w:szCs w:val="18"/>
              </w:rPr>
              <w:fldChar w:fldCharType="begin"/>
            </w:r>
            <w:r w:rsidRPr="00AE2097">
              <w:rPr>
                <w:rFonts w:cs="Arial"/>
                <w:vanish/>
                <w:sz w:val="18"/>
                <w:szCs w:val="18"/>
              </w:rPr>
              <w:instrText xml:space="preserve"> ADDIN PROCITE ÿ\11\05‘\19\02\00\00\00\0237\01\01\00\02\00\00\01\00\00\00\1BM_\00\00\00\00p©\13\01 ¨Ú\01\01\00\00\008\00\00\00\00\00\00\008\00\00\00°\03\00\00;Y:\5CGlaucoma\5CDatabase\5CTreatment\5CDec 2\5CGlaucoma-Treatment.pdt!Evans, Bartlett, et al. 2008 #943\00!\00 </w:instrText>
            </w:r>
            <w:r w:rsidR="00607352" w:rsidRPr="00AE2097">
              <w:rPr>
                <w:rFonts w:cs="Arial"/>
                <w:vanish/>
                <w:sz w:val="18"/>
                <w:szCs w:val="18"/>
              </w:rPr>
              <w:fldChar w:fldCharType="end"/>
            </w:r>
            <w:r w:rsidR="00607352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  <w:vertAlign w:val="superscript"/>
              </w:rPr>
              <w:t>37</w:t>
            </w:r>
            <w:r w:rsidR="0060735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809" w:type="pct"/>
          </w:tcPr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proofErr w:type="spellStart"/>
            <w:r w:rsidRPr="00060DE0">
              <w:rPr>
                <w:rFonts w:cs="Arial"/>
                <w:sz w:val="18"/>
                <w:szCs w:val="18"/>
              </w:rPr>
              <w:t>Latanoprost</w:t>
            </w:r>
            <w:proofErr w:type="spellEnd"/>
            <w:r w:rsidRPr="00060DE0">
              <w:rPr>
                <w:rFonts w:cs="Arial"/>
                <w:sz w:val="18"/>
                <w:szCs w:val="18"/>
              </w:rPr>
              <w:t xml:space="preserve"> - </w:t>
            </w:r>
            <w:proofErr w:type="spellStart"/>
            <w:r w:rsidRPr="00060DE0">
              <w:rPr>
                <w:rFonts w:cs="Arial"/>
                <w:sz w:val="18"/>
                <w:szCs w:val="18"/>
              </w:rPr>
              <w:t>Timolol</w:t>
            </w:r>
            <w:proofErr w:type="spellEnd"/>
          </w:p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</w:p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proofErr w:type="spellStart"/>
            <w:r w:rsidRPr="00060DE0">
              <w:rPr>
                <w:rFonts w:cs="Arial"/>
                <w:sz w:val="18"/>
                <w:szCs w:val="18"/>
              </w:rPr>
              <w:t>Timolol</w:t>
            </w:r>
            <w:proofErr w:type="spellEnd"/>
            <w:r w:rsidRPr="00060DE0">
              <w:rPr>
                <w:rFonts w:cs="Arial"/>
                <w:sz w:val="18"/>
                <w:szCs w:val="18"/>
              </w:rPr>
              <w:t xml:space="preserve"> – </w:t>
            </w:r>
            <w:proofErr w:type="spellStart"/>
            <w:r w:rsidRPr="00060DE0">
              <w:rPr>
                <w:rFonts w:cs="Arial"/>
                <w:sz w:val="18"/>
                <w:szCs w:val="18"/>
              </w:rPr>
              <w:t>Latanoprost</w:t>
            </w:r>
            <w:proofErr w:type="spellEnd"/>
          </w:p>
        </w:tc>
        <w:tc>
          <w:tcPr>
            <w:tcW w:w="1016" w:type="pct"/>
          </w:tcPr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 xml:space="preserve">CS 3 </w:t>
            </w:r>
            <w:proofErr w:type="spellStart"/>
            <w:r w:rsidRPr="00060DE0">
              <w:rPr>
                <w:rFonts w:cs="Arial"/>
                <w:sz w:val="18"/>
                <w:szCs w:val="18"/>
              </w:rPr>
              <w:t>cpg</w:t>
            </w:r>
            <w:proofErr w:type="spellEnd"/>
            <w:r w:rsidRPr="00060DE0">
              <w:rPr>
                <w:rFonts w:cs="Arial"/>
                <w:sz w:val="18"/>
                <w:szCs w:val="18"/>
              </w:rPr>
              <w:t xml:space="preserve"> 1.35±0.11</w:t>
            </w:r>
          </w:p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 xml:space="preserve">CS </w:t>
            </w:r>
            <w:proofErr w:type="spellStart"/>
            <w:r w:rsidRPr="00060DE0">
              <w:rPr>
                <w:rFonts w:cs="Arial"/>
                <w:sz w:val="18"/>
                <w:szCs w:val="18"/>
              </w:rPr>
              <w:t>18cpd</w:t>
            </w:r>
            <w:proofErr w:type="spellEnd"/>
            <w:r w:rsidRPr="00060DE0">
              <w:rPr>
                <w:rFonts w:cs="Arial"/>
                <w:sz w:val="18"/>
                <w:szCs w:val="18"/>
              </w:rPr>
              <w:t xml:space="preserve"> 0.86±0.23</w:t>
            </w:r>
          </w:p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>MD -2.22±1.97</w:t>
            </w:r>
          </w:p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</w:p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 xml:space="preserve">CS </w:t>
            </w:r>
            <w:proofErr w:type="spellStart"/>
            <w:r w:rsidRPr="00060DE0">
              <w:rPr>
                <w:rFonts w:cs="Arial"/>
                <w:sz w:val="18"/>
                <w:szCs w:val="18"/>
              </w:rPr>
              <w:t>3cpd</w:t>
            </w:r>
            <w:proofErr w:type="spellEnd"/>
            <w:r w:rsidRPr="00060DE0">
              <w:rPr>
                <w:rFonts w:cs="Arial"/>
                <w:sz w:val="18"/>
                <w:szCs w:val="18"/>
              </w:rPr>
              <w:t xml:space="preserve"> 1.36±0.21</w:t>
            </w:r>
          </w:p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 xml:space="preserve">CS 18 </w:t>
            </w:r>
            <w:proofErr w:type="spellStart"/>
            <w:r w:rsidRPr="00060DE0">
              <w:rPr>
                <w:rFonts w:cs="Arial"/>
                <w:sz w:val="18"/>
                <w:szCs w:val="18"/>
              </w:rPr>
              <w:t>cpd</w:t>
            </w:r>
            <w:proofErr w:type="spellEnd"/>
            <w:r w:rsidRPr="00060DE0">
              <w:rPr>
                <w:rFonts w:cs="Arial"/>
                <w:sz w:val="18"/>
                <w:szCs w:val="18"/>
              </w:rPr>
              <w:t xml:space="preserve"> 0.77±0.30</w:t>
            </w:r>
          </w:p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>MD -3.63±4.27</w:t>
            </w:r>
          </w:p>
        </w:tc>
        <w:tc>
          <w:tcPr>
            <w:tcW w:w="950" w:type="pct"/>
          </w:tcPr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</w:p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>Increase in MD from -1.49 (at cross over) to -2.41</w:t>
            </w:r>
          </w:p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</w:p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</w:p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>6 months</w:t>
            </w:r>
          </w:p>
        </w:tc>
        <w:tc>
          <w:tcPr>
            <w:tcW w:w="1638" w:type="pct"/>
          </w:tcPr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 xml:space="preserve">Significant loss in CS at </w:t>
            </w:r>
            <w:proofErr w:type="spellStart"/>
            <w:r w:rsidRPr="00060DE0">
              <w:rPr>
                <w:rFonts w:cs="Arial"/>
                <w:sz w:val="18"/>
                <w:szCs w:val="18"/>
              </w:rPr>
              <w:t>3cpd</w:t>
            </w:r>
            <w:proofErr w:type="spellEnd"/>
            <w:r w:rsidRPr="00060DE0">
              <w:rPr>
                <w:rFonts w:cs="Arial"/>
                <w:sz w:val="18"/>
                <w:szCs w:val="18"/>
              </w:rPr>
              <w:t xml:space="preserve"> and 18 </w:t>
            </w:r>
            <w:proofErr w:type="spellStart"/>
            <w:r w:rsidRPr="00060DE0">
              <w:rPr>
                <w:rFonts w:cs="Arial"/>
                <w:sz w:val="18"/>
                <w:szCs w:val="18"/>
              </w:rPr>
              <w:t>cpd</w:t>
            </w:r>
            <w:proofErr w:type="spellEnd"/>
          </w:p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</w:p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</w:p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</w:p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 xml:space="preserve">Significant improvement in CS </w:t>
            </w:r>
            <w:proofErr w:type="spellStart"/>
            <w:r w:rsidRPr="00060DE0">
              <w:rPr>
                <w:rFonts w:cs="Arial"/>
                <w:sz w:val="18"/>
                <w:szCs w:val="18"/>
              </w:rPr>
              <w:t>3cpd</w:t>
            </w:r>
            <w:proofErr w:type="spellEnd"/>
          </w:p>
        </w:tc>
      </w:tr>
      <w:tr w:rsidR="0051469C" w:rsidRPr="00060DE0" w:rsidTr="00E15C8D">
        <w:trPr>
          <w:cantSplit/>
          <w:jc w:val="center"/>
        </w:trPr>
        <w:tc>
          <w:tcPr>
            <w:tcW w:w="587" w:type="pct"/>
          </w:tcPr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proofErr w:type="spellStart"/>
            <w:r w:rsidRPr="00060DE0">
              <w:rPr>
                <w:rFonts w:cs="Arial"/>
                <w:sz w:val="18"/>
                <w:szCs w:val="18"/>
              </w:rPr>
              <w:t>Flammer</w:t>
            </w:r>
            <w:proofErr w:type="spellEnd"/>
          </w:p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>1992</w:t>
            </w:r>
            <w:r w:rsidR="00607352">
              <w:rPr>
                <w:rFonts w:cs="Arial"/>
                <w:sz w:val="18"/>
                <w:szCs w:val="18"/>
              </w:rPr>
              <w:fldChar w:fldCharType="begin"/>
            </w:r>
            <w:r>
              <w:rPr>
                <w:rFonts w:cs="Arial"/>
                <w:sz w:val="18"/>
                <w:szCs w:val="18"/>
              </w:rPr>
              <w:instrText xml:space="preserve"> QUOTE "</w:instrText>
            </w:r>
            <w:r>
              <w:rPr>
                <w:rFonts w:cs="Arial"/>
                <w:sz w:val="18"/>
                <w:szCs w:val="18"/>
                <w:vertAlign w:val="superscript"/>
              </w:rPr>
              <w:instrText>39</w:instrText>
            </w:r>
            <w:r>
              <w:rPr>
                <w:rFonts w:cs="Arial"/>
                <w:sz w:val="18"/>
                <w:szCs w:val="18"/>
              </w:rPr>
              <w:instrText xml:space="preserve">" </w:instrText>
            </w:r>
            <w:r w:rsidR="00607352" w:rsidRPr="00AE2097">
              <w:rPr>
                <w:rFonts w:cs="Arial"/>
                <w:vanish/>
                <w:sz w:val="18"/>
                <w:szCs w:val="18"/>
              </w:rPr>
              <w:fldChar w:fldCharType="begin"/>
            </w:r>
            <w:r w:rsidRPr="00AE2097">
              <w:rPr>
                <w:rFonts w:cs="Arial"/>
                <w:vanish/>
                <w:sz w:val="18"/>
                <w:szCs w:val="18"/>
              </w:rPr>
              <w:instrText xml:space="preserve"> ADDIN PROCITE ÿ\11\05‘\19\02\00\00\00\0239\01\01\00\02\00\00\01\00\00\00\1BM_\00\00\00\000~\0A\01\08)Ý\01\01\00\00\008\00\00\00\00\00\00\008\00\00\00Ž\14\00\00;Y:\5CGlaucoma\5CDatabase\5CTreatment\5CDec 2\5CGlaucoma-Treatment.pdt$Flammer, Kitazawa, et al. 1992 #5252\00$\00 </w:instrText>
            </w:r>
            <w:r w:rsidR="00607352" w:rsidRPr="00AE2097">
              <w:rPr>
                <w:rFonts w:cs="Arial"/>
                <w:vanish/>
                <w:sz w:val="18"/>
                <w:szCs w:val="18"/>
              </w:rPr>
              <w:fldChar w:fldCharType="end"/>
            </w:r>
            <w:r w:rsidR="00607352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  <w:vertAlign w:val="superscript"/>
              </w:rPr>
              <w:t>39</w:t>
            </w:r>
            <w:r w:rsidR="0060735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809" w:type="pct"/>
          </w:tcPr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proofErr w:type="spellStart"/>
            <w:r w:rsidRPr="00060DE0">
              <w:rPr>
                <w:rFonts w:cs="Arial"/>
                <w:sz w:val="18"/>
                <w:szCs w:val="18"/>
              </w:rPr>
              <w:t>Carteolol</w:t>
            </w:r>
            <w:proofErr w:type="spellEnd"/>
          </w:p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proofErr w:type="spellStart"/>
            <w:r w:rsidRPr="00060DE0">
              <w:rPr>
                <w:rFonts w:cs="Arial"/>
                <w:sz w:val="18"/>
                <w:szCs w:val="18"/>
              </w:rPr>
              <w:t>Timolol</w:t>
            </w:r>
            <w:proofErr w:type="spellEnd"/>
          </w:p>
        </w:tc>
        <w:tc>
          <w:tcPr>
            <w:tcW w:w="1016" w:type="pct"/>
          </w:tcPr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>4.1</w:t>
            </w:r>
          </w:p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>4.4</w:t>
            </w:r>
          </w:p>
        </w:tc>
        <w:tc>
          <w:tcPr>
            <w:tcW w:w="950" w:type="pct"/>
          </w:tcPr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>Not reported</w:t>
            </w:r>
          </w:p>
        </w:tc>
        <w:tc>
          <w:tcPr>
            <w:tcW w:w="1638" w:type="pct"/>
          </w:tcPr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>Majority of the patients had a stable visual field, although few experienced either a deterioration or improvement after 1 year of treatment. There was no significant difference between groups.</w:t>
            </w:r>
          </w:p>
        </w:tc>
      </w:tr>
      <w:tr w:rsidR="0051469C" w:rsidRPr="00060DE0" w:rsidTr="00E15C8D">
        <w:trPr>
          <w:cantSplit/>
          <w:jc w:val="center"/>
        </w:trPr>
        <w:tc>
          <w:tcPr>
            <w:tcW w:w="587" w:type="pct"/>
          </w:tcPr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proofErr w:type="spellStart"/>
            <w:r w:rsidRPr="00060DE0">
              <w:rPr>
                <w:rFonts w:cs="Arial"/>
                <w:sz w:val="18"/>
                <w:szCs w:val="18"/>
              </w:rPr>
              <w:t>Heijl</w:t>
            </w:r>
            <w:proofErr w:type="spellEnd"/>
          </w:p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>2000</w:t>
            </w:r>
            <w:r w:rsidR="00607352">
              <w:rPr>
                <w:rFonts w:cs="Arial"/>
                <w:sz w:val="18"/>
                <w:szCs w:val="18"/>
              </w:rPr>
              <w:fldChar w:fldCharType="begin"/>
            </w:r>
            <w:r>
              <w:rPr>
                <w:rFonts w:cs="Arial"/>
                <w:sz w:val="18"/>
                <w:szCs w:val="18"/>
              </w:rPr>
              <w:instrText xml:space="preserve"> QUOTE "</w:instrText>
            </w:r>
            <w:r>
              <w:rPr>
                <w:rFonts w:cs="Arial"/>
                <w:sz w:val="18"/>
                <w:szCs w:val="18"/>
                <w:vertAlign w:val="superscript"/>
              </w:rPr>
              <w:instrText>43</w:instrText>
            </w:r>
            <w:r>
              <w:rPr>
                <w:rFonts w:cs="Arial"/>
                <w:sz w:val="18"/>
                <w:szCs w:val="18"/>
              </w:rPr>
              <w:instrText xml:space="preserve">" </w:instrText>
            </w:r>
            <w:r w:rsidR="00607352" w:rsidRPr="00AE2097">
              <w:rPr>
                <w:rFonts w:cs="Arial"/>
                <w:vanish/>
                <w:sz w:val="18"/>
                <w:szCs w:val="18"/>
              </w:rPr>
              <w:fldChar w:fldCharType="begin"/>
            </w:r>
            <w:r w:rsidRPr="00AE2097">
              <w:rPr>
                <w:rFonts w:cs="Arial"/>
                <w:vanish/>
                <w:sz w:val="18"/>
                <w:szCs w:val="18"/>
              </w:rPr>
              <w:instrText xml:space="preserve"> ADDIN PROCITE ÿ\11\05‘\19\02\00\00\00\0243\01\01\00\02\00\00\01\00\00\00\1BM_\00\00\00\00hƒ\01@)Ý\01\01\00\00\008\00\00\00\00\00\00\008\00\00\00Š\0D\00\00;Y:\5CGlaucoma\5CDatabase\5CTreatment\5CDec 2\5CGlaucoma-Treatment.pdt\1CHeijl &amp; Bengtsson 2000 #3461\00\1C\00 </w:instrText>
            </w:r>
            <w:r w:rsidR="00607352" w:rsidRPr="00AE2097">
              <w:rPr>
                <w:rFonts w:cs="Arial"/>
                <w:vanish/>
                <w:sz w:val="18"/>
                <w:szCs w:val="18"/>
              </w:rPr>
              <w:fldChar w:fldCharType="end"/>
            </w:r>
            <w:r w:rsidR="00607352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  <w:vertAlign w:val="superscript"/>
              </w:rPr>
              <w:t>43</w:t>
            </w:r>
            <w:r w:rsidR="00607352">
              <w:rPr>
                <w:rFonts w:cs="Arial"/>
                <w:sz w:val="18"/>
                <w:szCs w:val="18"/>
              </w:rPr>
              <w:fldChar w:fldCharType="end"/>
            </w:r>
          </w:p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09" w:type="pct"/>
          </w:tcPr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proofErr w:type="spellStart"/>
            <w:r w:rsidRPr="00060DE0">
              <w:rPr>
                <w:rFonts w:cs="Arial"/>
                <w:sz w:val="18"/>
                <w:szCs w:val="18"/>
              </w:rPr>
              <w:t>Timolol</w:t>
            </w:r>
            <w:proofErr w:type="spellEnd"/>
            <w:r w:rsidRPr="00060DE0">
              <w:rPr>
                <w:rFonts w:cs="Arial"/>
                <w:sz w:val="18"/>
                <w:szCs w:val="18"/>
              </w:rPr>
              <w:t xml:space="preserve"> 0.5%</w:t>
            </w:r>
          </w:p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>Placebo</w:t>
            </w:r>
          </w:p>
        </w:tc>
        <w:tc>
          <w:tcPr>
            <w:tcW w:w="1016" w:type="pct"/>
          </w:tcPr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50" w:type="pct"/>
          </w:tcPr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638" w:type="pct"/>
          </w:tcPr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 xml:space="preserve">At 5 years of follow-up, eight patients in the placebo group, and five patients in the </w:t>
            </w:r>
            <w:proofErr w:type="spellStart"/>
            <w:r w:rsidRPr="00060DE0">
              <w:rPr>
                <w:rFonts w:cs="Arial"/>
                <w:sz w:val="18"/>
                <w:szCs w:val="18"/>
              </w:rPr>
              <w:t>timolol</w:t>
            </w:r>
            <w:proofErr w:type="spellEnd"/>
            <w:r w:rsidRPr="00060DE0">
              <w:rPr>
                <w:rFonts w:cs="Arial"/>
                <w:sz w:val="18"/>
                <w:szCs w:val="18"/>
              </w:rPr>
              <w:t xml:space="preserve"> group developed glaucomatous field loss. No significant difference (P=0.53) in survival function between treatment groups during this period. At 10 years, 15 patients in the placebo group and seven patients in the </w:t>
            </w:r>
            <w:proofErr w:type="spellStart"/>
            <w:r w:rsidRPr="00060DE0">
              <w:rPr>
                <w:rFonts w:cs="Arial"/>
                <w:sz w:val="18"/>
                <w:szCs w:val="18"/>
              </w:rPr>
              <w:t>timolol</w:t>
            </w:r>
            <w:proofErr w:type="spellEnd"/>
            <w:r w:rsidRPr="00060DE0">
              <w:rPr>
                <w:rFonts w:cs="Arial"/>
                <w:sz w:val="18"/>
                <w:szCs w:val="18"/>
              </w:rPr>
              <w:t xml:space="preserve"> group had developed glaucoma. The Kaplan-Meier plot suggests a difference between the treatment groups, but the difference is not significant (P=0.07).</w:t>
            </w:r>
          </w:p>
        </w:tc>
      </w:tr>
      <w:tr w:rsidR="0051469C" w:rsidRPr="00060DE0" w:rsidTr="00E15C8D">
        <w:trPr>
          <w:cantSplit/>
          <w:jc w:val="center"/>
        </w:trPr>
        <w:tc>
          <w:tcPr>
            <w:tcW w:w="587" w:type="pct"/>
          </w:tcPr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>Herman (</w:t>
            </w:r>
            <w:proofErr w:type="spellStart"/>
            <w:r w:rsidRPr="00060DE0">
              <w:rPr>
                <w:rFonts w:cs="Arial"/>
                <w:sz w:val="18"/>
                <w:szCs w:val="18"/>
              </w:rPr>
              <w:t>OHTS</w:t>
            </w:r>
            <w:proofErr w:type="spellEnd"/>
            <w:r w:rsidRPr="00060DE0">
              <w:rPr>
                <w:rFonts w:cs="Arial"/>
                <w:sz w:val="18"/>
                <w:szCs w:val="18"/>
              </w:rPr>
              <w:t>)</w:t>
            </w:r>
          </w:p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>2006</w:t>
            </w:r>
            <w:r w:rsidR="00607352">
              <w:rPr>
                <w:rFonts w:cs="Arial"/>
                <w:sz w:val="18"/>
                <w:szCs w:val="18"/>
              </w:rPr>
              <w:fldChar w:fldCharType="begin"/>
            </w:r>
            <w:r>
              <w:rPr>
                <w:rFonts w:cs="Arial"/>
                <w:sz w:val="18"/>
                <w:szCs w:val="18"/>
              </w:rPr>
              <w:instrText xml:space="preserve"> QUOTE "</w:instrText>
            </w:r>
            <w:r>
              <w:rPr>
                <w:rFonts w:cs="Arial"/>
                <w:sz w:val="18"/>
                <w:szCs w:val="18"/>
                <w:vertAlign w:val="superscript"/>
              </w:rPr>
              <w:instrText>44</w:instrText>
            </w:r>
            <w:r>
              <w:rPr>
                <w:rFonts w:cs="Arial"/>
                <w:sz w:val="18"/>
                <w:szCs w:val="18"/>
              </w:rPr>
              <w:instrText xml:space="preserve">" </w:instrText>
            </w:r>
            <w:r w:rsidR="00607352" w:rsidRPr="00AE2097">
              <w:rPr>
                <w:rFonts w:cs="Arial"/>
                <w:vanish/>
                <w:sz w:val="18"/>
                <w:szCs w:val="18"/>
              </w:rPr>
              <w:fldChar w:fldCharType="begin"/>
            </w:r>
            <w:r w:rsidRPr="00AE2097">
              <w:rPr>
                <w:rFonts w:cs="Arial"/>
                <w:vanish/>
                <w:sz w:val="18"/>
                <w:szCs w:val="18"/>
              </w:rPr>
              <w:instrText xml:space="preserve"> ADDIN PROCITE ÿ\11\05‘\19\02\00\00\00\0244\01\01\00\02\00\00\01\00\00\00\1BM_\00\00\00\00`–~\01ðDÛ\01\01\00\00\008\00\00\00\00\00\00\008\00\00\00µ\05\00\00;Y:\5CGlaucoma\5CDatabase\5CTreatment\5CDec 2\5CGlaucoma-Treatment.pdt!Herman, Gordon, et al. 2006 #1459\00!\00 </w:instrText>
            </w:r>
            <w:r w:rsidR="00607352" w:rsidRPr="00AE2097">
              <w:rPr>
                <w:rFonts w:cs="Arial"/>
                <w:vanish/>
                <w:sz w:val="18"/>
                <w:szCs w:val="18"/>
              </w:rPr>
              <w:fldChar w:fldCharType="end"/>
            </w:r>
            <w:r w:rsidR="00607352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  <w:vertAlign w:val="superscript"/>
              </w:rPr>
              <w:t>44</w:t>
            </w:r>
            <w:r w:rsidR="00607352">
              <w:rPr>
                <w:rFonts w:cs="Arial"/>
                <w:sz w:val="18"/>
                <w:szCs w:val="18"/>
              </w:rPr>
              <w:fldChar w:fldCharType="end"/>
            </w:r>
          </w:p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09" w:type="pct"/>
          </w:tcPr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>Observation</w:t>
            </w:r>
          </w:p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</w:p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 xml:space="preserve">Topical </w:t>
            </w:r>
            <w:proofErr w:type="spellStart"/>
            <w:r w:rsidRPr="00060DE0">
              <w:rPr>
                <w:rFonts w:cs="Arial"/>
                <w:sz w:val="18"/>
                <w:szCs w:val="18"/>
              </w:rPr>
              <w:t>hypotensives</w:t>
            </w:r>
            <w:proofErr w:type="spellEnd"/>
          </w:p>
        </w:tc>
        <w:tc>
          <w:tcPr>
            <w:tcW w:w="1016" w:type="pct"/>
          </w:tcPr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>0.21</w:t>
            </w:r>
          </w:p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</w:p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>0.28</w:t>
            </w:r>
          </w:p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50" w:type="pct"/>
          </w:tcPr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>-0.42±1.94</w:t>
            </w:r>
          </w:p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</w:p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>-0.20±1.57</w:t>
            </w:r>
          </w:p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>Last follow-up (mean follow-up duration = 6.3 years)</w:t>
            </w:r>
          </w:p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638" w:type="pct"/>
          </w:tcPr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>No significant difference between the 2 groups</w:t>
            </w:r>
          </w:p>
        </w:tc>
      </w:tr>
      <w:tr w:rsidR="0051469C" w:rsidRPr="00060DE0" w:rsidTr="00E15C8D">
        <w:trPr>
          <w:cantSplit/>
          <w:jc w:val="center"/>
        </w:trPr>
        <w:tc>
          <w:tcPr>
            <w:tcW w:w="587" w:type="pct"/>
          </w:tcPr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proofErr w:type="spellStart"/>
            <w:r w:rsidRPr="00060DE0">
              <w:rPr>
                <w:rFonts w:cs="Arial"/>
                <w:sz w:val="18"/>
                <w:szCs w:val="18"/>
              </w:rPr>
              <w:lastRenderedPageBreak/>
              <w:t>Krupin</w:t>
            </w:r>
            <w:proofErr w:type="spellEnd"/>
            <w:r w:rsidRPr="00060DE0">
              <w:rPr>
                <w:rFonts w:cs="Arial"/>
                <w:sz w:val="18"/>
                <w:szCs w:val="18"/>
              </w:rPr>
              <w:t xml:space="preserve"> </w:t>
            </w:r>
          </w:p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>2011</w:t>
            </w:r>
            <w:r w:rsidR="00607352">
              <w:rPr>
                <w:rFonts w:cs="Arial"/>
                <w:sz w:val="18"/>
                <w:szCs w:val="18"/>
              </w:rPr>
              <w:fldChar w:fldCharType="begin"/>
            </w:r>
            <w:r>
              <w:rPr>
                <w:rFonts w:cs="Arial"/>
                <w:sz w:val="18"/>
                <w:szCs w:val="18"/>
              </w:rPr>
              <w:instrText xml:space="preserve"> QUOTE "</w:instrText>
            </w:r>
            <w:r>
              <w:rPr>
                <w:rFonts w:cs="Arial"/>
                <w:sz w:val="18"/>
                <w:szCs w:val="18"/>
                <w:vertAlign w:val="superscript"/>
              </w:rPr>
              <w:instrText>54</w:instrText>
            </w:r>
            <w:r>
              <w:rPr>
                <w:rFonts w:cs="Arial"/>
                <w:sz w:val="18"/>
                <w:szCs w:val="18"/>
              </w:rPr>
              <w:instrText xml:space="preserve">" </w:instrText>
            </w:r>
            <w:r w:rsidR="00607352" w:rsidRPr="00AE2097">
              <w:rPr>
                <w:rFonts w:cs="Arial"/>
                <w:vanish/>
                <w:sz w:val="18"/>
                <w:szCs w:val="18"/>
              </w:rPr>
              <w:fldChar w:fldCharType="begin"/>
            </w:r>
            <w:r w:rsidRPr="00AE2097">
              <w:rPr>
                <w:rFonts w:cs="Arial"/>
                <w:vanish/>
                <w:sz w:val="18"/>
                <w:szCs w:val="18"/>
              </w:rPr>
              <w:instrText xml:space="preserve"> ADDIN PROCITE ÿ\11\05‘\19\02\00\00\00\0254\01\01\00\02\00\00\01\00\00\00\1BM_\00\00\00\00¨™~\01(EÛ\01\01\00\00\008\00\00\00\00\00\00\008\00\00\00&gt;#\00\00;Y:\5CGlaucoma\5CDatabase\5CTreatment\5CDec 2\5CGlaucoma-Treatment.pdt$Krupin, Liebmann, et al. 2011 #80144\00$\00 </w:instrText>
            </w:r>
            <w:r w:rsidR="00607352" w:rsidRPr="00AE2097">
              <w:rPr>
                <w:rFonts w:cs="Arial"/>
                <w:vanish/>
                <w:sz w:val="18"/>
                <w:szCs w:val="18"/>
              </w:rPr>
              <w:fldChar w:fldCharType="end"/>
            </w:r>
            <w:r w:rsidR="00607352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  <w:vertAlign w:val="superscript"/>
              </w:rPr>
              <w:t>54</w:t>
            </w:r>
            <w:r w:rsidR="0060735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809" w:type="pct"/>
          </w:tcPr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proofErr w:type="spellStart"/>
            <w:r w:rsidRPr="00060DE0">
              <w:rPr>
                <w:rFonts w:cs="Arial"/>
                <w:sz w:val="18"/>
                <w:szCs w:val="18"/>
              </w:rPr>
              <w:t>Brimonidine</w:t>
            </w:r>
            <w:proofErr w:type="spellEnd"/>
          </w:p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proofErr w:type="spellStart"/>
            <w:r w:rsidRPr="00060DE0">
              <w:rPr>
                <w:rFonts w:cs="Arial"/>
                <w:sz w:val="18"/>
                <w:szCs w:val="18"/>
              </w:rPr>
              <w:t>Timolol</w:t>
            </w:r>
            <w:proofErr w:type="spellEnd"/>
          </w:p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16" w:type="pct"/>
          </w:tcPr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>0.89 ± 0.2</w:t>
            </w:r>
          </w:p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>0.90  ± 0.2</w:t>
            </w:r>
          </w:p>
        </w:tc>
        <w:tc>
          <w:tcPr>
            <w:tcW w:w="950" w:type="pct"/>
          </w:tcPr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>Not reported</w:t>
            </w:r>
          </w:p>
        </w:tc>
        <w:tc>
          <w:tcPr>
            <w:tcW w:w="1638" w:type="pct"/>
          </w:tcPr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 xml:space="preserve">Primary outcome of the study was visual field progression. Fewer patients treated with </w:t>
            </w:r>
            <w:proofErr w:type="spellStart"/>
            <w:r w:rsidRPr="00060DE0">
              <w:rPr>
                <w:rFonts w:cs="Arial"/>
                <w:sz w:val="18"/>
                <w:szCs w:val="18"/>
              </w:rPr>
              <w:t>Bimonidine</w:t>
            </w:r>
            <w:proofErr w:type="spellEnd"/>
            <w:r w:rsidRPr="00060DE0">
              <w:rPr>
                <w:rFonts w:cs="Arial"/>
                <w:sz w:val="18"/>
                <w:szCs w:val="18"/>
              </w:rPr>
              <w:t xml:space="preserve"> (9.1%) had visual field progression than </w:t>
            </w:r>
            <w:proofErr w:type="spellStart"/>
            <w:r w:rsidRPr="00060DE0">
              <w:rPr>
                <w:rFonts w:cs="Arial"/>
                <w:sz w:val="18"/>
                <w:szCs w:val="18"/>
              </w:rPr>
              <w:t>timolol</w:t>
            </w:r>
            <w:proofErr w:type="spellEnd"/>
            <w:r w:rsidRPr="00060DE0">
              <w:rPr>
                <w:rFonts w:cs="Arial"/>
                <w:sz w:val="18"/>
                <w:szCs w:val="18"/>
              </w:rPr>
              <w:t xml:space="preserve">-treated patients (39.2%) (p=0.001). However, more </w:t>
            </w:r>
            <w:proofErr w:type="spellStart"/>
            <w:r w:rsidRPr="00060DE0">
              <w:rPr>
                <w:rFonts w:cs="Arial"/>
                <w:sz w:val="18"/>
                <w:szCs w:val="18"/>
              </w:rPr>
              <w:t>brimonidine</w:t>
            </w:r>
            <w:proofErr w:type="spellEnd"/>
            <w:r w:rsidRPr="00060DE0">
              <w:rPr>
                <w:rFonts w:cs="Arial"/>
                <w:sz w:val="18"/>
                <w:szCs w:val="18"/>
              </w:rPr>
              <w:t xml:space="preserve">-treated (28.3%) than </w:t>
            </w:r>
            <w:proofErr w:type="spellStart"/>
            <w:r w:rsidRPr="00060DE0">
              <w:rPr>
                <w:rFonts w:cs="Arial"/>
                <w:sz w:val="18"/>
                <w:szCs w:val="18"/>
              </w:rPr>
              <w:t>timolol</w:t>
            </w:r>
            <w:proofErr w:type="spellEnd"/>
            <w:r w:rsidRPr="00060DE0">
              <w:rPr>
                <w:rFonts w:cs="Arial"/>
                <w:sz w:val="18"/>
                <w:szCs w:val="18"/>
              </w:rPr>
              <w:t>-treated (11.4%) patients discontinued treatment because of adverse events (p=0.008).</w:t>
            </w:r>
          </w:p>
        </w:tc>
      </w:tr>
      <w:tr w:rsidR="0051469C" w:rsidRPr="00060DE0" w:rsidTr="00E15C8D">
        <w:trPr>
          <w:cantSplit/>
          <w:jc w:val="center"/>
        </w:trPr>
        <w:tc>
          <w:tcPr>
            <w:tcW w:w="587" w:type="pct"/>
          </w:tcPr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proofErr w:type="spellStart"/>
            <w:r w:rsidRPr="00060DE0">
              <w:rPr>
                <w:rFonts w:cs="Arial"/>
                <w:sz w:val="18"/>
                <w:szCs w:val="18"/>
              </w:rPr>
              <w:t>Marcon</w:t>
            </w:r>
            <w:proofErr w:type="spellEnd"/>
          </w:p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>1990</w:t>
            </w:r>
            <w:r w:rsidR="00607352">
              <w:rPr>
                <w:rFonts w:cs="Arial"/>
                <w:sz w:val="18"/>
                <w:szCs w:val="18"/>
              </w:rPr>
              <w:fldChar w:fldCharType="begin"/>
            </w:r>
            <w:r>
              <w:rPr>
                <w:rFonts w:cs="Arial"/>
                <w:sz w:val="18"/>
                <w:szCs w:val="18"/>
              </w:rPr>
              <w:instrText xml:space="preserve"> QUOTE "</w:instrText>
            </w:r>
            <w:r>
              <w:rPr>
                <w:rFonts w:cs="Arial"/>
                <w:sz w:val="18"/>
                <w:szCs w:val="18"/>
                <w:vertAlign w:val="superscript"/>
              </w:rPr>
              <w:instrText>59</w:instrText>
            </w:r>
            <w:r>
              <w:rPr>
                <w:rFonts w:cs="Arial"/>
                <w:sz w:val="18"/>
                <w:szCs w:val="18"/>
              </w:rPr>
              <w:instrText xml:space="preserve">" </w:instrText>
            </w:r>
            <w:r w:rsidR="00607352" w:rsidRPr="00AE2097">
              <w:rPr>
                <w:rFonts w:cs="Arial"/>
                <w:vanish/>
                <w:sz w:val="18"/>
                <w:szCs w:val="18"/>
              </w:rPr>
              <w:fldChar w:fldCharType="begin"/>
            </w:r>
            <w:r w:rsidRPr="00AE2097">
              <w:rPr>
                <w:rFonts w:cs="Arial"/>
                <w:vanish/>
                <w:sz w:val="18"/>
                <w:szCs w:val="18"/>
              </w:rPr>
              <w:instrText xml:space="preserve"> ADDIN PROCITE ÿ\11\05‘\19\02\00\00\00\0259\01\01\00\02\00\00\01\00\00\00\1BM_\00\00\00\00\18š~\01@šs\01\01\00\00\008\00\00\00\00\00\00\008\00\00\00\14*\00\00;Y:\5CGlaucoma\5CDatabase\5CTreatment\5CDec 2\5CGlaucoma-Treatment.pdt\11Marcon 1990 #9515\00\11\00 </w:instrText>
            </w:r>
            <w:r w:rsidR="00607352" w:rsidRPr="00AE2097">
              <w:rPr>
                <w:rFonts w:cs="Arial"/>
                <w:vanish/>
                <w:sz w:val="18"/>
                <w:szCs w:val="18"/>
              </w:rPr>
              <w:fldChar w:fldCharType="end"/>
            </w:r>
            <w:r w:rsidR="00607352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  <w:vertAlign w:val="superscript"/>
              </w:rPr>
              <w:t>59</w:t>
            </w:r>
            <w:r w:rsidR="00607352">
              <w:rPr>
                <w:rFonts w:cs="Arial"/>
                <w:sz w:val="18"/>
                <w:szCs w:val="18"/>
              </w:rPr>
              <w:fldChar w:fldCharType="end"/>
            </w:r>
          </w:p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09" w:type="pct"/>
          </w:tcPr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proofErr w:type="spellStart"/>
            <w:r w:rsidRPr="00060DE0">
              <w:rPr>
                <w:rFonts w:cs="Arial"/>
                <w:sz w:val="18"/>
                <w:szCs w:val="18"/>
              </w:rPr>
              <w:t>Betaxolol</w:t>
            </w:r>
            <w:proofErr w:type="spellEnd"/>
          </w:p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proofErr w:type="spellStart"/>
            <w:r w:rsidRPr="00060DE0">
              <w:rPr>
                <w:rFonts w:cs="Arial"/>
                <w:sz w:val="18"/>
                <w:szCs w:val="18"/>
              </w:rPr>
              <w:t>Levobulol</w:t>
            </w:r>
            <w:proofErr w:type="spellEnd"/>
          </w:p>
        </w:tc>
        <w:tc>
          <w:tcPr>
            <w:tcW w:w="1016" w:type="pct"/>
          </w:tcPr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>Not reported</w:t>
            </w:r>
          </w:p>
        </w:tc>
        <w:tc>
          <w:tcPr>
            <w:tcW w:w="950" w:type="pct"/>
          </w:tcPr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>Not reported</w:t>
            </w:r>
          </w:p>
        </w:tc>
        <w:tc>
          <w:tcPr>
            <w:tcW w:w="1638" w:type="pct"/>
          </w:tcPr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 xml:space="preserve">One patient showed marked visual field improvement from baseline to 12 weeks in </w:t>
            </w:r>
            <w:proofErr w:type="spellStart"/>
            <w:r w:rsidRPr="00060DE0">
              <w:rPr>
                <w:rFonts w:cs="Arial"/>
                <w:sz w:val="18"/>
                <w:szCs w:val="18"/>
              </w:rPr>
              <w:t>Betaxolol</w:t>
            </w:r>
            <w:proofErr w:type="spellEnd"/>
            <w:r w:rsidRPr="00060DE0">
              <w:rPr>
                <w:rFonts w:cs="Arial"/>
                <w:sz w:val="18"/>
                <w:szCs w:val="18"/>
              </w:rPr>
              <w:t xml:space="preserve"> group, but there were no measurable changes in the other 19 patients in </w:t>
            </w:r>
            <w:proofErr w:type="spellStart"/>
            <w:r w:rsidRPr="00060DE0">
              <w:rPr>
                <w:rFonts w:cs="Arial"/>
                <w:sz w:val="18"/>
                <w:szCs w:val="18"/>
              </w:rPr>
              <w:t>Betaxolol</w:t>
            </w:r>
            <w:proofErr w:type="spellEnd"/>
            <w:r w:rsidRPr="00060DE0">
              <w:rPr>
                <w:rFonts w:cs="Arial"/>
                <w:sz w:val="18"/>
                <w:szCs w:val="18"/>
              </w:rPr>
              <w:t xml:space="preserve"> group and all 20 patients in </w:t>
            </w:r>
            <w:proofErr w:type="spellStart"/>
            <w:r w:rsidRPr="00060DE0">
              <w:rPr>
                <w:rFonts w:cs="Arial"/>
                <w:sz w:val="18"/>
                <w:szCs w:val="18"/>
              </w:rPr>
              <w:t>Levobunolol</w:t>
            </w:r>
            <w:proofErr w:type="spellEnd"/>
            <w:r w:rsidRPr="00060DE0">
              <w:rPr>
                <w:rFonts w:cs="Arial"/>
                <w:sz w:val="18"/>
                <w:szCs w:val="18"/>
              </w:rPr>
              <w:t xml:space="preserve"> group</w:t>
            </w:r>
          </w:p>
        </w:tc>
      </w:tr>
      <w:tr w:rsidR="0051469C" w:rsidRPr="00060DE0" w:rsidTr="00E15C8D">
        <w:trPr>
          <w:cantSplit/>
          <w:jc w:val="center"/>
        </w:trPr>
        <w:tc>
          <w:tcPr>
            <w:tcW w:w="587" w:type="pct"/>
          </w:tcPr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>Martinez</w:t>
            </w:r>
          </w:p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>2010</w:t>
            </w:r>
            <w:r w:rsidR="00607352">
              <w:rPr>
                <w:rFonts w:cs="Arial"/>
                <w:sz w:val="18"/>
                <w:szCs w:val="18"/>
              </w:rPr>
              <w:fldChar w:fldCharType="begin"/>
            </w:r>
            <w:r>
              <w:rPr>
                <w:rFonts w:cs="Arial"/>
                <w:sz w:val="18"/>
                <w:szCs w:val="18"/>
              </w:rPr>
              <w:instrText xml:space="preserve"> QUOTE "</w:instrText>
            </w:r>
            <w:r>
              <w:rPr>
                <w:rFonts w:cs="Arial"/>
                <w:sz w:val="18"/>
                <w:szCs w:val="18"/>
                <w:vertAlign w:val="superscript"/>
              </w:rPr>
              <w:instrText>61</w:instrText>
            </w:r>
            <w:r>
              <w:rPr>
                <w:rFonts w:cs="Arial"/>
                <w:sz w:val="18"/>
                <w:szCs w:val="18"/>
              </w:rPr>
              <w:instrText xml:space="preserve">" </w:instrText>
            </w:r>
            <w:r w:rsidR="00607352" w:rsidRPr="00AE2097">
              <w:rPr>
                <w:rFonts w:cs="Arial"/>
                <w:vanish/>
                <w:sz w:val="18"/>
                <w:szCs w:val="18"/>
              </w:rPr>
              <w:fldChar w:fldCharType="begin"/>
            </w:r>
            <w:r w:rsidRPr="00AE2097">
              <w:rPr>
                <w:rFonts w:cs="Arial"/>
                <w:vanish/>
                <w:sz w:val="18"/>
                <w:szCs w:val="18"/>
              </w:rPr>
              <w:instrText xml:space="preserve"> ADDIN PROCITE ÿ\11\05‘\19\02\00\00\00\0261\01\01\00\02\00\00\01\00\00\00\1BM_\00\00\00\00  {\01xšs\01\01\00\00\008\00\00\00\00\00\00\008\00\00\00\14%\00\00;Y:\5CGlaucoma\5CDatabase\5CTreatment\5CDec 2\5CGlaucoma-Treatment.pdt*Martínez A &amp; Sanchez-Salorio M 2010 #80338\00*\00 </w:instrText>
            </w:r>
            <w:r w:rsidR="00607352" w:rsidRPr="00AE2097">
              <w:rPr>
                <w:rFonts w:cs="Arial"/>
                <w:vanish/>
                <w:sz w:val="18"/>
                <w:szCs w:val="18"/>
              </w:rPr>
              <w:fldChar w:fldCharType="end"/>
            </w:r>
            <w:r w:rsidR="00607352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  <w:vertAlign w:val="superscript"/>
              </w:rPr>
              <w:t>61</w:t>
            </w:r>
            <w:r w:rsidR="0060735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809" w:type="pct"/>
          </w:tcPr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proofErr w:type="spellStart"/>
            <w:r w:rsidRPr="00060DE0">
              <w:rPr>
                <w:rFonts w:cs="Arial"/>
                <w:sz w:val="18"/>
                <w:szCs w:val="18"/>
              </w:rPr>
              <w:t>Dorzolamide-timolol</w:t>
            </w:r>
            <w:proofErr w:type="spellEnd"/>
          </w:p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proofErr w:type="spellStart"/>
            <w:r w:rsidRPr="00060DE0">
              <w:rPr>
                <w:rFonts w:cs="Arial"/>
                <w:sz w:val="18"/>
                <w:szCs w:val="18"/>
              </w:rPr>
              <w:t>Brinzolamide-timolol</w:t>
            </w:r>
            <w:proofErr w:type="spellEnd"/>
          </w:p>
        </w:tc>
        <w:tc>
          <w:tcPr>
            <w:tcW w:w="1016" w:type="pct"/>
          </w:tcPr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>-3.1 ±0.9</w:t>
            </w:r>
          </w:p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>-3.1 ±0.9</w:t>
            </w:r>
          </w:p>
        </w:tc>
        <w:tc>
          <w:tcPr>
            <w:tcW w:w="950" w:type="pct"/>
          </w:tcPr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>Not reported</w:t>
            </w:r>
          </w:p>
        </w:tc>
        <w:tc>
          <w:tcPr>
            <w:tcW w:w="1638" w:type="pct"/>
          </w:tcPr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 xml:space="preserve">Mean deviation slopes during </w:t>
            </w:r>
            <w:proofErr w:type="spellStart"/>
            <w:r w:rsidRPr="00060DE0">
              <w:rPr>
                <w:rFonts w:cs="Arial"/>
                <w:sz w:val="18"/>
                <w:szCs w:val="18"/>
              </w:rPr>
              <w:t>followup</w:t>
            </w:r>
            <w:proofErr w:type="spellEnd"/>
            <w:r w:rsidRPr="00060DE0">
              <w:rPr>
                <w:rFonts w:cs="Arial"/>
                <w:sz w:val="18"/>
                <w:szCs w:val="18"/>
              </w:rPr>
              <w:t xml:space="preserve"> were -0.26 dB </w:t>
            </w:r>
            <w:r w:rsidRPr="00060DE0">
              <w:rPr>
                <w:rFonts w:cs="Arial" w:hint="eastAsia"/>
                <w:sz w:val="18"/>
                <w:szCs w:val="18"/>
              </w:rPr>
              <w:t>⁄</w:t>
            </w:r>
            <w:r w:rsidRPr="00060DE0">
              <w:rPr>
                <w:rFonts w:cs="Arial"/>
                <w:sz w:val="18"/>
                <w:szCs w:val="18"/>
              </w:rPr>
              <w:t xml:space="preserve"> year and  -0.46 dB</w:t>
            </w:r>
            <w:r w:rsidRPr="00060DE0">
              <w:rPr>
                <w:rFonts w:cs="Arial" w:hint="eastAsia"/>
                <w:sz w:val="18"/>
                <w:szCs w:val="18"/>
              </w:rPr>
              <w:t>⁄</w:t>
            </w:r>
            <w:r w:rsidRPr="00060DE0">
              <w:rPr>
                <w:rFonts w:cs="Arial"/>
                <w:sz w:val="18"/>
                <w:szCs w:val="18"/>
              </w:rPr>
              <w:t xml:space="preserve"> year for the DT and BT treatment groups, respectively (p = 0.008).</w:t>
            </w:r>
          </w:p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>According to the event-based method, progression was observed in 24 eyes (24%) in the DT group and 55 eyes (47%) in the BT group (p = 0.0006; chi-square test).</w:t>
            </w:r>
          </w:p>
        </w:tc>
      </w:tr>
      <w:tr w:rsidR="0051469C" w:rsidRPr="00060DE0" w:rsidTr="00E15C8D">
        <w:trPr>
          <w:cantSplit/>
          <w:jc w:val="center"/>
        </w:trPr>
        <w:tc>
          <w:tcPr>
            <w:tcW w:w="587" w:type="pct"/>
          </w:tcPr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proofErr w:type="spellStart"/>
            <w:r w:rsidRPr="00060DE0">
              <w:rPr>
                <w:rFonts w:cs="Arial"/>
                <w:sz w:val="18"/>
                <w:szCs w:val="18"/>
              </w:rPr>
              <w:t>Melamed</w:t>
            </w:r>
            <w:proofErr w:type="spellEnd"/>
            <w:r w:rsidRPr="00060DE0">
              <w:rPr>
                <w:rFonts w:cs="Arial"/>
                <w:sz w:val="18"/>
                <w:szCs w:val="18"/>
              </w:rPr>
              <w:t xml:space="preserve"> 2000</w:t>
            </w:r>
            <w:r w:rsidR="00607352">
              <w:rPr>
                <w:rFonts w:cs="Arial"/>
                <w:sz w:val="18"/>
                <w:szCs w:val="18"/>
              </w:rPr>
              <w:fldChar w:fldCharType="begin"/>
            </w:r>
            <w:r>
              <w:rPr>
                <w:rFonts w:cs="Arial"/>
                <w:sz w:val="18"/>
                <w:szCs w:val="18"/>
              </w:rPr>
              <w:instrText xml:space="preserve"> QUOTE "</w:instrText>
            </w:r>
            <w:r>
              <w:rPr>
                <w:rFonts w:cs="Arial"/>
                <w:sz w:val="18"/>
                <w:szCs w:val="18"/>
                <w:vertAlign w:val="superscript"/>
              </w:rPr>
              <w:instrText>60</w:instrText>
            </w:r>
            <w:r>
              <w:rPr>
                <w:rFonts w:cs="Arial"/>
                <w:sz w:val="18"/>
                <w:szCs w:val="18"/>
              </w:rPr>
              <w:instrText xml:space="preserve">" </w:instrText>
            </w:r>
            <w:r w:rsidR="00607352" w:rsidRPr="00AE2097">
              <w:rPr>
                <w:rFonts w:cs="Arial"/>
                <w:vanish/>
                <w:sz w:val="18"/>
                <w:szCs w:val="18"/>
              </w:rPr>
              <w:fldChar w:fldCharType="begin"/>
            </w:r>
            <w:r w:rsidRPr="00AE2097">
              <w:rPr>
                <w:rFonts w:cs="Arial"/>
                <w:vanish/>
                <w:sz w:val="18"/>
                <w:szCs w:val="18"/>
              </w:rPr>
              <w:instrText xml:space="preserve"> ADDIN PROCITE ÿ\11\05‘\19\02\00\00\00\0260\01\01\00\02\00\00\01\00\00\00\1BM_\00\00\00\00°CÛ\01˜èÙ\01\01\00\00\008\00\00\00\00\00\00\008\00\00\00d\0E\00\00;Y:\5CGlaucoma\5CDatabase\5CTreatment\5CDec 2\5CGlaucoma-Treatment.pdt\1AMelamed &amp; David 2000 #3677\00\1A\00 </w:instrText>
            </w:r>
            <w:r w:rsidR="00607352" w:rsidRPr="00AE2097">
              <w:rPr>
                <w:rFonts w:cs="Arial"/>
                <w:vanish/>
                <w:sz w:val="18"/>
                <w:szCs w:val="18"/>
              </w:rPr>
              <w:fldChar w:fldCharType="end"/>
            </w:r>
            <w:r w:rsidR="00607352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  <w:vertAlign w:val="superscript"/>
              </w:rPr>
              <w:t>60</w:t>
            </w:r>
            <w:r w:rsidR="00607352">
              <w:rPr>
                <w:rFonts w:cs="Arial"/>
                <w:sz w:val="18"/>
                <w:szCs w:val="18"/>
              </w:rPr>
              <w:fldChar w:fldCharType="end"/>
            </w:r>
          </w:p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</w:p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09" w:type="pct"/>
          </w:tcPr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proofErr w:type="spellStart"/>
            <w:r w:rsidRPr="00060DE0">
              <w:rPr>
                <w:rFonts w:cs="Arial"/>
                <w:sz w:val="18"/>
                <w:szCs w:val="18"/>
              </w:rPr>
              <w:t>Brimonidine</w:t>
            </w:r>
            <w:proofErr w:type="spellEnd"/>
            <w:r w:rsidRPr="00060DE0">
              <w:rPr>
                <w:rFonts w:cs="Arial"/>
                <w:sz w:val="18"/>
                <w:szCs w:val="18"/>
              </w:rPr>
              <w:t xml:space="preserve"> 0.2%</w:t>
            </w:r>
          </w:p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</w:p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proofErr w:type="spellStart"/>
            <w:r w:rsidRPr="00060DE0">
              <w:rPr>
                <w:rFonts w:cs="Arial"/>
                <w:sz w:val="18"/>
                <w:szCs w:val="18"/>
              </w:rPr>
              <w:t>Timolol</w:t>
            </w:r>
            <w:proofErr w:type="spellEnd"/>
            <w:r w:rsidRPr="00060DE0">
              <w:rPr>
                <w:rFonts w:cs="Arial"/>
                <w:sz w:val="18"/>
                <w:szCs w:val="18"/>
              </w:rPr>
              <w:t xml:space="preserve"> 0.5%</w:t>
            </w:r>
          </w:p>
        </w:tc>
        <w:tc>
          <w:tcPr>
            <w:tcW w:w="1016" w:type="pct"/>
          </w:tcPr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50" w:type="pct"/>
          </w:tcPr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638" w:type="pct"/>
          </w:tcPr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 xml:space="preserve">In the </w:t>
            </w:r>
            <w:proofErr w:type="spellStart"/>
            <w:r w:rsidRPr="00060DE0">
              <w:rPr>
                <w:rFonts w:cs="Arial"/>
                <w:sz w:val="18"/>
                <w:szCs w:val="18"/>
              </w:rPr>
              <w:t>brimonidine</w:t>
            </w:r>
            <w:proofErr w:type="spellEnd"/>
            <w:r w:rsidRPr="00060DE0">
              <w:rPr>
                <w:rFonts w:cs="Arial"/>
                <w:sz w:val="18"/>
                <w:szCs w:val="18"/>
              </w:rPr>
              <w:t xml:space="preserve"> group (n =40), 36 patients had no change in visual fields (within 5 dB of baseline) and 2 patients had improvement. In the </w:t>
            </w:r>
            <w:proofErr w:type="spellStart"/>
            <w:r w:rsidRPr="00060DE0">
              <w:rPr>
                <w:rFonts w:cs="Arial"/>
                <w:sz w:val="18"/>
                <w:szCs w:val="18"/>
              </w:rPr>
              <w:t>timolol</w:t>
            </w:r>
            <w:proofErr w:type="spellEnd"/>
            <w:r w:rsidRPr="00060DE0">
              <w:rPr>
                <w:rFonts w:cs="Arial"/>
                <w:sz w:val="18"/>
                <w:szCs w:val="18"/>
              </w:rPr>
              <w:t xml:space="preserve"> group (n = 39), 36 patients had no change and 1 showed improvement. Two </w:t>
            </w:r>
            <w:proofErr w:type="spellStart"/>
            <w:r w:rsidRPr="00060DE0">
              <w:rPr>
                <w:rFonts w:cs="Arial"/>
                <w:sz w:val="18"/>
                <w:szCs w:val="18"/>
              </w:rPr>
              <w:t>brimonidine</w:t>
            </w:r>
            <w:proofErr w:type="spellEnd"/>
            <w:r w:rsidRPr="00060DE0">
              <w:rPr>
                <w:rFonts w:cs="Arial"/>
                <w:sz w:val="18"/>
                <w:szCs w:val="18"/>
              </w:rPr>
              <w:t xml:space="preserve"> and 2 </w:t>
            </w:r>
            <w:proofErr w:type="spellStart"/>
            <w:r w:rsidRPr="00060DE0">
              <w:rPr>
                <w:rFonts w:cs="Arial"/>
                <w:sz w:val="18"/>
                <w:szCs w:val="18"/>
              </w:rPr>
              <w:t>timolol</w:t>
            </w:r>
            <w:proofErr w:type="spellEnd"/>
            <w:r w:rsidRPr="00060DE0">
              <w:rPr>
                <w:rFonts w:cs="Arial"/>
                <w:sz w:val="18"/>
                <w:szCs w:val="18"/>
              </w:rPr>
              <w:t xml:space="preserve"> patients had worsening of visual fields &gt;5 dB from baseline.</w:t>
            </w:r>
          </w:p>
        </w:tc>
      </w:tr>
      <w:tr w:rsidR="0051469C" w:rsidRPr="00060DE0" w:rsidTr="00E15C8D">
        <w:trPr>
          <w:cantSplit/>
          <w:jc w:val="center"/>
        </w:trPr>
        <w:tc>
          <w:tcPr>
            <w:tcW w:w="587" w:type="pct"/>
          </w:tcPr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proofErr w:type="spellStart"/>
            <w:r w:rsidRPr="00060DE0">
              <w:rPr>
                <w:rFonts w:cs="Arial"/>
                <w:sz w:val="18"/>
                <w:szCs w:val="18"/>
              </w:rPr>
              <w:t>Messmer</w:t>
            </w:r>
            <w:proofErr w:type="spellEnd"/>
          </w:p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>1991</w:t>
            </w:r>
            <w:r w:rsidR="00607352">
              <w:rPr>
                <w:rFonts w:cs="Arial"/>
                <w:sz w:val="18"/>
                <w:szCs w:val="18"/>
              </w:rPr>
              <w:fldChar w:fldCharType="begin"/>
            </w:r>
            <w:r>
              <w:rPr>
                <w:rFonts w:cs="Arial"/>
                <w:sz w:val="18"/>
                <w:szCs w:val="18"/>
              </w:rPr>
              <w:instrText xml:space="preserve"> QUOTE "</w:instrText>
            </w:r>
            <w:r>
              <w:rPr>
                <w:rFonts w:cs="Arial"/>
                <w:sz w:val="18"/>
                <w:szCs w:val="18"/>
                <w:vertAlign w:val="superscript"/>
              </w:rPr>
              <w:instrText>62</w:instrText>
            </w:r>
            <w:r>
              <w:rPr>
                <w:rFonts w:cs="Arial"/>
                <w:sz w:val="18"/>
                <w:szCs w:val="18"/>
              </w:rPr>
              <w:instrText xml:space="preserve">" </w:instrText>
            </w:r>
            <w:r w:rsidR="00607352" w:rsidRPr="00AE2097">
              <w:rPr>
                <w:rFonts w:cs="Arial"/>
                <w:vanish/>
                <w:sz w:val="18"/>
                <w:szCs w:val="18"/>
              </w:rPr>
              <w:fldChar w:fldCharType="begin"/>
            </w:r>
            <w:r w:rsidRPr="00AE2097">
              <w:rPr>
                <w:rFonts w:cs="Arial"/>
                <w:vanish/>
                <w:sz w:val="18"/>
                <w:szCs w:val="18"/>
              </w:rPr>
              <w:instrText xml:space="preserve"> ADDIN PROCITE ÿ\11\05‘\19\02\00\00\00\0262\01\01\00\02\00\00\01\00\00\00\1BM_\00\00\00\00`dÚ\01ÐèÙ\01\01\00\00\008\00\00\00\00\00\00\008\00\00\00)\15\00\00;Y:\5CGlaucoma\5CDatabase\5CTreatment\5CDec 2\5CGlaucoma-Treatment.pdt#Messmer, Flammer, et al. 1991 #5407\00#\00 </w:instrText>
            </w:r>
            <w:r w:rsidR="00607352" w:rsidRPr="00AE2097">
              <w:rPr>
                <w:rFonts w:cs="Arial"/>
                <w:vanish/>
                <w:sz w:val="18"/>
                <w:szCs w:val="18"/>
              </w:rPr>
              <w:fldChar w:fldCharType="end"/>
            </w:r>
            <w:r w:rsidR="00607352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  <w:vertAlign w:val="superscript"/>
              </w:rPr>
              <w:t>62</w:t>
            </w:r>
            <w:r w:rsidR="0060735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809" w:type="pct"/>
          </w:tcPr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proofErr w:type="spellStart"/>
            <w:r w:rsidRPr="00060DE0">
              <w:rPr>
                <w:rFonts w:cs="Arial"/>
                <w:sz w:val="18"/>
                <w:szCs w:val="18"/>
              </w:rPr>
              <w:t>Betaxolol</w:t>
            </w:r>
            <w:proofErr w:type="spellEnd"/>
            <w:r w:rsidRPr="00060DE0">
              <w:rPr>
                <w:rFonts w:cs="Arial"/>
                <w:sz w:val="18"/>
                <w:szCs w:val="18"/>
              </w:rPr>
              <w:t xml:space="preserve"> 0.5%</w:t>
            </w:r>
          </w:p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proofErr w:type="spellStart"/>
            <w:r w:rsidRPr="00060DE0">
              <w:rPr>
                <w:rFonts w:cs="Arial"/>
                <w:sz w:val="18"/>
                <w:szCs w:val="18"/>
              </w:rPr>
              <w:t>Timolol</w:t>
            </w:r>
            <w:proofErr w:type="spellEnd"/>
            <w:r w:rsidRPr="00060DE0">
              <w:rPr>
                <w:rFonts w:cs="Arial"/>
                <w:sz w:val="18"/>
                <w:szCs w:val="18"/>
              </w:rPr>
              <w:t xml:space="preserve"> 0.5%</w:t>
            </w:r>
          </w:p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16" w:type="pct"/>
          </w:tcPr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>2.2</w:t>
            </w:r>
          </w:p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>3.4</w:t>
            </w:r>
          </w:p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50" w:type="pct"/>
          </w:tcPr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>Not reported</w:t>
            </w:r>
          </w:p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638" w:type="pct"/>
          </w:tcPr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 xml:space="preserve">In both treatment groups, visual fields tended to improve in the first 6 months and then remained stable or deteriorated. The treatment effect on visual fields was better in </w:t>
            </w:r>
            <w:proofErr w:type="spellStart"/>
            <w:r w:rsidRPr="00060DE0">
              <w:rPr>
                <w:rFonts w:cs="Arial"/>
                <w:sz w:val="18"/>
                <w:szCs w:val="18"/>
              </w:rPr>
              <w:t>betaxolol</w:t>
            </w:r>
            <w:proofErr w:type="spellEnd"/>
            <w:r w:rsidRPr="00060DE0">
              <w:rPr>
                <w:rFonts w:cs="Arial"/>
                <w:sz w:val="18"/>
                <w:szCs w:val="18"/>
              </w:rPr>
              <w:t xml:space="preserve"> group than in the </w:t>
            </w:r>
            <w:proofErr w:type="spellStart"/>
            <w:r w:rsidRPr="00060DE0">
              <w:rPr>
                <w:rFonts w:cs="Arial"/>
                <w:sz w:val="18"/>
                <w:szCs w:val="18"/>
              </w:rPr>
              <w:t>timolol</w:t>
            </w:r>
            <w:proofErr w:type="spellEnd"/>
            <w:r w:rsidRPr="00060DE0">
              <w:rPr>
                <w:rFonts w:cs="Arial"/>
                <w:sz w:val="18"/>
                <w:szCs w:val="18"/>
              </w:rPr>
              <w:t xml:space="preserve"> group</w:t>
            </w:r>
          </w:p>
        </w:tc>
      </w:tr>
      <w:tr w:rsidR="0051469C" w:rsidRPr="00060DE0" w:rsidTr="00E15C8D">
        <w:trPr>
          <w:cantSplit/>
          <w:jc w:val="center"/>
        </w:trPr>
        <w:tc>
          <w:tcPr>
            <w:tcW w:w="587" w:type="pct"/>
          </w:tcPr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proofErr w:type="spellStart"/>
            <w:r w:rsidRPr="00060DE0">
              <w:rPr>
                <w:rFonts w:cs="Arial"/>
                <w:sz w:val="18"/>
                <w:szCs w:val="18"/>
              </w:rPr>
              <w:t>Miglior</w:t>
            </w:r>
            <w:proofErr w:type="spellEnd"/>
          </w:p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>2005</w:t>
            </w:r>
            <w:r w:rsidR="00607352">
              <w:rPr>
                <w:rFonts w:cs="Arial"/>
                <w:sz w:val="18"/>
                <w:szCs w:val="18"/>
              </w:rPr>
              <w:fldChar w:fldCharType="begin"/>
            </w:r>
            <w:r>
              <w:rPr>
                <w:rFonts w:cs="Arial"/>
                <w:sz w:val="18"/>
                <w:szCs w:val="18"/>
              </w:rPr>
              <w:instrText xml:space="preserve"> QUOTE "</w:instrText>
            </w:r>
            <w:r>
              <w:rPr>
                <w:rFonts w:cs="Arial"/>
                <w:sz w:val="18"/>
                <w:szCs w:val="18"/>
                <w:vertAlign w:val="superscript"/>
              </w:rPr>
              <w:instrText>64</w:instrText>
            </w:r>
            <w:r>
              <w:rPr>
                <w:rFonts w:cs="Arial"/>
                <w:sz w:val="18"/>
                <w:szCs w:val="18"/>
              </w:rPr>
              <w:instrText xml:space="preserve">" </w:instrText>
            </w:r>
            <w:r w:rsidR="00607352" w:rsidRPr="00AE2097">
              <w:rPr>
                <w:rFonts w:cs="Arial"/>
                <w:vanish/>
                <w:sz w:val="18"/>
                <w:szCs w:val="18"/>
              </w:rPr>
              <w:fldChar w:fldCharType="begin"/>
            </w:r>
            <w:r w:rsidRPr="00AE2097">
              <w:rPr>
                <w:rFonts w:cs="Arial"/>
                <w:vanish/>
                <w:sz w:val="18"/>
                <w:szCs w:val="18"/>
              </w:rPr>
              <w:instrText xml:space="preserve"> ADDIN PROCITE ÿ\11\05‘\19\02\00\00\00\0264\01\01\00\02\00\00\01\00\00\00\1BM_\00\00\00\00ø‰\12\01¨\00{\01\01\00\00\008\00\00\00\00\00\00\008\00\00\00\06\08\00\00;Y:\5CGlaucoma\5CDatabase\5CTreatment\5CDec 2\5CGlaucoma-Treatment.pdt!Miglior, Zeyen, et al. 2005 #2052\00!\00 </w:instrText>
            </w:r>
            <w:r w:rsidR="00607352" w:rsidRPr="00AE2097">
              <w:rPr>
                <w:rFonts w:cs="Arial"/>
                <w:vanish/>
                <w:sz w:val="18"/>
                <w:szCs w:val="18"/>
              </w:rPr>
              <w:fldChar w:fldCharType="end"/>
            </w:r>
            <w:r w:rsidR="00607352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  <w:vertAlign w:val="superscript"/>
              </w:rPr>
              <w:t>64</w:t>
            </w:r>
            <w:r w:rsidR="0060735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809" w:type="pct"/>
          </w:tcPr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proofErr w:type="spellStart"/>
            <w:r w:rsidRPr="00060DE0">
              <w:rPr>
                <w:rFonts w:cs="Arial"/>
                <w:sz w:val="18"/>
                <w:szCs w:val="18"/>
              </w:rPr>
              <w:t>Dorzalamide</w:t>
            </w:r>
            <w:proofErr w:type="spellEnd"/>
          </w:p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>Placebo</w:t>
            </w:r>
          </w:p>
        </w:tc>
        <w:tc>
          <w:tcPr>
            <w:tcW w:w="1016" w:type="pct"/>
          </w:tcPr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>Not reported</w:t>
            </w:r>
          </w:p>
        </w:tc>
        <w:tc>
          <w:tcPr>
            <w:tcW w:w="950" w:type="pct"/>
          </w:tcPr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>Not reported</w:t>
            </w:r>
          </w:p>
        </w:tc>
        <w:tc>
          <w:tcPr>
            <w:tcW w:w="1638" w:type="pct"/>
          </w:tcPr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 xml:space="preserve">Visual field progression 38/407 in placebo group, 26/345 in </w:t>
            </w:r>
            <w:proofErr w:type="spellStart"/>
            <w:r w:rsidRPr="00060DE0">
              <w:rPr>
                <w:rFonts w:cs="Arial"/>
                <w:sz w:val="18"/>
                <w:szCs w:val="18"/>
              </w:rPr>
              <w:t>dorzolamide</w:t>
            </w:r>
            <w:proofErr w:type="spellEnd"/>
            <w:r w:rsidRPr="00060DE0">
              <w:rPr>
                <w:rFonts w:cs="Arial"/>
                <w:sz w:val="18"/>
                <w:szCs w:val="18"/>
              </w:rPr>
              <w:t xml:space="preserve"> group.</w:t>
            </w:r>
          </w:p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 xml:space="preserve">Optic disc progression in 22/407 in placebo group, 20/345 in </w:t>
            </w:r>
            <w:proofErr w:type="spellStart"/>
            <w:r w:rsidRPr="00060DE0">
              <w:rPr>
                <w:rFonts w:cs="Arial"/>
                <w:sz w:val="18"/>
                <w:szCs w:val="18"/>
              </w:rPr>
              <w:t>dorzolamide</w:t>
            </w:r>
            <w:proofErr w:type="spellEnd"/>
            <w:r w:rsidRPr="00060DE0">
              <w:rPr>
                <w:rFonts w:cs="Arial"/>
                <w:sz w:val="18"/>
                <w:szCs w:val="18"/>
              </w:rPr>
              <w:t xml:space="preserve"> group.</w:t>
            </w:r>
          </w:p>
        </w:tc>
      </w:tr>
      <w:tr w:rsidR="0051469C" w:rsidRPr="00060DE0" w:rsidTr="00E15C8D">
        <w:trPr>
          <w:cantSplit/>
          <w:jc w:val="center"/>
        </w:trPr>
        <w:tc>
          <w:tcPr>
            <w:tcW w:w="587" w:type="pct"/>
          </w:tcPr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proofErr w:type="spellStart"/>
            <w:r w:rsidRPr="00060DE0">
              <w:rPr>
                <w:rFonts w:cs="Arial"/>
                <w:sz w:val="18"/>
                <w:szCs w:val="18"/>
              </w:rPr>
              <w:t>Mirza</w:t>
            </w:r>
            <w:proofErr w:type="spellEnd"/>
          </w:p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>2000</w:t>
            </w:r>
            <w:r w:rsidR="00607352">
              <w:rPr>
                <w:rFonts w:cs="Arial"/>
                <w:sz w:val="18"/>
                <w:szCs w:val="18"/>
              </w:rPr>
              <w:fldChar w:fldCharType="begin"/>
            </w:r>
            <w:r>
              <w:rPr>
                <w:rFonts w:cs="Arial"/>
                <w:sz w:val="18"/>
                <w:szCs w:val="18"/>
              </w:rPr>
              <w:instrText xml:space="preserve"> QUOTE "</w:instrText>
            </w:r>
            <w:r>
              <w:rPr>
                <w:rFonts w:cs="Arial"/>
                <w:sz w:val="18"/>
                <w:szCs w:val="18"/>
                <w:vertAlign w:val="superscript"/>
              </w:rPr>
              <w:instrText>65</w:instrText>
            </w:r>
            <w:r>
              <w:rPr>
                <w:rFonts w:cs="Arial"/>
                <w:sz w:val="18"/>
                <w:szCs w:val="18"/>
              </w:rPr>
              <w:instrText xml:space="preserve">" </w:instrText>
            </w:r>
            <w:r w:rsidR="00607352" w:rsidRPr="00AE2097">
              <w:rPr>
                <w:rFonts w:cs="Arial"/>
                <w:vanish/>
                <w:sz w:val="18"/>
                <w:szCs w:val="18"/>
              </w:rPr>
              <w:fldChar w:fldCharType="begin"/>
            </w:r>
            <w:r w:rsidRPr="00AE2097">
              <w:rPr>
                <w:rFonts w:cs="Arial"/>
                <w:vanish/>
                <w:sz w:val="18"/>
                <w:szCs w:val="18"/>
              </w:rPr>
              <w:instrText xml:space="preserve"> ADDIN PROCITE ÿ\11\05‘\19\02\00\00\00\0265\01\01\00\02\00\00\01\00\00\00\1BM_\00\00\00\00\08Ž\0F\01à\00{\01\01\00\00\008\00\00\00\00\00\00\008\00\00\00Q\0E\00\00;Y:\5CGlaucoma\5CDatabase\5CTreatment\5CDec 2\5CGlaucoma-Treatment.pdt#Mirza, Karakucuk, et al. 2000 #3658\00#\00 </w:instrText>
            </w:r>
            <w:r w:rsidR="00607352" w:rsidRPr="00AE2097">
              <w:rPr>
                <w:rFonts w:cs="Arial"/>
                <w:vanish/>
                <w:sz w:val="18"/>
                <w:szCs w:val="18"/>
              </w:rPr>
              <w:fldChar w:fldCharType="end"/>
            </w:r>
            <w:r w:rsidR="00607352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  <w:vertAlign w:val="superscript"/>
              </w:rPr>
              <w:t>65</w:t>
            </w:r>
            <w:r w:rsidR="00607352">
              <w:rPr>
                <w:rFonts w:cs="Arial"/>
                <w:sz w:val="18"/>
                <w:szCs w:val="18"/>
              </w:rPr>
              <w:fldChar w:fldCharType="end"/>
            </w:r>
          </w:p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09" w:type="pct"/>
          </w:tcPr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proofErr w:type="spellStart"/>
            <w:r w:rsidRPr="00060DE0">
              <w:rPr>
                <w:rFonts w:cs="Arial"/>
                <w:sz w:val="18"/>
                <w:szCs w:val="18"/>
              </w:rPr>
              <w:t>Timolol</w:t>
            </w:r>
            <w:proofErr w:type="spellEnd"/>
            <w:r w:rsidRPr="00060DE0">
              <w:rPr>
                <w:rFonts w:cs="Arial"/>
                <w:sz w:val="18"/>
                <w:szCs w:val="18"/>
              </w:rPr>
              <w:t xml:space="preserve"> 0.5%</w:t>
            </w:r>
          </w:p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proofErr w:type="spellStart"/>
            <w:r w:rsidRPr="00060DE0">
              <w:rPr>
                <w:rFonts w:cs="Arial"/>
                <w:sz w:val="18"/>
                <w:szCs w:val="18"/>
              </w:rPr>
              <w:t>Carteolol</w:t>
            </w:r>
            <w:proofErr w:type="spellEnd"/>
            <w:r w:rsidRPr="00060DE0">
              <w:rPr>
                <w:rFonts w:cs="Arial"/>
                <w:sz w:val="18"/>
                <w:szCs w:val="18"/>
              </w:rPr>
              <w:t xml:space="preserve"> 2%</w:t>
            </w:r>
          </w:p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proofErr w:type="spellStart"/>
            <w:r w:rsidRPr="00060DE0">
              <w:rPr>
                <w:rFonts w:cs="Arial"/>
                <w:sz w:val="18"/>
                <w:szCs w:val="18"/>
              </w:rPr>
              <w:t>Metipranolol</w:t>
            </w:r>
            <w:proofErr w:type="spellEnd"/>
            <w:r w:rsidRPr="00060DE0">
              <w:rPr>
                <w:rFonts w:cs="Arial"/>
                <w:sz w:val="18"/>
                <w:szCs w:val="18"/>
              </w:rPr>
              <w:t xml:space="preserve"> 0.3%</w:t>
            </w:r>
          </w:p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16" w:type="pct"/>
          </w:tcPr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>5.0</w:t>
            </w:r>
          </w:p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>3.4</w:t>
            </w:r>
          </w:p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>3.8</w:t>
            </w:r>
          </w:p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>3 months</w:t>
            </w:r>
          </w:p>
        </w:tc>
        <w:tc>
          <w:tcPr>
            <w:tcW w:w="950" w:type="pct"/>
          </w:tcPr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>4.9±3.0</w:t>
            </w:r>
          </w:p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>3.9±2.5</w:t>
            </w:r>
          </w:p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>3.1±1.9</w:t>
            </w:r>
          </w:p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638" w:type="pct"/>
          </w:tcPr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>No significant differences between groups</w:t>
            </w:r>
          </w:p>
        </w:tc>
      </w:tr>
      <w:tr w:rsidR="0051469C" w:rsidRPr="00060DE0" w:rsidTr="00E15C8D">
        <w:trPr>
          <w:cantSplit/>
          <w:jc w:val="center"/>
        </w:trPr>
        <w:tc>
          <w:tcPr>
            <w:tcW w:w="587" w:type="pct"/>
          </w:tcPr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proofErr w:type="spellStart"/>
            <w:r w:rsidRPr="00060DE0">
              <w:rPr>
                <w:rFonts w:cs="Arial"/>
                <w:sz w:val="18"/>
                <w:szCs w:val="18"/>
              </w:rPr>
              <w:t>Prata</w:t>
            </w:r>
            <w:proofErr w:type="spellEnd"/>
          </w:p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>2009</w:t>
            </w:r>
            <w:r w:rsidR="00607352">
              <w:rPr>
                <w:rFonts w:cs="Arial"/>
                <w:sz w:val="18"/>
                <w:szCs w:val="18"/>
              </w:rPr>
              <w:fldChar w:fldCharType="begin"/>
            </w:r>
            <w:r>
              <w:rPr>
                <w:rFonts w:cs="Arial"/>
                <w:sz w:val="18"/>
                <w:szCs w:val="18"/>
              </w:rPr>
              <w:instrText xml:space="preserve"> QUOTE "</w:instrText>
            </w:r>
            <w:r>
              <w:rPr>
                <w:rFonts w:cs="Arial"/>
                <w:sz w:val="18"/>
                <w:szCs w:val="18"/>
                <w:vertAlign w:val="superscript"/>
              </w:rPr>
              <w:instrText>69</w:instrText>
            </w:r>
            <w:r>
              <w:rPr>
                <w:rFonts w:cs="Arial"/>
                <w:sz w:val="18"/>
                <w:szCs w:val="18"/>
              </w:rPr>
              <w:instrText xml:space="preserve">" </w:instrText>
            </w:r>
            <w:r w:rsidR="00607352" w:rsidRPr="00AE2097">
              <w:rPr>
                <w:rFonts w:cs="Arial"/>
                <w:vanish/>
                <w:sz w:val="18"/>
                <w:szCs w:val="18"/>
              </w:rPr>
              <w:fldChar w:fldCharType="begin"/>
            </w:r>
            <w:r w:rsidRPr="00AE2097">
              <w:rPr>
                <w:rFonts w:cs="Arial"/>
                <w:vanish/>
                <w:sz w:val="18"/>
                <w:szCs w:val="18"/>
              </w:rPr>
              <w:instrText xml:space="preserve"> ADDIN PROCITE ÿ\11\05‘\19\02\00\00\00\0269\01\01\00\02\00\00\01\00\00\00\1BM_\00\00\00\000¨\0F\01`â\0F\01\01\00\00\008\00\00\00\00\00\00\008\00\00\002\03\00\00;Y:\5CGlaucoma\5CDatabase\5CTreatment\5CDec 2\5CGlaucoma-Treatment.pdt\1FPrata, Piassi, et al. 2009 #817\00\1F\00 </w:instrText>
            </w:r>
            <w:r w:rsidR="00607352" w:rsidRPr="00AE2097">
              <w:rPr>
                <w:rFonts w:cs="Arial"/>
                <w:vanish/>
                <w:sz w:val="18"/>
                <w:szCs w:val="18"/>
              </w:rPr>
              <w:fldChar w:fldCharType="end"/>
            </w:r>
            <w:r w:rsidR="00607352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  <w:vertAlign w:val="superscript"/>
              </w:rPr>
              <w:t>69</w:t>
            </w:r>
            <w:r w:rsidR="00607352">
              <w:rPr>
                <w:rFonts w:cs="Arial"/>
                <w:sz w:val="18"/>
                <w:szCs w:val="18"/>
              </w:rPr>
              <w:fldChar w:fldCharType="end"/>
            </w:r>
          </w:p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09" w:type="pct"/>
          </w:tcPr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proofErr w:type="spellStart"/>
            <w:r w:rsidRPr="00060DE0">
              <w:rPr>
                <w:rFonts w:cs="Arial"/>
                <w:sz w:val="18"/>
                <w:szCs w:val="18"/>
              </w:rPr>
              <w:t>Timolol</w:t>
            </w:r>
            <w:proofErr w:type="spellEnd"/>
            <w:r w:rsidRPr="00060DE0">
              <w:rPr>
                <w:rFonts w:cs="Arial"/>
                <w:sz w:val="18"/>
                <w:szCs w:val="18"/>
              </w:rPr>
              <w:t xml:space="preserve"> 0.5%</w:t>
            </w:r>
          </w:p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</w:p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proofErr w:type="spellStart"/>
            <w:r w:rsidRPr="00060DE0">
              <w:rPr>
                <w:rFonts w:cs="Arial"/>
                <w:sz w:val="18"/>
                <w:szCs w:val="18"/>
              </w:rPr>
              <w:t>Brimonidine</w:t>
            </w:r>
            <w:proofErr w:type="spellEnd"/>
            <w:r w:rsidRPr="00060DE0">
              <w:rPr>
                <w:rFonts w:cs="Arial"/>
                <w:sz w:val="18"/>
                <w:szCs w:val="18"/>
              </w:rPr>
              <w:t xml:space="preserve"> 0.2%</w:t>
            </w:r>
          </w:p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</w:p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proofErr w:type="spellStart"/>
            <w:r w:rsidRPr="00060DE0">
              <w:rPr>
                <w:rFonts w:cs="Arial"/>
                <w:sz w:val="18"/>
                <w:szCs w:val="18"/>
              </w:rPr>
              <w:t>Travoprost</w:t>
            </w:r>
            <w:proofErr w:type="spellEnd"/>
            <w:r w:rsidRPr="00060DE0">
              <w:rPr>
                <w:rFonts w:cs="Arial"/>
                <w:sz w:val="18"/>
                <w:szCs w:val="18"/>
              </w:rPr>
              <w:t xml:space="preserve"> 0.004%</w:t>
            </w:r>
          </w:p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16" w:type="pct"/>
          </w:tcPr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>-6.84</w:t>
            </w:r>
          </w:p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</w:p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>-5.45</w:t>
            </w:r>
          </w:p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</w:p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>-7.10</w:t>
            </w:r>
          </w:p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50" w:type="pct"/>
          </w:tcPr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>1.01±2.53</w:t>
            </w:r>
          </w:p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</w:p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>0.68±2.70</w:t>
            </w:r>
          </w:p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</w:p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>0.81±2.32</w:t>
            </w:r>
          </w:p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>Mean improvement in MD at 1 month</w:t>
            </w:r>
          </w:p>
        </w:tc>
        <w:tc>
          <w:tcPr>
            <w:tcW w:w="1638" w:type="pct"/>
          </w:tcPr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>Significant improvement in MD from baseline to 1 month in all three arms.</w:t>
            </w:r>
          </w:p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 xml:space="preserve">In the </w:t>
            </w:r>
            <w:proofErr w:type="spellStart"/>
            <w:r w:rsidRPr="00060DE0">
              <w:rPr>
                <w:rFonts w:cs="Arial"/>
                <w:sz w:val="18"/>
                <w:szCs w:val="18"/>
              </w:rPr>
              <w:t>travoprost</w:t>
            </w:r>
            <w:proofErr w:type="spellEnd"/>
            <w:r w:rsidRPr="00060DE0">
              <w:rPr>
                <w:rFonts w:cs="Arial"/>
                <w:sz w:val="18"/>
                <w:szCs w:val="18"/>
              </w:rPr>
              <w:t xml:space="preserve"> group alone there was a mean (0.81±2.32 ) improvement of nerve damage</w:t>
            </w:r>
          </w:p>
        </w:tc>
      </w:tr>
      <w:tr w:rsidR="0051469C" w:rsidRPr="00060DE0" w:rsidTr="00E15C8D">
        <w:trPr>
          <w:cantSplit/>
          <w:jc w:val="center"/>
        </w:trPr>
        <w:tc>
          <w:tcPr>
            <w:tcW w:w="587" w:type="pct"/>
          </w:tcPr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>Rainer</w:t>
            </w:r>
          </w:p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>2003</w:t>
            </w:r>
            <w:r w:rsidR="00607352">
              <w:rPr>
                <w:rFonts w:cs="Arial"/>
                <w:sz w:val="18"/>
                <w:szCs w:val="18"/>
              </w:rPr>
              <w:fldChar w:fldCharType="begin"/>
            </w:r>
            <w:r>
              <w:rPr>
                <w:rFonts w:cs="Arial"/>
                <w:sz w:val="18"/>
                <w:szCs w:val="18"/>
              </w:rPr>
              <w:instrText xml:space="preserve"> QUOTE "</w:instrText>
            </w:r>
            <w:r>
              <w:rPr>
                <w:rFonts w:cs="Arial"/>
                <w:sz w:val="18"/>
                <w:szCs w:val="18"/>
                <w:vertAlign w:val="superscript"/>
              </w:rPr>
              <w:instrText>73</w:instrText>
            </w:r>
            <w:r>
              <w:rPr>
                <w:rFonts w:cs="Arial"/>
                <w:sz w:val="18"/>
                <w:szCs w:val="18"/>
              </w:rPr>
              <w:instrText xml:space="preserve">" </w:instrText>
            </w:r>
            <w:r w:rsidR="00607352" w:rsidRPr="00AE2097">
              <w:rPr>
                <w:rFonts w:cs="Arial"/>
                <w:vanish/>
                <w:sz w:val="18"/>
                <w:szCs w:val="18"/>
              </w:rPr>
              <w:fldChar w:fldCharType="begin"/>
            </w:r>
            <w:r w:rsidRPr="00AE2097">
              <w:rPr>
                <w:rFonts w:cs="Arial"/>
                <w:vanish/>
                <w:sz w:val="18"/>
                <w:szCs w:val="18"/>
              </w:rPr>
              <w:instrText xml:space="preserve"> ADDIN PROCITE ÿ\11\05‘\19\02\00\00\00\0273\01\01\00\02\00\00\01\00\00\00\1BM_\00\00\00\00€©\0F\01˜â\0F\01\01\00\00\008\00\00\00\00\00\00\008\00\00\00P\0A\00\00;Y:\5CGlaucoma\5CDatabase\5CTreatment\5CDec 2\5CGlaucoma-Treatment.pdt!Rainer, Dorner, et al. 2003 #2637\00!\00 </w:instrText>
            </w:r>
            <w:r w:rsidR="00607352" w:rsidRPr="00AE2097">
              <w:rPr>
                <w:rFonts w:cs="Arial"/>
                <w:vanish/>
                <w:sz w:val="18"/>
                <w:szCs w:val="18"/>
              </w:rPr>
              <w:fldChar w:fldCharType="end"/>
            </w:r>
            <w:r w:rsidR="00607352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  <w:vertAlign w:val="superscript"/>
              </w:rPr>
              <w:t>73</w:t>
            </w:r>
            <w:r w:rsidR="00607352">
              <w:rPr>
                <w:rFonts w:cs="Arial"/>
                <w:sz w:val="18"/>
                <w:szCs w:val="18"/>
              </w:rPr>
              <w:fldChar w:fldCharType="end"/>
            </w:r>
          </w:p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</w:p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09" w:type="pct"/>
          </w:tcPr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proofErr w:type="spellStart"/>
            <w:r w:rsidRPr="00060DE0">
              <w:rPr>
                <w:rFonts w:cs="Arial"/>
                <w:sz w:val="18"/>
                <w:szCs w:val="18"/>
              </w:rPr>
              <w:t>Betaxolol</w:t>
            </w:r>
            <w:proofErr w:type="spellEnd"/>
            <w:r w:rsidRPr="00060DE0">
              <w:rPr>
                <w:rFonts w:cs="Arial"/>
                <w:sz w:val="18"/>
                <w:szCs w:val="18"/>
              </w:rPr>
              <w:t xml:space="preserve"> 0.25%</w:t>
            </w:r>
          </w:p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proofErr w:type="spellStart"/>
            <w:r w:rsidRPr="00060DE0">
              <w:rPr>
                <w:rFonts w:cs="Arial"/>
                <w:sz w:val="18"/>
                <w:szCs w:val="18"/>
              </w:rPr>
              <w:t>Timolol</w:t>
            </w:r>
            <w:proofErr w:type="spellEnd"/>
            <w:r w:rsidRPr="00060DE0">
              <w:rPr>
                <w:rFonts w:cs="Arial"/>
                <w:sz w:val="18"/>
                <w:szCs w:val="18"/>
              </w:rPr>
              <w:t xml:space="preserve"> 0.5%</w:t>
            </w:r>
          </w:p>
        </w:tc>
        <w:tc>
          <w:tcPr>
            <w:tcW w:w="1016" w:type="pct"/>
          </w:tcPr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>-3.6</w:t>
            </w:r>
          </w:p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>-2.9</w:t>
            </w:r>
          </w:p>
        </w:tc>
        <w:tc>
          <w:tcPr>
            <w:tcW w:w="950" w:type="pct"/>
          </w:tcPr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>-2.6±6.1</w:t>
            </w:r>
          </w:p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>-2.3±3.4</w:t>
            </w:r>
          </w:p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>3 months</w:t>
            </w:r>
          </w:p>
        </w:tc>
        <w:tc>
          <w:tcPr>
            <w:tcW w:w="1638" w:type="pct"/>
          </w:tcPr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>No significant differences between groups.</w:t>
            </w:r>
          </w:p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 xml:space="preserve">Significant difference from baseline to 3 months in </w:t>
            </w:r>
            <w:proofErr w:type="spellStart"/>
            <w:r w:rsidRPr="00060DE0">
              <w:rPr>
                <w:rFonts w:cs="Arial"/>
                <w:sz w:val="18"/>
                <w:szCs w:val="18"/>
              </w:rPr>
              <w:t>Betaxolol</w:t>
            </w:r>
            <w:proofErr w:type="spellEnd"/>
            <w:r w:rsidRPr="00060DE0">
              <w:rPr>
                <w:rFonts w:cs="Arial"/>
                <w:sz w:val="18"/>
                <w:szCs w:val="18"/>
              </w:rPr>
              <w:t xml:space="preserve"> group only</w:t>
            </w:r>
          </w:p>
        </w:tc>
      </w:tr>
      <w:tr w:rsidR="0051469C" w:rsidRPr="00060DE0" w:rsidTr="00E15C8D">
        <w:trPr>
          <w:cantSplit/>
          <w:jc w:val="center"/>
        </w:trPr>
        <w:tc>
          <w:tcPr>
            <w:tcW w:w="587" w:type="pct"/>
          </w:tcPr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proofErr w:type="spellStart"/>
            <w:r w:rsidRPr="00060DE0">
              <w:rPr>
                <w:rFonts w:cs="Arial"/>
                <w:sz w:val="18"/>
                <w:szCs w:val="18"/>
              </w:rPr>
              <w:lastRenderedPageBreak/>
              <w:t>Tuulonen</w:t>
            </w:r>
            <w:proofErr w:type="spellEnd"/>
          </w:p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>1989</w:t>
            </w:r>
            <w:r w:rsidR="00607352">
              <w:rPr>
                <w:rFonts w:cs="Arial"/>
                <w:sz w:val="18"/>
                <w:szCs w:val="18"/>
              </w:rPr>
              <w:fldChar w:fldCharType="begin"/>
            </w:r>
            <w:r>
              <w:rPr>
                <w:rFonts w:cs="Arial"/>
                <w:sz w:val="18"/>
                <w:szCs w:val="18"/>
              </w:rPr>
              <w:instrText xml:space="preserve"> QUOTE "</w:instrText>
            </w:r>
            <w:r>
              <w:rPr>
                <w:rFonts w:cs="Arial"/>
                <w:sz w:val="18"/>
                <w:szCs w:val="18"/>
                <w:vertAlign w:val="superscript"/>
              </w:rPr>
              <w:instrText>93</w:instrText>
            </w:r>
            <w:r>
              <w:rPr>
                <w:rFonts w:cs="Arial"/>
                <w:sz w:val="18"/>
                <w:szCs w:val="18"/>
              </w:rPr>
              <w:instrText xml:space="preserve">" </w:instrText>
            </w:r>
            <w:r w:rsidR="00607352" w:rsidRPr="00AE2097">
              <w:rPr>
                <w:rFonts w:cs="Arial"/>
                <w:vanish/>
                <w:sz w:val="18"/>
                <w:szCs w:val="18"/>
              </w:rPr>
              <w:fldChar w:fldCharType="begin"/>
            </w:r>
            <w:r w:rsidRPr="00AE2097">
              <w:rPr>
                <w:rFonts w:cs="Arial"/>
                <w:vanish/>
                <w:sz w:val="18"/>
                <w:szCs w:val="18"/>
              </w:rPr>
              <w:instrText xml:space="preserve"> ADDIN PROCITE ÿ\11\05‘\19\02\00\00\00\0293\01\01\00\02\00\00\01\00\00\00\1BM_\00\00\00\008ˆ\12\01ÐY\10\01\01\00\00\008\00\00\00\00\00\00\008\00\00\00‰\16\00\00;Y:\5CGlaucoma\5CDatabase\5CTreatment\5CDec 2\5CGlaucoma-Treatment.pdt$Tuulonen, Koponen, et al. 1989 #5758\00$\00 </w:instrText>
            </w:r>
            <w:r w:rsidR="00607352" w:rsidRPr="00AE2097">
              <w:rPr>
                <w:rFonts w:cs="Arial"/>
                <w:vanish/>
                <w:sz w:val="18"/>
                <w:szCs w:val="18"/>
              </w:rPr>
              <w:fldChar w:fldCharType="end"/>
            </w:r>
            <w:r w:rsidR="00607352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  <w:vertAlign w:val="superscript"/>
              </w:rPr>
              <w:t>93</w:t>
            </w:r>
            <w:r w:rsidR="0060735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809" w:type="pct"/>
          </w:tcPr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>Laser</w:t>
            </w:r>
          </w:p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>Medical</w:t>
            </w:r>
          </w:p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16" w:type="pct"/>
          </w:tcPr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>-7.4 ± 9.0</w:t>
            </w:r>
          </w:p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>-9.1 ± 6.1</w:t>
            </w:r>
          </w:p>
        </w:tc>
        <w:tc>
          <w:tcPr>
            <w:tcW w:w="950" w:type="pct"/>
          </w:tcPr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>-8.6  ± 9.7</w:t>
            </w:r>
          </w:p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>-9.4 ± 8.5</w:t>
            </w:r>
          </w:p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>At 12 months</w:t>
            </w:r>
          </w:p>
        </w:tc>
        <w:tc>
          <w:tcPr>
            <w:tcW w:w="1638" w:type="pct"/>
          </w:tcPr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>No significant differences between group</w:t>
            </w:r>
          </w:p>
        </w:tc>
      </w:tr>
      <w:tr w:rsidR="0051469C" w:rsidRPr="00060DE0" w:rsidTr="00E15C8D">
        <w:trPr>
          <w:cantSplit/>
          <w:jc w:val="center"/>
        </w:trPr>
        <w:tc>
          <w:tcPr>
            <w:tcW w:w="587" w:type="pct"/>
          </w:tcPr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proofErr w:type="spellStart"/>
            <w:r w:rsidRPr="00060DE0">
              <w:rPr>
                <w:rFonts w:cs="Arial"/>
                <w:sz w:val="18"/>
                <w:szCs w:val="18"/>
              </w:rPr>
              <w:t>Vainio-Jylha</w:t>
            </w:r>
            <w:proofErr w:type="spellEnd"/>
          </w:p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>1999</w:t>
            </w:r>
            <w:r w:rsidR="00607352">
              <w:rPr>
                <w:rFonts w:cs="Arial"/>
                <w:sz w:val="18"/>
                <w:szCs w:val="18"/>
              </w:rPr>
              <w:fldChar w:fldCharType="begin"/>
            </w:r>
            <w:r>
              <w:rPr>
                <w:rFonts w:cs="Arial"/>
                <w:sz w:val="18"/>
                <w:szCs w:val="18"/>
              </w:rPr>
              <w:instrText xml:space="preserve"> QUOTE "</w:instrText>
            </w:r>
            <w:r>
              <w:rPr>
                <w:rFonts w:cs="Arial"/>
                <w:sz w:val="18"/>
                <w:szCs w:val="18"/>
                <w:vertAlign w:val="superscript"/>
              </w:rPr>
              <w:instrText>94</w:instrText>
            </w:r>
            <w:r>
              <w:rPr>
                <w:rFonts w:cs="Arial"/>
                <w:sz w:val="18"/>
                <w:szCs w:val="18"/>
              </w:rPr>
              <w:instrText xml:space="preserve">" </w:instrText>
            </w:r>
            <w:r w:rsidR="00607352" w:rsidRPr="00AE2097">
              <w:rPr>
                <w:rFonts w:cs="Arial"/>
                <w:vanish/>
                <w:sz w:val="18"/>
                <w:szCs w:val="18"/>
              </w:rPr>
              <w:fldChar w:fldCharType="begin"/>
            </w:r>
            <w:r w:rsidRPr="00AE2097">
              <w:rPr>
                <w:rFonts w:cs="Arial"/>
                <w:vanish/>
                <w:sz w:val="18"/>
                <w:szCs w:val="18"/>
              </w:rPr>
              <w:instrText xml:space="preserve"> ADDIN PROCITE ÿ\11\05‘\19\02\00\00\00\0294\01\01\00\02\00\00\01\00\00\00\1BM_\00\00\00\00¨éÙ\01\08Z\10\01\01\00\00\008\00\00\00\00\00\00\008\00\00\00s\0F\00\00;Y:\5CGlaucoma\5CDatabase\5CTreatment\5CDec 2\5CGlaucoma-Treatment.pdt\1FVainio-Jylha &amp; Vuori 1999 #3946\00\1F\00 </w:instrText>
            </w:r>
            <w:r w:rsidR="00607352" w:rsidRPr="00AE2097">
              <w:rPr>
                <w:rFonts w:cs="Arial"/>
                <w:vanish/>
                <w:sz w:val="18"/>
                <w:szCs w:val="18"/>
              </w:rPr>
              <w:fldChar w:fldCharType="end"/>
            </w:r>
            <w:r w:rsidR="00607352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  <w:vertAlign w:val="superscript"/>
              </w:rPr>
              <w:t>94</w:t>
            </w:r>
            <w:r w:rsidR="00607352">
              <w:rPr>
                <w:rFonts w:cs="Arial"/>
                <w:sz w:val="18"/>
                <w:szCs w:val="18"/>
              </w:rPr>
              <w:fldChar w:fldCharType="end"/>
            </w:r>
          </w:p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09" w:type="pct"/>
          </w:tcPr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proofErr w:type="spellStart"/>
            <w:r w:rsidRPr="00060DE0">
              <w:rPr>
                <w:rFonts w:cs="Arial"/>
                <w:sz w:val="18"/>
                <w:szCs w:val="18"/>
              </w:rPr>
              <w:t>Betaxolol</w:t>
            </w:r>
            <w:proofErr w:type="spellEnd"/>
            <w:r w:rsidRPr="00060DE0">
              <w:rPr>
                <w:rFonts w:cs="Arial"/>
                <w:sz w:val="18"/>
                <w:szCs w:val="18"/>
              </w:rPr>
              <w:t xml:space="preserve"> 0.5%</w:t>
            </w:r>
          </w:p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proofErr w:type="spellStart"/>
            <w:r w:rsidRPr="00060DE0">
              <w:rPr>
                <w:rFonts w:cs="Arial"/>
                <w:sz w:val="18"/>
                <w:szCs w:val="18"/>
              </w:rPr>
              <w:t>Timolol</w:t>
            </w:r>
            <w:proofErr w:type="spellEnd"/>
            <w:r w:rsidRPr="00060DE0">
              <w:rPr>
                <w:rFonts w:cs="Arial"/>
                <w:sz w:val="18"/>
                <w:szCs w:val="18"/>
              </w:rPr>
              <w:t xml:space="preserve"> 0.25%</w:t>
            </w:r>
          </w:p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16" w:type="pct"/>
          </w:tcPr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>23.1±3.1</w:t>
            </w:r>
          </w:p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>22.2±4.1</w:t>
            </w:r>
          </w:p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50" w:type="pct"/>
          </w:tcPr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>24.3±3.5</w:t>
            </w:r>
          </w:p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>23.9±3.4</w:t>
            </w:r>
          </w:p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>24 months</w:t>
            </w:r>
          </w:p>
        </w:tc>
        <w:tc>
          <w:tcPr>
            <w:tcW w:w="1638" w:type="pct"/>
          </w:tcPr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>No significant differences between groups but differences were significant for within group comparisons</w:t>
            </w:r>
          </w:p>
        </w:tc>
      </w:tr>
      <w:tr w:rsidR="0051469C" w:rsidRPr="00060DE0" w:rsidTr="00E15C8D">
        <w:trPr>
          <w:cantSplit/>
          <w:jc w:val="center"/>
        </w:trPr>
        <w:tc>
          <w:tcPr>
            <w:tcW w:w="587" w:type="pct"/>
          </w:tcPr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>Yamamoto</w:t>
            </w:r>
          </w:p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>1996</w:t>
            </w:r>
            <w:r w:rsidR="00607352">
              <w:rPr>
                <w:rFonts w:cs="Arial"/>
                <w:sz w:val="18"/>
                <w:szCs w:val="18"/>
              </w:rPr>
              <w:fldChar w:fldCharType="begin"/>
            </w:r>
            <w:r>
              <w:rPr>
                <w:rFonts w:cs="Arial"/>
                <w:sz w:val="18"/>
                <w:szCs w:val="18"/>
              </w:rPr>
              <w:instrText xml:space="preserve"> QUOTE "</w:instrText>
            </w:r>
            <w:r>
              <w:rPr>
                <w:rFonts w:cs="Arial"/>
                <w:sz w:val="18"/>
                <w:szCs w:val="18"/>
                <w:vertAlign w:val="superscript"/>
              </w:rPr>
              <w:instrText>95</w:instrText>
            </w:r>
            <w:r>
              <w:rPr>
                <w:rFonts w:cs="Arial"/>
                <w:sz w:val="18"/>
                <w:szCs w:val="18"/>
              </w:rPr>
              <w:instrText xml:space="preserve">" </w:instrText>
            </w:r>
            <w:r w:rsidR="00607352" w:rsidRPr="00AE2097">
              <w:rPr>
                <w:rFonts w:cs="Arial"/>
                <w:vanish/>
                <w:sz w:val="18"/>
                <w:szCs w:val="18"/>
              </w:rPr>
              <w:fldChar w:fldCharType="begin"/>
            </w:r>
            <w:r w:rsidRPr="00AE2097">
              <w:rPr>
                <w:rFonts w:cs="Arial"/>
                <w:vanish/>
                <w:sz w:val="18"/>
                <w:szCs w:val="18"/>
              </w:rPr>
              <w:instrText xml:space="preserve"> ADDIN PROCITE ÿ\11\05‘\19\02\00\00\00\0295\01\01\00\02\00\00\01\00\00\00\1BM_\00\00\00\00È1\0F\01ÀëÚ\01\01\00\00\008\00\00\00\00\00\00\008\00\00\00Ø\11\00\00;Y:\5CGlaucoma\5CDatabase\5CTreatment\5CDec 2\5CGlaucoma-Treatment.pdt%Yamamoto, Kitazawa, et al. 1996 #4558\00%\00 </w:instrText>
            </w:r>
            <w:r w:rsidR="00607352" w:rsidRPr="00AE2097">
              <w:rPr>
                <w:rFonts w:cs="Arial"/>
                <w:vanish/>
                <w:sz w:val="18"/>
                <w:szCs w:val="18"/>
              </w:rPr>
              <w:fldChar w:fldCharType="end"/>
            </w:r>
            <w:r w:rsidR="00607352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  <w:vertAlign w:val="superscript"/>
              </w:rPr>
              <w:t>95</w:t>
            </w:r>
            <w:r w:rsidR="0060735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809" w:type="pct"/>
          </w:tcPr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proofErr w:type="spellStart"/>
            <w:r w:rsidRPr="00060DE0">
              <w:rPr>
                <w:rFonts w:cs="Arial"/>
                <w:sz w:val="18"/>
                <w:szCs w:val="18"/>
              </w:rPr>
              <w:t>Timolol</w:t>
            </w:r>
            <w:proofErr w:type="spellEnd"/>
            <w:r w:rsidRPr="00060DE0">
              <w:rPr>
                <w:rFonts w:cs="Arial"/>
                <w:sz w:val="18"/>
                <w:szCs w:val="18"/>
              </w:rPr>
              <w:t xml:space="preserve"> 0.5%</w:t>
            </w:r>
          </w:p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proofErr w:type="spellStart"/>
            <w:r w:rsidRPr="00060DE0">
              <w:rPr>
                <w:rFonts w:cs="Arial"/>
                <w:sz w:val="18"/>
                <w:szCs w:val="18"/>
              </w:rPr>
              <w:t>Carteolol</w:t>
            </w:r>
            <w:proofErr w:type="spellEnd"/>
            <w:r w:rsidRPr="00060DE0">
              <w:rPr>
                <w:rFonts w:cs="Arial"/>
                <w:sz w:val="18"/>
                <w:szCs w:val="18"/>
              </w:rPr>
              <w:t xml:space="preserve"> 1%</w:t>
            </w:r>
          </w:p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proofErr w:type="spellStart"/>
            <w:r w:rsidRPr="00060DE0">
              <w:rPr>
                <w:rFonts w:cs="Arial"/>
                <w:sz w:val="18"/>
                <w:szCs w:val="18"/>
              </w:rPr>
              <w:t>Carteolol</w:t>
            </w:r>
            <w:proofErr w:type="spellEnd"/>
            <w:r w:rsidRPr="00060DE0">
              <w:rPr>
                <w:rFonts w:cs="Arial"/>
                <w:sz w:val="18"/>
                <w:szCs w:val="18"/>
              </w:rPr>
              <w:t xml:space="preserve"> 2%</w:t>
            </w:r>
          </w:p>
        </w:tc>
        <w:tc>
          <w:tcPr>
            <w:tcW w:w="1016" w:type="pct"/>
          </w:tcPr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>Not reported</w:t>
            </w:r>
          </w:p>
        </w:tc>
        <w:tc>
          <w:tcPr>
            <w:tcW w:w="950" w:type="pct"/>
          </w:tcPr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>Not reported</w:t>
            </w:r>
          </w:p>
        </w:tc>
        <w:tc>
          <w:tcPr>
            <w:tcW w:w="1638" w:type="pct"/>
          </w:tcPr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>Visual field was considered to have progressed if there was a decline in light sensitivity of 10 dB or more at any points except the four superior most ones and/or deterioration in mean deviation of 2 dB or more.</w:t>
            </w:r>
          </w:p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>During the study there were no significant changes in visual field</w:t>
            </w:r>
          </w:p>
        </w:tc>
      </w:tr>
    </w:tbl>
    <w:p w:rsidR="0051469C" w:rsidRPr="00060DE0" w:rsidRDefault="0051469C" w:rsidP="0051469C">
      <w:pPr>
        <w:rPr>
          <w:rFonts w:cs="Arial"/>
          <w:sz w:val="18"/>
          <w:szCs w:val="18"/>
        </w:rPr>
      </w:pPr>
    </w:p>
    <w:p w:rsidR="0051469C" w:rsidRDefault="0051469C" w:rsidP="00B27DBB">
      <w:pPr>
        <w:pStyle w:val="TableTitle"/>
        <w:rPr>
          <w:rFonts w:ascii="Times New Roman" w:hAnsi="Times New Roman"/>
        </w:rPr>
      </w:pPr>
    </w:p>
    <w:sectPr w:rsidR="0051469C" w:rsidSect="00B27DBB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25CD" w:rsidRDefault="00D725CD" w:rsidP="00012FCC">
      <w:r>
        <w:separator/>
      </w:r>
    </w:p>
  </w:endnote>
  <w:endnote w:type="continuationSeparator" w:id="1">
    <w:p w:rsidR="00D725CD" w:rsidRDefault="00D725CD" w:rsidP="00012FCC">
      <w:r>
        <w:continuationSeparator/>
      </w:r>
    </w:p>
  </w:endnote>
  <w:endnote w:type="continuationNotice" w:id="2">
    <w:p w:rsidR="00D725CD" w:rsidRDefault="00D725CD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Courier New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MS ??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altName w:val="MS ??"/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altName w:val="Verdana"/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FB5" w:rsidRDefault="00F27FB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5CD" w:rsidRDefault="00D725CD" w:rsidP="0051469C">
    <w:pPr>
      <w:pStyle w:val="PageNumb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FB5" w:rsidRDefault="00F27FB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25CD" w:rsidRDefault="00D725CD" w:rsidP="00012FCC">
      <w:r>
        <w:separator/>
      </w:r>
    </w:p>
  </w:footnote>
  <w:footnote w:type="continuationSeparator" w:id="1">
    <w:p w:rsidR="00D725CD" w:rsidRDefault="00D725CD" w:rsidP="00012FCC">
      <w:r>
        <w:continuationSeparator/>
      </w:r>
    </w:p>
  </w:footnote>
  <w:footnote w:type="continuationNotice" w:id="2">
    <w:p w:rsidR="00D725CD" w:rsidRDefault="00D725CD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FB5" w:rsidRDefault="00F27FB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FB5" w:rsidRDefault="00F27FB5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FB5" w:rsidRDefault="00F27FB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3169CF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A"/>
    <w:multiLevelType w:val="hybridMultilevel"/>
    <w:tmpl w:val="0000000A"/>
    <w:lvl w:ilvl="0" w:tplc="FFFFFFFF">
      <w:start w:val="1"/>
      <w:numFmt w:val="bullet"/>
      <w:lvlText w:val="●"/>
      <w:lvlJc w:val="left"/>
      <w:pPr>
        <w:tabs>
          <w:tab w:val="num" w:pos="720"/>
        </w:tabs>
        <w:ind w:left="1080" w:hanging="360"/>
      </w:pPr>
      <w:rPr>
        <w:rFonts w:ascii="Arial" w:eastAsia="Times New Roman" w:hAnsi="Arial"/>
        <w:b w:val="0"/>
        <w:i w:val="0"/>
        <w:strike w:val="0"/>
        <w:color w:val="000000"/>
        <w:sz w:val="22"/>
        <w:u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800" w:hanging="360"/>
      </w:pPr>
      <w:rPr>
        <w:rFonts w:ascii="Arial" w:eastAsia="Times New Roman" w:hAnsi="Arial"/>
        <w:b w:val="0"/>
        <w:i w:val="0"/>
        <w:strike w:val="0"/>
        <w:color w:val="000000"/>
        <w:sz w:val="22"/>
        <w:u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520" w:hanging="180"/>
      </w:pPr>
      <w:rPr>
        <w:rFonts w:ascii="Arial" w:eastAsia="Times New Roman" w:hAnsi="Arial"/>
        <w:b w:val="0"/>
        <w:i w:val="0"/>
        <w:strike w:val="0"/>
        <w:color w:val="000000"/>
        <w:sz w:val="22"/>
        <w:u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3240" w:hanging="360"/>
      </w:pPr>
      <w:rPr>
        <w:rFonts w:ascii="Arial" w:eastAsia="Times New Roman" w:hAnsi="Arial"/>
        <w:b w:val="0"/>
        <w:i w:val="0"/>
        <w:strike w:val="0"/>
        <w:color w:val="000000"/>
        <w:sz w:val="22"/>
        <w:u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960" w:hanging="360"/>
      </w:pPr>
      <w:rPr>
        <w:rFonts w:ascii="Arial" w:eastAsia="Times New Roman" w:hAnsi="Arial"/>
        <w:b w:val="0"/>
        <w:i w:val="0"/>
        <w:strike w:val="0"/>
        <w:color w:val="000000"/>
        <w:sz w:val="22"/>
        <w:u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680" w:hanging="180"/>
      </w:pPr>
      <w:rPr>
        <w:rFonts w:ascii="Arial" w:eastAsia="Times New Roman" w:hAnsi="Arial"/>
        <w:b w:val="0"/>
        <w:i w:val="0"/>
        <w:strike w:val="0"/>
        <w:color w:val="000000"/>
        <w:sz w:val="22"/>
        <w:u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400" w:hanging="360"/>
      </w:pPr>
      <w:rPr>
        <w:rFonts w:ascii="Arial" w:eastAsia="Times New Roman" w:hAnsi="Arial"/>
        <w:b w:val="0"/>
        <w:i w:val="0"/>
        <w:strike w:val="0"/>
        <w:color w:val="000000"/>
        <w:sz w:val="22"/>
        <w:u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6120" w:hanging="360"/>
      </w:pPr>
      <w:rPr>
        <w:rFonts w:ascii="Arial" w:eastAsia="Times New Roman" w:hAnsi="Arial"/>
        <w:b w:val="0"/>
        <w:i w:val="0"/>
        <w:strike w:val="0"/>
        <w:color w:val="000000"/>
        <w:sz w:val="22"/>
        <w:u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840" w:hanging="180"/>
      </w:pPr>
      <w:rPr>
        <w:rFonts w:ascii="Arial" w:eastAsia="Times New Roman" w:hAnsi="Arial"/>
        <w:b w:val="0"/>
        <w:i w:val="0"/>
        <w:strike w:val="0"/>
        <w:color w:val="000000"/>
        <w:sz w:val="22"/>
        <w:u w:val="none"/>
      </w:rPr>
    </w:lvl>
  </w:abstractNum>
  <w:abstractNum w:abstractNumId="2">
    <w:nsid w:val="0000000F"/>
    <w:multiLevelType w:val="hybridMultilevel"/>
    <w:tmpl w:val="0000000F"/>
    <w:lvl w:ilvl="0" w:tplc="FFFFFFFF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Times New Roman" w:eastAsia="Times New Roman" w:hAnsi="Times New Roman"/>
        <w:b w:val="0"/>
        <w:i w:val="0"/>
        <w:strike w:val="0"/>
        <w:color w:val="000000"/>
        <w:sz w:val="22"/>
        <w:u w:val="none"/>
      </w:rPr>
    </w:lvl>
    <w:lvl w:ilvl="1" w:tplc="FFFFFFFF">
      <w:start w:val="1"/>
      <w:numFmt w:val="bullet"/>
      <w:lvlText w:val="○"/>
      <w:lvlJc w:val="left"/>
      <w:pPr>
        <w:tabs>
          <w:tab w:val="num" w:pos="1080"/>
        </w:tabs>
        <w:ind w:left="1440" w:hanging="360"/>
      </w:pPr>
      <w:rPr>
        <w:rFonts w:ascii="Times New Roman" w:eastAsia="Times New Roman" w:hAnsi="Times New Roman"/>
        <w:b w:val="0"/>
        <w:i w:val="0"/>
        <w:strike w:val="0"/>
        <w:color w:val="000000"/>
        <w:sz w:val="22"/>
        <w:u w:val="none"/>
      </w:rPr>
    </w:lvl>
    <w:lvl w:ilvl="2" w:tplc="FFFFFFFF">
      <w:start w:val="1"/>
      <w:numFmt w:val="bullet"/>
      <w:lvlText w:val="■"/>
      <w:lvlJc w:val="right"/>
      <w:pPr>
        <w:tabs>
          <w:tab w:val="num" w:pos="1800"/>
        </w:tabs>
        <w:ind w:left="2160" w:hanging="180"/>
      </w:pPr>
      <w:rPr>
        <w:rFonts w:ascii="Times New Roman" w:eastAsia="Times New Roman" w:hAnsi="Times New Roman"/>
        <w:b w:val="0"/>
        <w:i w:val="0"/>
        <w:strike w:val="0"/>
        <w:color w:val="000000"/>
        <w:sz w:val="22"/>
        <w:u w:val="none"/>
      </w:rPr>
    </w:lvl>
    <w:lvl w:ilvl="3" w:tplc="FFFFFFFF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rFonts w:ascii="Times New Roman" w:eastAsia="Times New Roman" w:hAnsi="Times New Roman"/>
        <w:b w:val="0"/>
        <w:i w:val="0"/>
        <w:strike w:val="0"/>
        <w:color w:val="000000"/>
        <w:sz w:val="22"/>
        <w:u w:val="none"/>
      </w:rPr>
    </w:lvl>
    <w:lvl w:ilvl="4" w:tplc="FFFFFFFF">
      <w:start w:val="1"/>
      <w:numFmt w:val="bullet"/>
      <w:lvlText w:val="○"/>
      <w:lvlJc w:val="left"/>
      <w:pPr>
        <w:tabs>
          <w:tab w:val="num" w:pos="3240"/>
        </w:tabs>
        <w:ind w:left="3600" w:hanging="360"/>
      </w:pPr>
      <w:rPr>
        <w:rFonts w:ascii="Times New Roman" w:eastAsia="Times New Roman" w:hAnsi="Times New Roman"/>
        <w:b w:val="0"/>
        <w:i w:val="0"/>
        <w:strike w:val="0"/>
        <w:color w:val="000000"/>
        <w:sz w:val="22"/>
        <w:u w:val="none"/>
      </w:rPr>
    </w:lvl>
    <w:lvl w:ilvl="5" w:tplc="FFFFFFFF">
      <w:start w:val="1"/>
      <w:numFmt w:val="bullet"/>
      <w:lvlText w:val="■"/>
      <w:lvlJc w:val="right"/>
      <w:pPr>
        <w:tabs>
          <w:tab w:val="num" w:pos="3960"/>
        </w:tabs>
        <w:ind w:left="4320" w:hanging="180"/>
      </w:pPr>
      <w:rPr>
        <w:rFonts w:ascii="Times New Roman" w:eastAsia="Times New Roman" w:hAnsi="Times New Roman"/>
        <w:b w:val="0"/>
        <w:i w:val="0"/>
        <w:strike w:val="0"/>
        <w:color w:val="000000"/>
        <w:sz w:val="22"/>
        <w:u w:val="none"/>
      </w:rPr>
    </w:lvl>
    <w:lvl w:ilvl="6" w:tplc="FFFFFFFF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rFonts w:ascii="Times New Roman" w:eastAsia="Times New Roman" w:hAnsi="Times New Roman"/>
        <w:b w:val="0"/>
        <w:i w:val="0"/>
        <w:strike w:val="0"/>
        <w:color w:val="000000"/>
        <w:sz w:val="22"/>
        <w:u w:val="none"/>
      </w:rPr>
    </w:lvl>
    <w:lvl w:ilvl="7" w:tplc="FFFFFFFF">
      <w:start w:val="1"/>
      <w:numFmt w:val="bullet"/>
      <w:lvlText w:val="○"/>
      <w:lvlJc w:val="left"/>
      <w:pPr>
        <w:tabs>
          <w:tab w:val="num" w:pos="5400"/>
        </w:tabs>
        <w:ind w:left="5760" w:hanging="360"/>
      </w:pPr>
      <w:rPr>
        <w:rFonts w:ascii="Times New Roman" w:eastAsia="Times New Roman" w:hAnsi="Times New Roman"/>
        <w:b w:val="0"/>
        <w:i w:val="0"/>
        <w:strike w:val="0"/>
        <w:color w:val="000000"/>
        <w:sz w:val="22"/>
        <w:u w:val="none"/>
      </w:rPr>
    </w:lvl>
    <w:lvl w:ilvl="8" w:tplc="FFFFFFFF">
      <w:start w:val="1"/>
      <w:numFmt w:val="bullet"/>
      <w:lvlText w:val="■"/>
      <w:lvlJc w:val="right"/>
      <w:pPr>
        <w:tabs>
          <w:tab w:val="num" w:pos="6120"/>
        </w:tabs>
        <w:ind w:left="6480" w:hanging="180"/>
      </w:pPr>
      <w:rPr>
        <w:rFonts w:ascii="Times New Roman" w:eastAsia="Times New Roman" w:hAnsi="Times New Roman"/>
        <w:b w:val="0"/>
        <w:i w:val="0"/>
        <w:strike w:val="0"/>
        <w:color w:val="000000"/>
        <w:sz w:val="22"/>
        <w:u w:val="none"/>
      </w:rPr>
    </w:lvl>
  </w:abstractNum>
  <w:abstractNum w:abstractNumId="3">
    <w:nsid w:val="00000014"/>
    <w:multiLevelType w:val="hybridMultilevel"/>
    <w:tmpl w:val="00000014"/>
    <w:lvl w:ilvl="0" w:tplc="FFFFFFFF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Arial" w:eastAsia="Times New Roman" w:hAnsi="Arial"/>
        <w:b w:val="0"/>
        <w:i w:val="0"/>
        <w:strike w:val="0"/>
        <w:color w:val="000000"/>
        <w:sz w:val="22"/>
        <w:u w:val="none"/>
      </w:rPr>
    </w:lvl>
    <w:lvl w:ilvl="1" w:tplc="FFFFFFFF">
      <w:start w:val="1"/>
      <w:numFmt w:val="bullet"/>
      <w:lvlText w:val="○"/>
      <w:lvlJc w:val="left"/>
      <w:pPr>
        <w:tabs>
          <w:tab w:val="num" w:pos="1080"/>
        </w:tabs>
        <w:ind w:left="1440" w:hanging="360"/>
      </w:pPr>
      <w:rPr>
        <w:rFonts w:ascii="Arial" w:eastAsia="Times New Roman" w:hAnsi="Arial"/>
        <w:b w:val="0"/>
        <w:i w:val="0"/>
        <w:strike w:val="0"/>
        <w:color w:val="000000"/>
        <w:sz w:val="22"/>
        <w:u w:val="none"/>
      </w:rPr>
    </w:lvl>
    <w:lvl w:ilvl="2" w:tplc="FFFFFFFF">
      <w:start w:val="1"/>
      <w:numFmt w:val="bullet"/>
      <w:lvlText w:val="■"/>
      <w:lvlJc w:val="right"/>
      <w:pPr>
        <w:tabs>
          <w:tab w:val="num" w:pos="1800"/>
        </w:tabs>
        <w:ind w:left="2160" w:hanging="180"/>
      </w:pPr>
      <w:rPr>
        <w:rFonts w:ascii="Arial" w:eastAsia="Times New Roman" w:hAnsi="Arial"/>
        <w:b w:val="0"/>
        <w:i w:val="0"/>
        <w:strike w:val="0"/>
        <w:color w:val="000000"/>
        <w:sz w:val="22"/>
        <w:u w:val="none"/>
      </w:rPr>
    </w:lvl>
    <w:lvl w:ilvl="3" w:tplc="FFFFFFFF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rFonts w:ascii="Arial" w:eastAsia="Times New Roman" w:hAnsi="Arial"/>
        <w:b w:val="0"/>
        <w:i w:val="0"/>
        <w:strike w:val="0"/>
        <w:color w:val="000000"/>
        <w:sz w:val="22"/>
        <w:u w:val="none"/>
      </w:rPr>
    </w:lvl>
    <w:lvl w:ilvl="4" w:tplc="FFFFFFFF">
      <w:start w:val="1"/>
      <w:numFmt w:val="bullet"/>
      <w:lvlText w:val="○"/>
      <w:lvlJc w:val="left"/>
      <w:pPr>
        <w:tabs>
          <w:tab w:val="num" w:pos="3240"/>
        </w:tabs>
        <w:ind w:left="3600" w:hanging="360"/>
      </w:pPr>
      <w:rPr>
        <w:rFonts w:ascii="Arial" w:eastAsia="Times New Roman" w:hAnsi="Arial"/>
        <w:b w:val="0"/>
        <w:i w:val="0"/>
        <w:strike w:val="0"/>
        <w:color w:val="000000"/>
        <w:sz w:val="22"/>
        <w:u w:val="none"/>
      </w:rPr>
    </w:lvl>
    <w:lvl w:ilvl="5" w:tplc="FFFFFFFF">
      <w:start w:val="1"/>
      <w:numFmt w:val="bullet"/>
      <w:lvlText w:val="■"/>
      <w:lvlJc w:val="right"/>
      <w:pPr>
        <w:tabs>
          <w:tab w:val="num" w:pos="3960"/>
        </w:tabs>
        <w:ind w:left="4320" w:hanging="180"/>
      </w:pPr>
      <w:rPr>
        <w:rFonts w:ascii="Arial" w:eastAsia="Times New Roman" w:hAnsi="Arial"/>
        <w:b w:val="0"/>
        <w:i w:val="0"/>
        <w:strike w:val="0"/>
        <w:color w:val="000000"/>
        <w:sz w:val="22"/>
        <w:u w:val="none"/>
      </w:rPr>
    </w:lvl>
    <w:lvl w:ilvl="6" w:tplc="FFFFFFFF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rFonts w:ascii="Arial" w:eastAsia="Times New Roman" w:hAnsi="Arial"/>
        <w:b w:val="0"/>
        <w:i w:val="0"/>
        <w:strike w:val="0"/>
        <w:color w:val="000000"/>
        <w:sz w:val="22"/>
        <w:u w:val="none"/>
      </w:rPr>
    </w:lvl>
    <w:lvl w:ilvl="7" w:tplc="FFFFFFFF">
      <w:start w:val="1"/>
      <w:numFmt w:val="bullet"/>
      <w:lvlText w:val="○"/>
      <w:lvlJc w:val="left"/>
      <w:pPr>
        <w:tabs>
          <w:tab w:val="num" w:pos="5400"/>
        </w:tabs>
        <w:ind w:left="5760" w:hanging="360"/>
      </w:pPr>
      <w:rPr>
        <w:rFonts w:ascii="Arial" w:eastAsia="Times New Roman" w:hAnsi="Arial"/>
        <w:b w:val="0"/>
        <w:i w:val="0"/>
        <w:strike w:val="0"/>
        <w:color w:val="000000"/>
        <w:sz w:val="22"/>
        <w:u w:val="none"/>
      </w:rPr>
    </w:lvl>
    <w:lvl w:ilvl="8" w:tplc="FFFFFFFF">
      <w:start w:val="1"/>
      <w:numFmt w:val="bullet"/>
      <w:lvlText w:val="■"/>
      <w:lvlJc w:val="right"/>
      <w:pPr>
        <w:tabs>
          <w:tab w:val="num" w:pos="6120"/>
        </w:tabs>
        <w:ind w:left="6480" w:hanging="180"/>
      </w:pPr>
      <w:rPr>
        <w:rFonts w:ascii="Arial" w:eastAsia="Times New Roman" w:hAnsi="Arial"/>
        <w:b w:val="0"/>
        <w:i w:val="0"/>
        <w:strike w:val="0"/>
        <w:color w:val="000000"/>
        <w:sz w:val="22"/>
        <w:u w:val="none"/>
      </w:rPr>
    </w:lvl>
  </w:abstractNum>
  <w:abstractNum w:abstractNumId="4">
    <w:nsid w:val="002959FF"/>
    <w:multiLevelType w:val="hybridMultilevel"/>
    <w:tmpl w:val="CA5CC2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921CA1"/>
    <w:multiLevelType w:val="hybridMultilevel"/>
    <w:tmpl w:val="71E84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2A0594D"/>
    <w:multiLevelType w:val="hybridMultilevel"/>
    <w:tmpl w:val="4C2CB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3613E39"/>
    <w:multiLevelType w:val="hybridMultilevel"/>
    <w:tmpl w:val="9D02D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5F24F92"/>
    <w:multiLevelType w:val="hybridMultilevel"/>
    <w:tmpl w:val="BCF21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7865B56"/>
    <w:multiLevelType w:val="hybridMultilevel"/>
    <w:tmpl w:val="FD7E87F6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0BB0168A"/>
    <w:multiLevelType w:val="hybridMultilevel"/>
    <w:tmpl w:val="D3A271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0E7E2BF5"/>
    <w:multiLevelType w:val="hybridMultilevel"/>
    <w:tmpl w:val="08201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ECF4382"/>
    <w:multiLevelType w:val="hybridMultilevel"/>
    <w:tmpl w:val="14E6FC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0F0A1DD9"/>
    <w:multiLevelType w:val="hybridMultilevel"/>
    <w:tmpl w:val="7D04A9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0F64122A"/>
    <w:multiLevelType w:val="hybridMultilevel"/>
    <w:tmpl w:val="20EEC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01D61AB"/>
    <w:multiLevelType w:val="hybridMultilevel"/>
    <w:tmpl w:val="4E14E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28C2C62"/>
    <w:multiLevelType w:val="hybridMultilevel"/>
    <w:tmpl w:val="ABA6B1D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b w:val="0"/>
        <w:i w:val="0"/>
        <w:strike w:val="0"/>
        <w:color w:val="000000"/>
        <w:sz w:val="22"/>
        <w:u w:val="none"/>
      </w:rPr>
    </w:lvl>
    <w:lvl w:ilvl="1" w:tplc="FFFFFFFF">
      <w:start w:val="1"/>
      <w:numFmt w:val="bullet"/>
      <w:lvlText w:val="○"/>
      <w:lvlJc w:val="left"/>
      <w:pPr>
        <w:tabs>
          <w:tab w:val="num" w:pos="1080"/>
        </w:tabs>
        <w:ind w:left="1440" w:hanging="360"/>
      </w:pPr>
      <w:rPr>
        <w:rFonts w:ascii="Calibri" w:eastAsia="Times New Roman" w:hAnsi="Calibri"/>
        <w:b w:val="0"/>
        <w:i w:val="0"/>
        <w:strike w:val="0"/>
        <w:color w:val="000000"/>
        <w:sz w:val="22"/>
        <w:u w:val="none"/>
      </w:rPr>
    </w:lvl>
    <w:lvl w:ilvl="2" w:tplc="FFFFFFFF">
      <w:start w:val="1"/>
      <w:numFmt w:val="bullet"/>
      <w:lvlText w:val="■"/>
      <w:lvlJc w:val="right"/>
      <w:pPr>
        <w:tabs>
          <w:tab w:val="num" w:pos="1800"/>
        </w:tabs>
        <w:ind w:left="2160" w:hanging="180"/>
      </w:pPr>
      <w:rPr>
        <w:rFonts w:ascii="Calibri" w:eastAsia="Times New Roman" w:hAnsi="Calibri"/>
        <w:b w:val="0"/>
        <w:i w:val="0"/>
        <w:strike w:val="0"/>
        <w:color w:val="000000"/>
        <w:sz w:val="22"/>
        <w:u w:val="none"/>
      </w:rPr>
    </w:lvl>
    <w:lvl w:ilvl="3" w:tplc="FFFFFFFF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rFonts w:ascii="Calibri" w:eastAsia="Times New Roman" w:hAnsi="Calibri"/>
        <w:b w:val="0"/>
        <w:i w:val="0"/>
        <w:strike w:val="0"/>
        <w:color w:val="000000"/>
        <w:sz w:val="22"/>
        <w:u w:val="none"/>
      </w:rPr>
    </w:lvl>
    <w:lvl w:ilvl="4" w:tplc="FFFFFFFF">
      <w:start w:val="1"/>
      <w:numFmt w:val="bullet"/>
      <w:lvlText w:val="○"/>
      <w:lvlJc w:val="left"/>
      <w:pPr>
        <w:tabs>
          <w:tab w:val="num" w:pos="3240"/>
        </w:tabs>
        <w:ind w:left="3600" w:hanging="360"/>
      </w:pPr>
      <w:rPr>
        <w:rFonts w:ascii="Calibri" w:eastAsia="Times New Roman" w:hAnsi="Calibri"/>
        <w:b w:val="0"/>
        <w:i w:val="0"/>
        <w:strike w:val="0"/>
        <w:color w:val="000000"/>
        <w:sz w:val="22"/>
        <w:u w:val="none"/>
      </w:rPr>
    </w:lvl>
    <w:lvl w:ilvl="5" w:tplc="FFFFFFFF">
      <w:start w:val="1"/>
      <w:numFmt w:val="bullet"/>
      <w:lvlText w:val="■"/>
      <w:lvlJc w:val="right"/>
      <w:pPr>
        <w:tabs>
          <w:tab w:val="num" w:pos="3960"/>
        </w:tabs>
        <w:ind w:left="4320" w:hanging="180"/>
      </w:pPr>
      <w:rPr>
        <w:rFonts w:ascii="Calibri" w:eastAsia="Times New Roman" w:hAnsi="Calibri"/>
        <w:b w:val="0"/>
        <w:i w:val="0"/>
        <w:strike w:val="0"/>
        <w:color w:val="000000"/>
        <w:sz w:val="22"/>
        <w:u w:val="none"/>
      </w:rPr>
    </w:lvl>
    <w:lvl w:ilvl="6" w:tplc="FFFFFFFF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rFonts w:ascii="Calibri" w:eastAsia="Times New Roman" w:hAnsi="Calibri"/>
        <w:b w:val="0"/>
        <w:i w:val="0"/>
        <w:strike w:val="0"/>
        <w:color w:val="000000"/>
        <w:sz w:val="22"/>
        <w:u w:val="none"/>
      </w:rPr>
    </w:lvl>
    <w:lvl w:ilvl="7" w:tplc="FFFFFFFF">
      <w:start w:val="1"/>
      <w:numFmt w:val="bullet"/>
      <w:lvlText w:val="○"/>
      <w:lvlJc w:val="left"/>
      <w:pPr>
        <w:tabs>
          <w:tab w:val="num" w:pos="5400"/>
        </w:tabs>
        <w:ind w:left="5760" w:hanging="360"/>
      </w:pPr>
      <w:rPr>
        <w:rFonts w:ascii="Calibri" w:eastAsia="Times New Roman" w:hAnsi="Calibri"/>
        <w:b w:val="0"/>
        <w:i w:val="0"/>
        <w:strike w:val="0"/>
        <w:color w:val="000000"/>
        <w:sz w:val="22"/>
        <w:u w:val="none"/>
      </w:rPr>
    </w:lvl>
    <w:lvl w:ilvl="8" w:tplc="FFFFFFFF">
      <w:start w:val="1"/>
      <w:numFmt w:val="bullet"/>
      <w:lvlText w:val="■"/>
      <w:lvlJc w:val="right"/>
      <w:pPr>
        <w:tabs>
          <w:tab w:val="num" w:pos="6120"/>
        </w:tabs>
        <w:ind w:left="6480" w:hanging="180"/>
      </w:pPr>
      <w:rPr>
        <w:rFonts w:ascii="Calibri" w:eastAsia="Times New Roman" w:hAnsi="Calibri"/>
        <w:b w:val="0"/>
        <w:i w:val="0"/>
        <w:strike w:val="0"/>
        <w:color w:val="000000"/>
        <w:sz w:val="22"/>
        <w:u w:val="none"/>
      </w:rPr>
    </w:lvl>
  </w:abstractNum>
  <w:abstractNum w:abstractNumId="17">
    <w:nsid w:val="12EE7A81"/>
    <w:multiLevelType w:val="hybridMultilevel"/>
    <w:tmpl w:val="E070B3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12F279F0"/>
    <w:multiLevelType w:val="hybridMultilevel"/>
    <w:tmpl w:val="88768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38227F7"/>
    <w:multiLevelType w:val="hybridMultilevel"/>
    <w:tmpl w:val="1EF4F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3CE6960"/>
    <w:multiLevelType w:val="hybridMultilevel"/>
    <w:tmpl w:val="A858A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3FF5CA2"/>
    <w:multiLevelType w:val="hybridMultilevel"/>
    <w:tmpl w:val="F614F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7F37DBF"/>
    <w:multiLevelType w:val="hybridMultilevel"/>
    <w:tmpl w:val="C87494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180A704A"/>
    <w:multiLevelType w:val="hybridMultilevel"/>
    <w:tmpl w:val="39BA2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87B623D"/>
    <w:multiLevelType w:val="hybridMultilevel"/>
    <w:tmpl w:val="04300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F314A62"/>
    <w:multiLevelType w:val="hybridMultilevel"/>
    <w:tmpl w:val="A10246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208C4D72"/>
    <w:multiLevelType w:val="hybridMultilevel"/>
    <w:tmpl w:val="8DD010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1947110"/>
    <w:multiLevelType w:val="hybridMultilevel"/>
    <w:tmpl w:val="73760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1A60E75"/>
    <w:multiLevelType w:val="hybridMultilevel"/>
    <w:tmpl w:val="CA6C1C3C"/>
    <w:lvl w:ilvl="0" w:tplc="91641E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48B27FB"/>
    <w:multiLevelType w:val="hybridMultilevel"/>
    <w:tmpl w:val="E9B8E7A6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1">
    <w:nsid w:val="26D61940"/>
    <w:multiLevelType w:val="hybridMultilevel"/>
    <w:tmpl w:val="D50E1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29D03E1C"/>
    <w:multiLevelType w:val="hybridMultilevel"/>
    <w:tmpl w:val="15608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29F43293"/>
    <w:multiLevelType w:val="hybridMultilevel"/>
    <w:tmpl w:val="BA7A62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2A33116F"/>
    <w:multiLevelType w:val="hybridMultilevel"/>
    <w:tmpl w:val="61940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2D4E4339"/>
    <w:multiLevelType w:val="hybridMultilevel"/>
    <w:tmpl w:val="5C5A75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333816E1"/>
    <w:multiLevelType w:val="hybridMultilevel"/>
    <w:tmpl w:val="F8FEF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464274E"/>
    <w:multiLevelType w:val="hybridMultilevel"/>
    <w:tmpl w:val="0316A0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37725B1D"/>
    <w:multiLevelType w:val="hybridMultilevel"/>
    <w:tmpl w:val="5F747C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377B3680"/>
    <w:multiLevelType w:val="hybridMultilevel"/>
    <w:tmpl w:val="2404E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3B29552E"/>
    <w:multiLevelType w:val="hybridMultilevel"/>
    <w:tmpl w:val="08FC2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3D5241C7"/>
    <w:multiLevelType w:val="hybridMultilevel"/>
    <w:tmpl w:val="35A42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3D7B455C"/>
    <w:multiLevelType w:val="hybridMultilevel"/>
    <w:tmpl w:val="52784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>
    <w:nsid w:val="40F94079"/>
    <w:multiLevelType w:val="hybridMultilevel"/>
    <w:tmpl w:val="5920B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419F2448"/>
    <w:multiLevelType w:val="hybridMultilevel"/>
    <w:tmpl w:val="4796D6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>
    <w:nsid w:val="42475DAE"/>
    <w:multiLevelType w:val="hybridMultilevel"/>
    <w:tmpl w:val="358A38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>
    <w:nsid w:val="444F4D19"/>
    <w:multiLevelType w:val="hybridMultilevel"/>
    <w:tmpl w:val="D6B45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46671467"/>
    <w:multiLevelType w:val="hybridMultilevel"/>
    <w:tmpl w:val="1F5ED0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>
    <w:nsid w:val="46C37699"/>
    <w:multiLevelType w:val="hybridMultilevel"/>
    <w:tmpl w:val="EAFEA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>
    <w:nsid w:val="48DD18EB"/>
    <w:multiLevelType w:val="hybridMultilevel"/>
    <w:tmpl w:val="47D2C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4C9D6464"/>
    <w:multiLevelType w:val="hybridMultilevel"/>
    <w:tmpl w:val="1AE67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4E4750D6"/>
    <w:multiLevelType w:val="hybridMultilevel"/>
    <w:tmpl w:val="E578D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516F6083"/>
    <w:multiLevelType w:val="hybridMultilevel"/>
    <w:tmpl w:val="528EACFC"/>
    <w:lvl w:ilvl="0" w:tplc="6B58992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51CC57CD"/>
    <w:multiLevelType w:val="hybridMultilevel"/>
    <w:tmpl w:val="3878B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520E1789"/>
    <w:multiLevelType w:val="hybridMultilevel"/>
    <w:tmpl w:val="48AA2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53232F98"/>
    <w:multiLevelType w:val="hybridMultilevel"/>
    <w:tmpl w:val="38DCA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53412F31"/>
    <w:multiLevelType w:val="hybridMultilevel"/>
    <w:tmpl w:val="37B8F8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7">
    <w:nsid w:val="53983655"/>
    <w:multiLevelType w:val="hybridMultilevel"/>
    <w:tmpl w:val="D0A009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>
    <w:nsid w:val="54982315"/>
    <w:multiLevelType w:val="hybridMultilevel"/>
    <w:tmpl w:val="0F64C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577E3F52"/>
    <w:multiLevelType w:val="hybridMultilevel"/>
    <w:tmpl w:val="DD34B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57A3448C"/>
    <w:multiLevelType w:val="hybridMultilevel"/>
    <w:tmpl w:val="BDAAB442"/>
    <w:lvl w:ilvl="0" w:tplc="04090001">
      <w:start w:val="1"/>
      <w:numFmt w:val="bullet"/>
      <w:lvlText w:val=""/>
      <w:lvlJc w:val="left"/>
      <w:pPr>
        <w:ind w:left="4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3" w:hanging="360"/>
      </w:pPr>
      <w:rPr>
        <w:rFonts w:ascii="Wingdings" w:hAnsi="Wingdings" w:hint="default"/>
      </w:rPr>
    </w:lvl>
  </w:abstractNum>
  <w:abstractNum w:abstractNumId="61">
    <w:nsid w:val="591B34F1"/>
    <w:multiLevelType w:val="hybridMultilevel"/>
    <w:tmpl w:val="8BCE0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592360D7"/>
    <w:multiLevelType w:val="hybridMultilevel"/>
    <w:tmpl w:val="D42E86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BD37764"/>
    <w:multiLevelType w:val="hybridMultilevel"/>
    <w:tmpl w:val="07D82C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4">
    <w:nsid w:val="5D555301"/>
    <w:multiLevelType w:val="hybridMultilevel"/>
    <w:tmpl w:val="495251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5">
    <w:nsid w:val="63D530FF"/>
    <w:multiLevelType w:val="hybridMultilevel"/>
    <w:tmpl w:val="EC007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644E56A9"/>
    <w:multiLevelType w:val="hybridMultilevel"/>
    <w:tmpl w:val="BA6E9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645D1F84"/>
    <w:multiLevelType w:val="hybridMultilevel"/>
    <w:tmpl w:val="9EC2E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65CC7CB0"/>
    <w:multiLevelType w:val="hybridMultilevel"/>
    <w:tmpl w:val="71A2CA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9">
    <w:nsid w:val="65ED0FFD"/>
    <w:multiLevelType w:val="hybridMultilevel"/>
    <w:tmpl w:val="406267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0">
    <w:nsid w:val="663A7D00"/>
    <w:multiLevelType w:val="hybridMultilevel"/>
    <w:tmpl w:val="58E00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6DEA0014"/>
    <w:multiLevelType w:val="hybridMultilevel"/>
    <w:tmpl w:val="39585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711F0136"/>
    <w:multiLevelType w:val="hybridMultilevel"/>
    <w:tmpl w:val="17AA5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75B7480E"/>
    <w:multiLevelType w:val="hybridMultilevel"/>
    <w:tmpl w:val="17080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77E85856"/>
    <w:multiLevelType w:val="hybridMultilevel"/>
    <w:tmpl w:val="6784B5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5">
    <w:nsid w:val="78522241"/>
    <w:multiLevelType w:val="hybridMultilevel"/>
    <w:tmpl w:val="9170F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78B871CF"/>
    <w:multiLevelType w:val="hybridMultilevel"/>
    <w:tmpl w:val="E8BE7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79AC1D80"/>
    <w:multiLevelType w:val="hybridMultilevel"/>
    <w:tmpl w:val="E3362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7E6D7697"/>
    <w:multiLevelType w:val="hybridMultilevel"/>
    <w:tmpl w:val="976468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">
    <w:nsid w:val="7F3D147A"/>
    <w:multiLevelType w:val="hybridMultilevel"/>
    <w:tmpl w:val="743461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0">
    <w:nsid w:val="7F890202"/>
    <w:multiLevelType w:val="hybridMultilevel"/>
    <w:tmpl w:val="608E8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4"/>
  </w:num>
  <w:num w:numId="4">
    <w:abstractNumId w:val="74"/>
  </w:num>
  <w:num w:numId="5">
    <w:abstractNumId w:val="68"/>
  </w:num>
  <w:num w:numId="6">
    <w:abstractNumId w:val="10"/>
  </w:num>
  <w:num w:numId="7">
    <w:abstractNumId w:val="42"/>
  </w:num>
  <w:num w:numId="8">
    <w:abstractNumId w:val="17"/>
  </w:num>
  <w:num w:numId="9">
    <w:abstractNumId w:val="63"/>
  </w:num>
  <w:num w:numId="10">
    <w:abstractNumId w:val="64"/>
  </w:num>
  <w:num w:numId="11">
    <w:abstractNumId w:val="45"/>
  </w:num>
  <w:num w:numId="12">
    <w:abstractNumId w:val="48"/>
  </w:num>
  <w:num w:numId="13">
    <w:abstractNumId w:val="12"/>
  </w:num>
  <w:num w:numId="14">
    <w:abstractNumId w:val="25"/>
  </w:num>
  <w:num w:numId="15">
    <w:abstractNumId w:val="37"/>
  </w:num>
  <w:num w:numId="16">
    <w:abstractNumId w:val="57"/>
  </w:num>
  <w:num w:numId="17">
    <w:abstractNumId w:val="33"/>
  </w:num>
  <w:num w:numId="18">
    <w:abstractNumId w:val="2"/>
  </w:num>
  <w:num w:numId="19">
    <w:abstractNumId w:val="3"/>
  </w:num>
  <w:num w:numId="20">
    <w:abstractNumId w:val="69"/>
  </w:num>
  <w:num w:numId="21">
    <w:abstractNumId w:val="16"/>
  </w:num>
  <w:num w:numId="22">
    <w:abstractNumId w:val="34"/>
  </w:num>
  <w:num w:numId="23">
    <w:abstractNumId w:val="15"/>
  </w:num>
  <w:num w:numId="24">
    <w:abstractNumId w:val="56"/>
  </w:num>
  <w:num w:numId="25">
    <w:abstractNumId w:val="79"/>
  </w:num>
  <w:num w:numId="26">
    <w:abstractNumId w:val="26"/>
  </w:num>
  <w:num w:numId="27">
    <w:abstractNumId w:val="38"/>
  </w:num>
  <w:num w:numId="28">
    <w:abstractNumId w:val="44"/>
  </w:num>
  <w:num w:numId="29">
    <w:abstractNumId w:val="72"/>
  </w:num>
  <w:num w:numId="30">
    <w:abstractNumId w:val="43"/>
  </w:num>
  <w:num w:numId="31">
    <w:abstractNumId w:val="21"/>
  </w:num>
  <w:num w:numId="32">
    <w:abstractNumId w:val="7"/>
  </w:num>
  <w:num w:numId="33">
    <w:abstractNumId w:val="80"/>
  </w:num>
  <w:num w:numId="34">
    <w:abstractNumId w:val="22"/>
  </w:num>
  <w:num w:numId="35">
    <w:abstractNumId w:val="35"/>
  </w:num>
  <w:num w:numId="36">
    <w:abstractNumId w:val="78"/>
  </w:num>
  <w:num w:numId="37">
    <w:abstractNumId w:val="47"/>
  </w:num>
  <w:num w:numId="38">
    <w:abstractNumId w:val="32"/>
  </w:num>
  <w:num w:numId="39">
    <w:abstractNumId w:val="65"/>
  </w:num>
  <w:num w:numId="40">
    <w:abstractNumId w:val="73"/>
  </w:num>
  <w:num w:numId="41">
    <w:abstractNumId w:val="53"/>
  </w:num>
  <w:num w:numId="42">
    <w:abstractNumId w:val="11"/>
  </w:num>
  <w:num w:numId="43">
    <w:abstractNumId w:val="5"/>
  </w:num>
  <w:num w:numId="44">
    <w:abstractNumId w:val="61"/>
  </w:num>
  <w:num w:numId="45">
    <w:abstractNumId w:val="19"/>
  </w:num>
  <w:num w:numId="46">
    <w:abstractNumId w:val="6"/>
  </w:num>
  <w:num w:numId="47">
    <w:abstractNumId w:val="67"/>
  </w:num>
  <w:num w:numId="48">
    <w:abstractNumId w:val="77"/>
  </w:num>
  <w:num w:numId="49">
    <w:abstractNumId w:val="55"/>
  </w:num>
  <w:num w:numId="50">
    <w:abstractNumId w:val="24"/>
  </w:num>
  <w:num w:numId="51">
    <w:abstractNumId w:val="51"/>
  </w:num>
  <w:num w:numId="52">
    <w:abstractNumId w:val="71"/>
  </w:num>
  <w:num w:numId="53">
    <w:abstractNumId w:val="31"/>
  </w:num>
  <w:num w:numId="54">
    <w:abstractNumId w:val="70"/>
  </w:num>
  <w:num w:numId="55">
    <w:abstractNumId w:val="49"/>
  </w:num>
  <w:num w:numId="56">
    <w:abstractNumId w:val="59"/>
  </w:num>
  <w:num w:numId="57">
    <w:abstractNumId w:val="58"/>
  </w:num>
  <w:num w:numId="58">
    <w:abstractNumId w:val="14"/>
  </w:num>
  <w:num w:numId="59">
    <w:abstractNumId w:val="23"/>
  </w:num>
  <w:num w:numId="60">
    <w:abstractNumId w:val="39"/>
  </w:num>
  <w:num w:numId="61">
    <w:abstractNumId w:val="28"/>
  </w:num>
  <w:num w:numId="62">
    <w:abstractNumId w:val="18"/>
  </w:num>
  <w:num w:numId="63">
    <w:abstractNumId w:val="62"/>
  </w:num>
  <w:num w:numId="64">
    <w:abstractNumId w:val="20"/>
  </w:num>
  <w:num w:numId="65">
    <w:abstractNumId w:val="75"/>
  </w:num>
  <w:num w:numId="66">
    <w:abstractNumId w:val="76"/>
  </w:num>
  <w:num w:numId="67">
    <w:abstractNumId w:val="8"/>
  </w:num>
  <w:num w:numId="68">
    <w:abstractNumId w:val="54"/>
  </w:num>
  <w:num w:numId="69">
    <w:abstractNumId w:val="60"/>
  </w:num>
  <w:num w:numId="70">
    <w:abstractNumId w:val="40"/>
  </w:num>
  <w:num w:numId="71">
    <w:abstractNumId w:val="46"/>
  </w:num>
  <w:num w:numId="72">
    <w:abstractNumId w:val="30"/>
  </w:num>
  <w:num w:numId="73">
    <w:abstractNumId w:val="0"/>
  </w:num>
  <w:num w:numId="74">
    <w:abstractNumId w:val="52"/>
  </w:num>
  <w:num w:numId="75">
    <w:abstractNumId w:val="52"/>
  </w:num>
  <w:num w:numId="76">
    <w:abstractNumId w:val="27"/>
  </w:num>
  <w:num w:numId="77">
    <w:abstractNumId w:val="66"/>
  </w:num>
  <w:num w:numId="78">
    <w:abstractNumId w:val="36"/>
  </w:num>
  <w:num w:numId="79">
    <w:abstractNumId w:val="41"/>
  </w:num>
  <w:num w:numId="80">
    <w:abstractNumId w:val="9"/>
  </w:num>
  <w:num w:numId="81">
    <w:abstractNumId w:val="50"/>
  </w:num>
  <w:num w:numId="82">
    <w:abstractNumId w:val="29"/>
  </w:num>
  <w:numIdMacAtCleanup w:val="7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hideSpellingErrors/>
  <w:proofState w:spelling="clean"/>
  <w:defaultTabStop w:val="720"/>
  <w:drawingGridHorizontalSpacing w:val="120"/>
  <w:displayHorizontalDrawingGridEvery w:val="2"/>
  <w:characterSpacingControl w:val="doNotCompress"/>
  <w:footnotePr>
    <w:footnote w:id="0"/>
    <w:footnote w:id="1"/>
    <w:footnote w:id="2"/>
  </w:footnotePr>
  <w:endnotePr>
    <w:endnote w:id="0"/>
    <w:endnote w:id="1"/>
    <w:endnote w:id="2"/>
  </w:endnotePr>
  <w:compat/>
  <w:docVars>
    <w:docVar w:name="PC4SetupInfo" w:val="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"/>
    <w:docVar w:name="PCDelimEnd" w:val="}"/>
    <w:docVar w:name="PCDelimStart" w:val="{#"/>
    <w:docVar w:name="PCRefListBookmark" w:val="PCRefList_Comparative_Effectiveness_Revi"/>
  </w:docVars>
  <w:rsids>
    <w:rsidRoot w:val="00E25A36"/>
    <w:rsid w:val="00001213"/>
    <w:rsid w:val="000076F1"/>
    <w:rsid w:val="000078D7"/>
    <w:rsid w:val="00011F17"/>
    <w:rsid w:val="00012FCC"/>
    <w:rsid w:val="00014712"/>
    <w:rsid w:val="00016364"/>
    <w:rsid w:val="00020884"/>
    <w:rsid w:val="000227DF"/>
    <w:rsid w:val="000318E3"/>
    <w:rsid w:val="000440CB"/>
    <w:rsid w:val="000453FC"/>
    <w:rsid w:val="00046D7A"/>
    <w:rsid w:val="000512DA"/>
    <w:rsid w:val="00054A39"/>
    <w:rsid w:val="00056946"/>
    <w:rsid w:val="00065495"/>
    <w:rsid w:val="000670AF"/>
    <w:rsid w:val="0007117E"/>
    <w:rsid w:val="0007645D"/>
    <w:rsid w:val="00087A0B"/>
    <w:rsid w:val="0009372E"/>
    <w:rsid w:val="00097088"/>
    <w:rsid w:val="000A3E50"/>
    <w:rsid w:val="000A65DF"/>
    <w:rsid w:val="000A7BF0"/>
    <w:rsid w:val="000B4062"/>
    <w:rsid w:val="000B6A92"/>
    <w:rsid w:val="000C4F94"/>
    <w:rsid w:val="000C7E3C"/>
    <w:rsid w:val="000D6918"/>
    <w:rsid w:val="000E0419"/>
    <w:rsid w:val="000E6EA9"/>
    <w:rsid w:val="000F70B9"/>
    <w:rsid w:val="001009A5"/>
    <w:rsid w:val="00111C4E"/>
    <w:rsid w:val="00115148"/>
    <w:rsid w:val="001169B6"/>
    <w:rsid w:val="0012359B"/>
    <w:rsid w:val="00123F45"/>
    <w:rsid w:val="001375CB"/>
    <w:rsid w:val="0014050B"/>
    <w:rsid w:val="00151FDA"/>
    <w:rsid w:val="00162709"/>
    <w:rsid w:val="00164B19"/>
    <w:rsid w:val="00166E1D"/>
    <w:rsid w:val="001708A9"/>
    <w:rsid w:val="001716AA"/>
    <w:rsid w:val="00171DDF"/>
    <w:rsid w:val="00177384"/>
    <w:rsid w:val="00180A6A"/>
    <w:rsid w:val="00196CBA"/>
    <w:rsid w:val="001A41F2"/>
    <w:rsid w:val="001A597D"/>
    <w:rsid w:val="001B088E"/>
    <w:rsid w:val="001B1527"/>
    <w:rsid w:val="001B23D3"/>
    <w:rsid w:val="001B5AC8"/>
    <w:rsid w:val="001C6DE0"/>
    <w:rsid w:val="001D068C"/>
    <w:rsid w:val="001D18E6"/>
    <w:rsid w:val="001D28F9"/>
    <w:rsid w:val="001D2E86"/>
    <w:rsid w:val="001D2F89"/>
    <w:rsid w:val="001D76C1"/>
    <w:rsid w:val="001E7822"/>
    <w:rsid w:val="001F308A"/>
    <w:rsid w:val="001F615A"/>
    <w:rsid w:val="00202322"/>
    <w:rsid w:val="0020372B"/>
    <w:rsid w:val="00207E2F"/>
    <w:rsid w:val="002103E8"/>
    <w:rsid w:val="0021076C"/>
    <w:rsid w:val="00213DE8"/>
    <w:rsid w:val="00217B8B"/>
    <w:rsid w:val="00222971"/>
    <w:rsid w:val="002237EC"/>
    <w:rsid w:val="00225B89"/>
    <w:rsid w:val="002306DC"/>
    <w:rsid w:val="00237052"/>
    <w:rsid w:val="00242255"/>
    <w:rsid w:val="0024622B"/>
    <w:rsid w:val="00246D32"/>
    <w:rsid w:val="00251BD4"/>
    <w:rsid w:val="0025783C"/>
    <w:rsid w:val="00257D39"/>
    <w:rsid w:val="00270C86"/>
    <w:rsid w:val="002720B6"/>
    <w:rsid w:val="0027305E"/>
    <w:rsid w:val="002802AF"/>
    <w:rsid w:val="00282F55"/>
    <w:rsid w:val="00284E13"/>
    <w:rsid w:val="00287958"/>
    <w:rsid w:val="00291D90"/>
    <w:rsid w:val="002A0F11"/>
    <w:rsid w:val="002A2377"/>
    <w:rsid w:val="002B23CB"/>
    <w:rsid w:val="002B2C36"/>
    <w:rsid w:val="002B7021"/>
    <w:rsid w:val="002C2A7B"/>
    <w:rsid w:val="002C3C57"/>
    <w:rsid w:val="002C4AA7"/>
    <w:rsid w:val="002C4AFF"/>
    <w:rsid w:val="002E75E7"/>
    <w:rsid w:val="002F29F7"/>
    <w:rsid w:val="002F4A96"/>
    <w:rsid w:val="00304BB8"/>
    <w:rsid w:val="00312F0A"/>
    <w:rsid w:val="00313983"/>
    <w:rsid w:val="00313AFA"/>
    <w:rsid w:val="00315A9F"/>
    <w:rsid w:val="00316A70"/>
    <w:rsid w:val="00324923"/>
    <w:rsid w:val="0033310D"/>
    <w:rsid w:val="003447BE"/>
    <w:rsid w:val="00346664"/>
    <w:rsid w:val="003479B7"/>
    <w:rsid w:val="00352E50"/>
    <w:rsid w:val="00353098"/>
    <w:rsid w:val="00361F53"/>
    <w:rsid w:val="003648DA"/>
    <w:rsid w:val="00364C70"/>
    <w:rsid w:val="003657D5"/>
    <w:rsid w:val="00365878"/>
    <w:rsid w:val="00366207"/>
    <w:rsid w:val="00377A8D"/>
    <w:rsid w:val="003824C1"/>
    <w:rsid w:val="00384908"/>
    <w:rsid w:val="00391CBB"/>
    <w:rsid w:val="00397D9B"/>
    <w:rsid w:val="003A2D87"/>
    <w:rsid w:val="003A2F9D"/>
    <w:rsid w:val="003A31B9"/>
    <w:rsid w:val="003A5AD4"/>
    <w:rsid w:val="003A770B"/>
    <w:rsid w:val="003A7C39"/>
    <w:rsid w:val="003C2814"/>
    <w:rsid w:val="003D0FE4"/>
    <w:rsid w:val="003D12D4"/>
    <w:rsid w:val="003D16D4"/>
    <w:rsid w:val="003D6E9D"/>
    <w:rsid w:val="003E3585"/>
    <w:rsid w:val="003E37DA"/>
    <w:rsid w:val="003E494E"/>
    <w:rsid w:val="003F1917"/>
    <w:rsid w:val="003F68CA"/>
    <w:rsid w:val="00405E03"/>
    <w:rsid w:val="004065D3"/>
    <w:rsid w:val="00410B1E"/>
    <w:rsid w:val="00411629"/>
    <w:rsid w:val="004143B5"/>
    <w:rsid w:val="0041467B"/>
    <w:rsid w:val="004150CF"/>
    <w:rsid w:val="004222D1"/>
    <w:rsid w:val="00422F96"/>
    <w:rsid w:val="00430EA8"/>
    <w:rsid w:val="00434560"/>
    <w:rsid w:val="00441A3D"/>
    <w:rsid w:val="00443409"/>
    <w:rsid w:val="0044491A"/>
    <w:rsid w:val="00444942"/>
    <w:rsid w:val="0045482F"/>
    <w:rsid w:val="00454F7B"/>
    <w:rsid w:val="00456C61"/>
    <w:rsid w:val="00463936"/>
    <w:rsid w:val="0049090B"/>
    <w:rsid w:val="00492316"/>
    <w:rsid w:val="00495844"/>
    <w:rsid w:val="004A024B"/>
    <w:rsid w:val="004A490B"/>
    <w:rsid w:val="004C7397"/>
    <w:rsid w:val="004D26C8"/>
    <w:rsid w:val="004E1D0D"/>
    <w:rsid w:val="004E236D"/>
    <w:rsid w:val="004F363B"/>
    <w:rsid w:val="004F6DCC"/>
    <w:rsid w:val="004F72DD"/>
    <w:rsid w:val="0050045F"/>
    <w:rsid w:val="005114FA"/>
    <w:rsid w:val="0051469C"/>
    <w:rsid w:val="005219E8"/>
    <w:rsid w:val="005227E4"/>
    <w:rsid w:val="0052305D"/>
    <w:rsid w:val="00531344"/>
    <w:rsid w:val="005338C3"/>
    <w:rsid w:val="00537401"/>
    <w:rsid w:val="00540611"/>
    <w:rsid w:val="00544C96"/>
    <w:rsid w:val="005466F9"/>
    <w:rsid w:val="00552C6B"/>
    <w:rsid w:val="00554271"/>
    <w:rsid w:val="00561B22"/>
    <w:rsid w:val="005710F9"/>
    <w:rsid w:val="00573B3C"/>
    <w:rsid w:val="00576790"/>
    <w:rsid w:val="00585356"/>
    <w:rsid w:val="005945B7"/>
    <w:rsid w:val="00595F55"/>
    <w:rsid w:val="0059655A"/>
    <w:rsid w:val="00596CF7"/>
    <w:rsid w:val="005A4448"/>
    <w:rsid w:val="005A5A6E"/>
    <w:rsid w:val="005B4FD9"/>
    <w:rsid w:val="005B56D6"/>
    <w:rsid w:val="005C6CC0"/>
    <w:rsid w:val="005C6F56"/>
    <w:rsid w:val="005D4A2F"/>
    <w:rsid w:val="005E2415"/>
    <w:rsid w:val="005F0394"/>
    <w:rsid w:val="005F5B49"/>
    <w:rsid w:val="005F6C36"/>
    <w:rsid w:val="006009EB"/>
    <w:rsid w:val="00607304"/>
    <w:rsid w:val="00607352"/>
    <w:rsid w:val="00611540"/>
    <w:rsid w:val="0061763B"/>
    <w:rsid w:val="00617CF8"/>
    <w:rsid w:val="006234EF"/>
    <w:rsid w:val="006246BC"/>
    <w:rsid w:val="00626D7C"/>
    <w:rsid w:val="00630EBC"/>
    <w:rsid w:val="00632F93"/>
    <w:rsid w:val="00640C44"/>
    <w:rsid w:val="006425AD"/>
    <w:rsid w:val="00645A8A"/>
    <w:rsid w:val="00646C61"/>
    <w:rsid w:val="0065216C"/>
    <w:rsid w:val="00657835"/>
    <w:rsid w:val="006601AE"/>
    <w:rsid w:val="00666A7F"/>
    <w:rsid w:val="006678C6"/>
    <w:rsid w:val="00682045"/>
    <w:rsid w:val="0068488D"/>
    <w:rsid w:val="00686A5F"/>
    <w:rsid w:val="00686DF6"/>
    <w:rsid w:val="0069165D"/>
    <w:rsid w:val="006A2EE1"/>
    <w:rsid w:val="006A3682"/>
    <w:rsid w:val="006A5BBB"/>
    <w:rsid w:val="006A6424"/>
    <w:rsid w:val="006B0266"/>
    <w:rsid w:val="006B6A7A"/>
    <w:rsid w:val="006C5D52"/>
    <w:rsid w:val="006D23BE"/>
    <w:rsid w:val="006D47A6"/>
    <w:rsid w:val="006D4DAB"/>
    <w:rsid w:val="006D5860"/>
    <w:rsid w:val="006E2A43"/>
    <w:rsid w:val="006F221A"/>
    <w:rsid w:val="00706550"/>
    <w:rsid w:val="00711E1D"/>
    <w:rsid w:val="00731515"/>
    <w:rsid w:val="00735102"/>
    <w:rsid w:val="00736967"/>
    <w:rsid w:val="007378E6"/>
    <w:rsid w:val="00741398"/>
    <w:rsid w:val="00750E40"/>
    <w:rsid w:val="0075587B"/>
    <w:rsid w:val="0076089B"/>
    <w:rsid w:val="007620B8"/>
    <w:rsid w:val="007640D5"/>
    <w:rsid w:val="00766722"/>
    <w:rsid w:val="0077043E"/>
    <w:rsid w:val="0077655D"/>
    <w:rsid w:val="00783190"/>
    <w:rsid w:val="00787C7E"/>
    <w:rsid w:val="0079313C"/>
    <w:rsid w:val="00794380"/>
    <w:rsid w:val="007A336F"/>
    <w:rsid w:val="007A417C"/>
    <w:rsid w:val="007A5E41"/>
    <w:rsid w:val="007A7843"/>
    <w:rsid w:val="007B4E47"/>
    <w:rsid w:val="007B6ADF"/>
    <w:rsid w:val="007B72CB"/>
    <w:rsid w:val="007C0345"/>
    <w:rsid w:val="007C2982"/>
    <w:rsid w:val="007C42E8"/>
    <w:rsid w:val="007E186B"/>
    <w:rsid w:val="007E2757"/>
    <w:rsid w:val="007E3DE4"/>
    <w:rsid w:val="007E4E26"/>
    <w:rsid w:val="007F0AFB"/>
    <w:rsid w:val="007F3FDB"/>
    <w:rsid w:val="007F57C7"/>
    <w:rsid w:val="007F7B38"/>
    <w:rsid w:val="008005D5"/>
    <w:rsid w:val="008054EB"/>
    <w:rsid w:val="00815B4A"/>
    <w:rsid w:val="00817CC8"/>
    <w:rsid w:val="00821F65"/>
    <w:rsid w:val="00835429"/>
    <w:rsid w:val="008445D5"/>
    <w:rsid w:val="00855558"/>
    <w:rsid w:val="00861139"/>
    <w:rsid w:val="0086170C"/>
    <w:rsid w:val="00862D89"/>
    <w:rsid w:val="00867368"/>
    <w:rsid w:val="008718AC"/>
    <w:rsid w:val="0087229C"/>
    <w:rsid w:val="00872C8C"/>
    <w:rsid w:val="00872F0C"/>
    <w:rsid w:val="0087399D"/>
    <w:rsid w:val="00877CAF"/>
    <w:rsid w:val="008801AF"/>
    <w:rsid w:val="008820A4"/>
    <w:rsid w:val="008832E5"/>
    <w:rsid w:val="00884ACE"/>
    <w:rsid w:val="008971D9"/>
    <w:rsid w:val="008A3CA3"/>
    <w:rsid w:val="008A6BEB"/>
    <w:rsid w:val="008A6CA9"/>
    <w:rsid w:val="008A79D6"/>
    <w:rsid w:val="008B3F99"/>
    <w:rsid w:val="008C22BC"/>
    <w:rsid w:val="008D0AF6"/>
    <w:rsid w:val="008D1D54"/>
    <w:rsid w:val="008D224A"/>
    <w:rsid w:val="008D79A6"/>
    <w:rsid w:val="008E0C78"/>
    <w:rsid w:val="008E0CFF"/>
    <w:rsid w:val="008E1169"/>
    <w:rsid w:val="008E4C1A"/>
    <w:rsid w:val="008E501F"/>
    <w:rsid w:val="008E552A"/>
    <w:rsid w:val="008F6790"/>
    <w:rsid w:val="00900AB8"/>
    <w:rsid w:val="00902B02"/>
    <w:rsid w:val="0090629E"/>
    <w:rsid w:val="009131AE"/>
    <w:rsid w:val="00917E56"/>
    <w:rsid w:val="00921E13"/>
    <w:rsid w:val="009243DB"/>
    <w:rsid w:val="009324DE"/>
    <w:rsid w:val="0093263A"/>
    <w:rsid w:val="00935BE5"/>
    <w:rsid w:val="00935EEC"/>
    <w:rsid w:val="009365F7"/>
    <w:rsid w:val="009622D2"/>
    <w:rsid w:val="00962BFB"/>
    <w:rsid w:val="00964E81"/>
    <w:rsid w:val="00965A66"/>
    <w:rsid w:val="009669CE"/>
    <w:rsid w:val="00967884"/>
    <w:rsid w:val="0098259A"/>
    <w:rsid w:val="009907A1"/>
    <w:rsid w:val="00996C42"/>
    <w:rsid w:val="009A1095"/>
    <w:rsid w:val="009A6D6F"/>
    <w:rsid w:val="009B342C"/>
    <w:rsid w:val="009B3783"/>
    <w:rsid w:val="009B5185"/>
    <w:rsid w:val="009C05EB"/>
    <w:rsid w:val="009C3766"/>
    <w:rsid w:val="009D3B93"/>
    <w:rsid w:val="009D4D34"/>
    <w:rsid w:val="009E7919"/>
    <w:rsid w:val="009F10A4"/>
    <w:rsid w:val="009F1945"/>
    <w:rsid w:val="009F375B"/>
    <w:rsid w:val="009F3822"/>
    <w:rsid w:val="009F77B5"/>
    <w:rsid w:val="00A04467"/>
    <w:rsid w:val="00A05594"/>
    <w:rsid w:val="00A1764E"/>
    <w:rsid w:val="00A205C7"/>
    <w:rsid w:val="00A2124E"/>
    <w:rsid w:val="00A300EE"/>
    <w:rsid w:val="00A37B94"/>
    <w:rsid w:val="00A41A6F"/>
    <w:rsid w:val="00A4406D"/>
    <w:rsid w:val="00A44C57"/>
    <w:rsid w:val="00A45756"/>
    <w:rsid w:val="00A47F69"/>
    <w:rsid w:val="00A50C68"/>
    <w:rsid w:val="00A53B95"/>
    <w:rsid w:val="00A63435"/>
    <w:rsid w:val="00A658B4"/>
    <w:rsid w:val="00A8111B"/>
    <w:rsid w:val="00A83A98"/>
    <w:rsid w:val="00A843B1"/>
    <w:rsid w:val="00A8687A"/>
    <w:rsid w:val="00A903C5"/>
    <w:rsid w:val="00A95263"/>
    <w:rsid w:val="00A95550"/>
    <w:rsid w:val="00AA1218"/>
    <w:rsid w:val="00AA1A34"/>
    <w:rsid w:val="00AA4CDD"/>
    <w:rsid w:val="00AA61EA"/>
    <w:rsid w:val="00AA7F39"/>
    <w:rsid w:val="00AB3EB1"/>
    <w:rsid w:val="00AB44AD"/>
    <w:rsid w:val="00AB48E2"/>
    <w:rsid w:val="00AB51AE"/>
    <w:rsid w:val="00AB7DA1"/>
    <w:rsid w:val="00AC584A"/>
    <w:rsid w:val="00AC5FF9"/>
    <w:rsid w:val="00AD2299"/>
    <w:rsid w:val="00AD47E9"/>
    <w:rsid w:val="00AD6AD6"/>
    <w:rsid w:val="00AD730E"/>
    <w:rsid w:val="00AE1213"/>
    <w:rsid w:val="00AE416C"/>
    <w:rsid w:val="00AF5A07"/>
    <w:rsid w:val="00B0561D"/>
    <w:rsid w:val="00B128EC"/>
    <w:rsid w:val="00B133EF"/>
    <w:rsid w:val="00B15423"/>
    <w:rsid w:val="00B2577B"/>
    <w:rsid w:val="00B26CF0"/>
    <w:rsid w:val="00B27DBB"/>
    <w:rsid w:val="00B419FD"/>
    <w:rsid w:val="00B42337"/>
    <w:rsid w:val="00B47330"/>
    <w:rsid w:val="00B50969"/>
    <w:rsid w:val="00B573AD"/>
    <w:rsid w:val="00B61690"/>
    <w:rsid w:val="00B72BDB"/>
    <w:rsid w:val="00B7316A"/>
    <w:rsid w:val="00B7737B"/>
    <w:rsid w:val="00B80BDB"/>
    <w:rsid w:val="00B85F68"/>
    <w:rsid w:val="00B87301"/>
    <w:rsid w:val="00B91E72"/>
    <w:rsid w:val="00B9650E"/>
    <w:rsid w:val="00BB2FED"/>
    <w:rsid w:val="00BB41AA"/>
    <w:rsid w:val="00BB7625"/>
    <w:rsid w:val="00BC032E"/>
    <w:rsid w:val="00BC4043"/>
    <w:rsid w:val="00BC6FEE"/>
    <w:rsid w:val="00BD0BEE"/>
    <w:rsid w:val="00BD24B2"/>
    <w:rsid w:val="00BD2AD2"/>
    <w:rsid w:val="00BD3566"/>
    <w:rsid w:val="00BE16F0"/>
    <w:rsid w:val="00BE2256"/>
    <w:rsid w:val="00BE2C3D"/>
    <w:rsid w:val="00BF05B9"/>
    <w:rsid w:val="00BF05C7"/>
    <w:rsid w:val="00BF2EFA"/>
    <w:rsid w:val="00BF5187"/>
    <w:rsid w:val="00BF5DEA"/>
    <w:rsid w:val="00BF7DC7"/>
    <w:rsid w:val="00C02955"/>
    <w:rsid w:val="00C12964"/>
    <w:rsid w:val="00C17151"/>
    <w:rsid w:val="00C26F81"/>
    <w:rsid w:val="00C2710C"/>
    <w:rsid w:val="00C3042C"/>
    <w:rsid w:val="00C30925"/>
    <w:rsid w:val="00C445F3"/>
    <w:rsid w:val="00C46D11"/>
    <w:rsid w:val="00C47741"/>
    <w:rsid w:val="00C47F86"/>
    <w:rsid w:val="00C53C37"/>
    <w:rsid w:val="00C6227E"/>
    <w:rsid w:val="00C67543"/>
    <w:rsid w:val="00C73F3B"/>
    <w:rsid w:val="00C81ED1"/>
    <w:rsid w:val="00C87BC7"/>
    <w:rsid w:val="00C9509B"/>
    <w:rsid w:val="00CA0743"/>
    <w:rsid w:val="00CA0DE9"/>
    <w:rsid w:val="00CA4215"/>
    <w:rsid w:val="00CA7BCD"/>
    <w:rsid w:val="00CC0C79"/>
    <w:rsid w:val="00CD3244"/>
    <w:rsid w:val="00CE3441"/>
    <w:rsid w:val="00CF2B4C"/>
    <w:rsid w:val="00D0003A"/>
    <w:rsid w:val="00D0180A"/>
    <w:rsid w:val="00D03D32"/>
    <w:rsid w:val="00D03F06"/>
    <w:rsid w:val="00D04D04"/>
    <w:rsid w:val="00D07AA8"/>
    <w:rsid w:val="00D10F8C"/>
    <w:rsid w:val="00D11D64"/>
    <w:rsid w:val="00D161A8"/>
    <w:rsid w:val="00D21E39"/>
    <w:rsid w:val="00D23714"/>
    <w:rsid w:val="00D3613C"/>
    <w:rsid w:val="00D401BE"/>
    <w:rsid w:val="00D45527"/>
    <w:rsid w:val="00D46986"/>
    <w:rsid w:val="00D50F54"/>
    <w:rsid w:val="00D51C54"/>
    <w:rsid w:val="00D52F65"/>
    <w:rsid w:val="00D5449D"/>
    <w:rsid w:val="00D57938"/>
    <w:rsid w:val="00D63876"/>
    <w:rsid w:val="00D65168"/>
    <w:rsid w:val="00D72250"/>
    <w:rsid w:val="00D725CD"/>
    <w:rsid w:val="00D73FCB"/>
    <w:rsid w:val="00D7600D"/>
    <w:rsid w:val="00D76ED0"/>
    <w:rsid w:val="00D9038E"/>
    <w:rsid w:val="00D90524"/>
    <w:rsid w:val="00D91E16"/>
    <w:rsid w:val="00D92165"/>
    <w:rsid w:val="00D94066"/>
    <w:rsid w:val="00D94DFE"/>
    <w:rsid w:val="00D94E22"/>
    <w:rsid w:val="00DC0D4B"/>
    <w:rsid w:val="00DC19FB"/>
    <w:rsid w:val="00DC4ED6"/>
    <w:rsid w:val="00DD283E"/>
    <w:rsid w:val="00DD2AD9"/>
    <w:rsid w:val="00DD2D1D"/>
    <w:rsid w:val="00DD2EAB"/>
    <w:rsid w:val="00DE0260"/>
    <w:rsid w:val="00DE2885"/>
    <w:rsid w:val="00DE4A60"/>
    <w:rsid w:val="00E02BA8"/>
    <w:rsid w:val="00E03BC4"/>
    <w:rsid w:val="00E03D89"/>
    <w:rsid w:val="00E15C8D"/>
    <w:rsid w:val="00E25A36"/>
    <w:rsid w:val="00E276FD"/>
    <w:rsid w:val="00E36058"/>
    <w:rsid w:val="00E36B73"/>
    <w:rsid w:val="00E42420"/>
    <w:rsid w:val="00E45CC9"/>
    <w:rsid w:val="00E547C2"/>
    <w:rsid w:val="00E576CB"/>
    <w:rsid w:val="00E67787"/>
    <w:rsid w:val="00E71583"/>
    <w:rsid w:val="00E81D8A"/>
    <w:rsid w:val="00E90E59"/>
    <w:rsid w:val="00E9160B"/>
    <w:rsid w:val="00E95BCE"/>
    <w:rsid w:val="00E96113"/>
    <w:rsid w:val="00EA06F6"/>
    <w:rsid w:val="00EA3F14"/>
    <w:rsid w:val="00EB21E6"/>
    <w:rsid w:val="00EB36E3"/>
    <w:rsid w:val="00EC0199"/>
    <w:rsid w:val="00EC0EBB"/>
    <w:rsid w:val="00EC30C1"/>
    <w:rsid w:val="00EC4646"/>
    <w:rsid w:val="00EC4E9A"/>
    <w:rsid w:val="00EC7E04"/>
    <w:rsid w:val="00ED4255"/>
    <w:rsid w:val="00ED54F7"/>
    <w:rsid w:val="00ED67FE"/>
    <w:rsid w:val="00EE2210"/>
    <w:rsid w:val="00EE34B5"/>
    <w:rsid w:val="00EE423D"/>
    <w:rsid w:val="00EF281B"/>
    <w:rsid w:val="00EF2D5F"/>
    <w:rsid w:val="00EF732C"/>
    <w:rsid w:val="00F10543"/>
    <w:rsid w:val="00F10B4E"/>
    <w:rsid w:val="00F12F29"/>
    <w:rsid w:val="00F26085"/>
    <w:rsid w:val="00F26509"/>
    <w:rsid w:val="00F268DC"/>
    <w:rsid w:val="00F27FB5"/>
    <w:rsid w:val="00F375CC"/>
    <w:rsid w:val="00F54DCA"/>
    <w:rsid w:val="00F5772A"/>
    <w:rsid w:val="00F600B6"/>
    <w:rsid w:val="00F61EFF"/>
    <w:rsid w:val="00F73DA2"/>
    <w:rsid w:val="00F8103D"/>
    <w:rsid w:val="00F82FA7"/>
    <w:rsid w:val="00F87DBD"/>
    <w:rsid w:val="00F914CE"/>
    <w:rsid w:val="00FA0427"/>
    <w:rsid w:val="00FA1F41"/>
    <w:rsid w:val="00FA5074"/>
    <w:rsid w:val="00FB1C37"/>
    <w:rsid w:val="00FB21C0"/>
    <w:rsid w:val="00FB2892"/>
    <w:rsid w:val="00FB327C"/>
    <w:rsid w:val="00FB34AF"/>
    <w:rsid w:val="00FC5005"/>
    <w:rsid w:val="00FC66EE"/>
    <w:rsid w:val="00FE7E87"/>
    <w:rsid w:val="00FF0A69"/>
    <w:rsid w:val="00FF185F"/>
    <w:rsid w:val="00FF1ECB"/>
    <w:rsid w:val="00FF59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nhideWhenUsed="0" w:qFormat="1"/>
    <w:lsdException w:name="Normal (Web)" w:uiPriority="0"/>
    <w:lsdException w:name="Table Grid" w:semiHidden="0" w:uiPriority="59" w:unhideWhenUsed="0"/>
    <w:lsdException w:name="Placeholder Text" w:semiHidden="0" w:uiPriority="67" w:unhideWhenUsed="0"/>
    <w:lsdException w:name="No Spacing" w:semiHidden="0" w:uiPriority="1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24B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qFormat/>
    <w:rsid w:val="004A024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next w:val="Normal"/>
    <w:link w:val="Heading2Char"/>
    <w:autoRedefine/>
    <w:qFormat/>
    <w:rsid w:val="00E25A36"/>
    <w:pPr>
      <w:spacing w:before="240" w:after="60"/>
      <w:outlineLvl w:val="1"/>
    </w:pPr>
    <w:rPr>
      <w:rFonts w:ascii="Times New Roman" w:hAnsi="Times New Roman" w:cs="Arial"/>
      <w:b/>
      <w:bCs/>
      <w:iCs/>
      <w:color w:val="000000"/>
      <w:sz w:val="32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E25A36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nhideWhenUsed/>
    <w:qFormat/>
    <w:rsid w:val="00E25A36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nhideWhenUsed/>
    <w:qFormat/>
    <w:rsid w:val="00E25A36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nhideWhenUsed/>
    <w:qFormat/>
    <w:rsid w:val="00E25A36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25A36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rsid w:val="00E25A36"/>
    <w:rPr>
      <w:rFonts w:ascii="Times New Roman" w:eastAsia="Calibri" w:hAnsi="Times New Roman" w:cs="Arial"/>
      <w:b/>
      <w:bCs/>
      <w:iCs/>
      <w:color w:val="000000"/>
      <w:sz w:val="32"/>
      <w:szCs w:val="28"/>
      <w:lang w:val="en-US" w:eastAsia="en-US" w:bidi="ar-SA"/>
    </w:rPr>
  </w:style>
  <w:style w:type="character" w:customStyle="1" w:styleId="Heading3Char">
    <w:name w:val="Heading 3 Char"/>
    <w:link w:val="Heading3"/>
    <w:rsid w:val="00E25A36"/>
    <w:rPr>
      <w:rFonts w:ascii="Cambria" w:eastAsia="Times New Roman" w:hAnsi="Cambria" w:cs="Times New Roman"/>
      <w:b/>
      <w:bCs/>
      <w:color w:val="4F81BD"/>
    </w:rPr>
  </w:style>
  <w:style w:type="character" w:customStyle="1" w:styleId="Heading4Char">
    <w:name w:val="Heading 4 Char"/>
    <w:link w:val="Heading4"/>
    <w:rsid w:val="00E25A36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Heading5Char">
    <w:name w:val="Heading 5 Char"/>
    <w:link w:val="Heading5"/>
    <w:rsid w:val="00E25A36"/>
    <w:rPr>
      <w:rFonts w:ascii="Cambria" w:eastAsia="Times New Roman" w:hAnsi="Cambria" w:cs="Times New Roman"/>
      <w:color w:val="243F60"/>
    </w:rPr>
  </w:style>
  <w:style w:type="character" w:customStyle="1" w:styleId="Heading6Char">
    <w:name w:val="Heading 6 Char"/>
    <w:link w:val="Heading6"/>
    <w:rsid w:val="00E25A36"/>
    <w:rPr>
      <w:rFonts w:ascii="Cambria" w:eastAsia="Times New Roman" w:hAnsi="Cambria" w:cs="Times New Roman"/>
      <w:i/>
      <w:iCs/>
      <w:color w:val="243F60"/>
    </w:rPr>
  </w:style>
  <w:style w:type="table" w:styleId="TableGrid">
    <w:name w:val="Table Grid"/>
    <w:basedOn w:val="TableNormal"/>
    <w:uiPriority w:val="59"/>
    <w:rsid w:val="004A024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4A024B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BalloonText">
    <w:name w:val="Balloon Text"/>
    <w:basedOn w:val="Normal"/>
    <w:link w:val="BalloonTextChar"/>
    <w:uiPriority w:val="99"/>
    <w:unhideWhenUsed/>
    <w:rsid w:val="004A02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A024B"/>
    <w:rPr>
      <w:rFonts w:ascii="Tahoma" w:eastAsia="Times New Roman" w:hAnsi="Tahoma" w:cs="Tahoma"/>
      <w:sz w:val="16"/>
      <w:szCs w:val="16"/>
    </w:rPr>
  </w:style>
  <w:style w:type="paragraph" w:customStyle="1" w:styleId="Bullet1">
    <w:name w:val="Bullet1"/>
    <w:qFormat/>
    <w:rsid w:val="004A024B"/>
    <w:pPr>
      <w:numPr>
        <w:numId w:val="75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4A024B"/>
    <w:pPr>
      <w:numPr>
        <w:ilvl w:val="1"/>
        <w:numId w:val="75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ChapterHeading">
    <w:name w:val="ChapterHeading"/>
    <w:uiPriority w:val="99"/>
    <w:qFormat/>
    <w:rsid w:val="004A024B"/>
    <w:pPr>
      <w:keepNext/>
      <w:spacing w:before="240" w:after="60"/>
      <w:jc w:val="center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basedOn w:val="DefaultParagraphFont"/>
    <w:uiPriority w:val="99"/>
    <w:semiHidden/>
    <w:rsid w:val="004A02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4A024B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A024B"/>
  </w:style>
  <w:style w:type="paragraph" w:styleId="CommentSubject">
    <w:name w:val="annotation subject"/>
    <w:basedOn w:val="CommentText"/>
    <w:next w:val="CommentText"/>
    <w:link w:val="CommentSubjectChar"/>
    <w:uiPriority w:val="99"/>
    <w:rsid w:val="004A02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4A024B"/>
    <w:rPr>
      <w:b/>
      <w:bCs/>
    </w:rPr>
  </w:style>
  <w:style w:type="paragraph" w:customStyle="1" w:styleId="Contents">
    <w:name w:val="Contents"/>
    <w:qFormat/>
    <w:rsid w:val="004A024B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4A024B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4A024B"/>
    <w:rPr>
      <w:rFonts w:ascii="Times New Roman" w:eastAsia="Times New Roman" w:hAnsi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A024B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4A024B"/>
    <w:rPr>
      <w:sz w:val="22"/>
      <w:szCs w:val="22"/>
    </w:rPr>
  </w:style>
  <w:style w:type="paragraph" w:customStyle="1" w:styleId="FrontMatterHead">
    <w:name w:val="FrontMatterHead"/>
    <w:qFormat/>
    <w:rsid w:val="004A024B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4A024B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A024B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4A024B"/>
    <w:rPr>
      <w:color w:val="0000FF" w:themeColor="hyperlink"/>
      <w:u w:val="single"/>
    </w:rPr>
  </w:style>
  <w:style w:type="paragraph" w:customStyle="1" w:styleId="Investigators">
    <w:name w:val="Investigators"/>
    <w:qFormat/>
    <w:rsid w:val="004A024B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4A024B"/>
    <w:pPr>
      <w:keepNext/>
      <w:spacing w:before="120" w:after="120"/>
    </w:pPr>
    <w:rPr>
      <w:rFonts w:ascii="Arial" w:eastAsia="Times New Roman" w:hAnsi="Arial" w:cs="Arial"/>
      <w:iCs/>
      <w:kern w:val="32"/>
      <w:sz w:val="28"/>
      <w:szCs w:val="28"/>
    </w:rPr>
  </w:style>
  <w:style w:type="paragraph" w:customStyle="1" w:styleId="Level1Heading">
    <w:name w:val="Level1Heading"/>
    <w:uiPriority w:val="99"/>
    <w:qFormat/>
    <w:rsid w:val="004A024B"/>
    <w:pPr>
      <w:keepNext/>
      <w:spacing w:before="240" w:after="60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uiPriority w:val="99"/>
    <w:qFormat/>
    <w:rsid w:val="004A024B"/>
    <w:pPr>
      <w:keepNext/>
      <w:spacing w:before="240" w:after="60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4A024B"/>
    <w:pPr>
      <w:keepNext/>
      <w:spacing w:before="240"/>
    </w:pPr>
    <w:rPr>
      <w:rFonts w:ascii="Arial" w:eastAsia="Times New Roman" w:hAnsi="Arial"/>
      <w:b/>
      <w:bCs/>
      <w:sz w:val="28"/>
      <w:szCs w:val="24"/>
    </w:rPr>
  </w:style>
  <w:style w:type="paragraph" w:customStyle="1" w:styleId="Level4Heading">
    <w:name w:val="Level4Heading"/>
    <w:qFormat/>
    <w:rsid w:val="004A024B"/>
    <w:pPr>
      <w:keepNext/>
      <w:spacing w:before="240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4A024B"/>
    <w:pPr>
      <w:keepNext/>
      <w:spacing w:before="240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4A024B"/>
    <w:pPr>
      <w:keepNext/>
      <w:spacing w:before="24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4A024B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4A024B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NormalWeb">
    <w:name w:val="Normal (Web)"/>
    <w:basedOn w:val="Normal"/>
    <w:rsid w:val="004A024B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Revision">
    <w:name w:val="Revision"/>
    <w:hidden/>
    <w:uiPriority w:val="99"/>
    <w:semiHidden/>
    <w:rsid w:val="00A47F69"/>
    <w:rPr>
      <w:rFonts w:ascii="Times New Roman" w:hAnsi="Times New Roman"/>
      <w:sz w:val="24"/>
      <w:szCs w:val="22"/>
    </w:rPr>
  </w:style>
  <w:style w:type="paragraph" w:customStyle="1" w:styleId="NumberLine">
    <w:name w:val="NumberLine"/>
    <w:qFormat/>
    <w:rsid w:val="004A024B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4A024B"/>
    <w:rPr>
      <w:rFonts w:ascii="Times New Roman" w:eastAsia="Times New Roman" w:hAnsi="Times New Roman"/>
      <w:bCs/>
      <w:sz w:val="28"/>
      <w:szCs w:val="28"/>
    </w:rPr>
  </w:style>
  <w:style w:type="paragraph" w:customStyle="1" w:styleId="PageNumber">
    <w:name w:val="PageNumber"/>
    <w:qFormat/>
    <w:rsid w:val="004A024B"/>
    <w:pPr>
      <w:jc w:val="center"/>
    </w:pPr>
    <w:rPr>
      <w:rFonts w:ascii="Times New Roman" w:hAnsi="Times New Roman"/>
      <w:sz w:val="24"/>
      <w:szCs w:val="24"/>
    </w:rPr>
  </w:style>
  <w:style w:type="paragraph" w:customStyle="1" w:styleId="ParagraphIndent">
    <w:name w:val="ParagraphIndent"/>
    <w:qFormat/>
    <w:rsid w:val="004A024B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4A024B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4A024B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4A024B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4A024B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4A024B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4A024B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qFormat/>
    <w:rsid w:val="004A024B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4A024B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4A024B"/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4A024B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4A024B"/>
    <w:pPr>
      <w:keepLines/>
      <w:spacing w:before="120" w:after="120"/>
    </w:pPr>
    <w:rPr>
      <w:rFonts w:ascii="Times New Roman" w:hAnsi="Times New Roman" w:cs="Arial"/>
      <w:color w:val="000000" w:themeColor="text1"/>
      <w:sz w:val="24"/>
      <w:szCs w:val="32"/>
    </w:rPr>
  </w:style>
  <w:style w:type="paragraph" w:customStyle="1" w:styleId="Studies2">
    <w:name w:val="Studies2"/>
    <w:qFormat/>
    <w:rsid w:val="004A024B"/>
    <w:pPr>
      <w:keepLines/>
      <w:numPr>
        <w:numId w:val="76"/>
      </w:numPr>
      <w:spacing w:before="120" w:after="120"/>
    </w:pPr>
    <w:rPr>
      <w:rFonts w:ascii="Times New Roman" w:eastAsia="Times" w:hAnsi="Times New Roman"/>
      <w:color w:val="000000" w:themeColor="text1"/>
      <w:sz w:val="24"/>
      <w:szCs w:val="24"/>
    </w:rPr>
  </w:style>
  <w:style w:type="paragraph" w:customStyle="1" w:styleId="SuggestedCitation">
    <w:name w:val="SuggestedCitation"/>
    <w:qFormat/>
    <w:rsid w:val="004A024B"/>
    <w:rPr>
      <w:rFonts w:ascii="Times New Roman" w:eastAsia="Times New Roman" w:hAnsi="Times New Roman"/>
      <w:bCs/>
      <w:sz w:val="24"/>
      <w:szCs w:val="24"/>
    </w:rPr>
  </w:style>
  <w:style w:type="paragraph" w:customStyle="1" w:styleId="TableBoldText">
    <w:name w:val="TableBoldText"/>
    <w:qFormat/>
    <w:rsid w:val="004A024B"/>
    <w:rPr>
      <w:rFonts w:ascii="Arial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4A024B"/>
    <w:pPr>
      <w:jc w:val="center"/>
    </w:pPr>
    <w:rPr>
      <w:rFonts w:ascii="Arial" w:hAnsi="Arial" w:cs="Arial"/>
      <w:sz w:val="18"/>
      <w:szCs w:val="18"/>
    </w:rPr>
  </w:style>
  <w:style w:type="paragraph" w:customStyle="1" w:styleId="TableColumnHead">
    <w:name w:val="TableColumnHead"/>
    <w:qFormat/>
    <w:rsid w:val="004A024B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4A024B"/>
    <w:rPr>
      <w:rFonts w:ascii="Arial" w:hAnsi="Arial" w:cs="Arial"/>
      <w:sz w:val="18"/>
      <w:szCs w:val="18"/>
    </w:rPr>
  </w:style>
  <w:style w:type="paragraph" w:customStyle="1" w:styleId="TableNote">
    <w:name w:val="TableNote"/>
    <w:qFormat/>
    <w:rsid w:val="004A024B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4A024B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4A024B"/>
    <w:rPr>
      <w:rFonts w:ascii="Arial" w:hAnsi="Arial" w:cs="Arial"/>
      <w:sz w:val="18"/>
      <w:szCs w:val="18"/>
    </w:rPr>
  </w:style>
  <w:style w:type="paragraph" w:customStyle="1" w:styleId="TableTitle">
    <w:name w:val="TableTitle"/>
    <w:uiPriority w:val="99"/>
    <w:qFormat/>
    <w:rsid w:val="004A024B"/>
    <w:pPr>
      <w:keepNext/>
      <w:spacing w:before="240"/>
    </w:pPr>
    <w:rPr>
      <w:rFonts w:ascii="Arial" w:hAnsi="Arial"/>
      <w:b/>
      <w:color w:val="000000"/>
      <w:szCs w:val="24"/>
    </w:rPr>
  </w:style>
  <w:style w:type="paragraph" w:styleId="TOC1">
    <w:name w:val="toc 1"/>
    <w:basedOn w:val="Normal"/>
    <w:next w:val="Normal"/>
    <w:autoRedefine/>
    <w:semiHidden/>
    <w:rsid w:val="004A024B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semiHidden/>
    <w:rsid w:val="004A024B"/>
    <w:pPr>
      <w:ind w:left="240"/>
    </w:pPr>
    <w:rPr>
      <w:rFonts w:ascii="Times New Roman" w:hAnsi="Times New Roman"/>
      <w:szCs w:val="24"/>
      <w:lang w:val="en-CA"/>
    </w:rPr>
  </w:style>
  <w:style w:type="paragraph" w:styleId="ListParagraph">
    <w:name w:val="List Paragraph"/>
    <w:basedOn w:val="Normal"/>
    <w:uiPriority w:val="34"/>
    <w:qFormat/>
    <w:rsid w:val="0041467B"/>
    <w:pPr>
      <w:spacing w:after="240"/>
      <w:ind w:left="720"/>
      <w:contextualSpacing/>
    </w:pPr>
    <w:rPr>
      <w:rFonts w:ascii="Times New Roman" w:eastAsia="Calibri" w:hAnsi="Times New Roman"/>
      <w:szCs w:val="22"/>
    </w:rPr>
  </w:style>
  <w:style w:type="character" w:customStyle="1" w:styleId="apple-style-span">
    <w:name w:val="apple-style-span"/>
    <w:basedOn w:val="DefaultParagraphFont"/>
    <w:rsid w:val="0051469C"/>
  </w:style>
  <w:style w:type="paragraph" w:styleId="NoSpacing">
    <w:name w:val="No Spacing"/>
    <w:uiPriority w:val="1"/>
    <w:qFormat/>
    <w:rsid w:val="0051469C"/>
    <w:rPr>
      <w:rFonts w:asciiTheme="minorHAnsi" w:eastAsiaTheme="minorEastAsia" w:hAnsiTheme="minorHAnsi"/>
      <w:sz w:val="22"/>
      <w:szCs w:val="22"/>
    </w:rPr>
  </w:style>
  <w:style w:type="character" w:customStyle="1" w:styleId="CommentTextChar1">
    <w:name w:val="Comment Text Char1"/>
    <w:basedOn w:val="DefaultParagraphFont"/>
    <w:rsid w:val="0051469C"/>
    <w:rPr>
      <w:rFonts w:ascii="Arial" w:hAnsi="Arial"/>
      <w:sz w:val="20"/>
      <w:szCs w:val="20"/>
    </w:rPr>
  </w:style>
  <w:style w:type="character" w:customStyle="1" w:styleId="CommentSubjectChar1">
    <w:name w:val="Comment Subject Char1"/>
    <w:basedOn w:val="CommentTextChar1"/>
    <w:rsid w:val="0051469C"/>
    <w:rPr>
      <w:b/>
      <w:bCs/>
    </w:rPr>
  </w:style>
  <w:style w:type="table" w:customStyle="1" w:styleId="TableGrid1">
    <w:name w:val="Table Grid1"/>
    <w:basedOn w:val="TableNormal"/>
    <w:next w:val="TableGrid"/>
    <w:uiPriority w:val="59"/>
    <w:rsid w:val="0051469C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51469C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51469C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51469C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59"/>
    <w:rsid w:val="0051469C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uiPriority w:val="59"/>
    <w:rsid w:val="0051469C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uiPriority w:val="59"/>
    <w:rsid w:val="0051469C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uiPriority w:val="59"/>
    <w:rsid w:val="0051469C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uiPriority w:val="59"/>
    <w:rsid w:val="0051469C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uiPriority w:val="59"/>
    <w:rsid w:val="0051469C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59"/>
    <w:rsid w:val="0051469C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uiPriority w:val="59"/>
    <w:rsid w:val="0051469C"/>
    <w:rPr>
      <w:rFonts w:asciiTheme="minorHAnsi" w:eastAsia="Times New Roman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next w:val="TableGrid"/>
    <w:uiPriority w:val="59"/>
    <w:rsid w:val="0051469C"/>
    <w:rPr>
      <w:rFonts w:asciiTheme="minorHAnsi" w:eastAsia="Times New Roman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uiPriority w:val="59"/>
    <w:rsid w:val="0051469C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TableNormal"/>
    <w:next w:val="TableGrid"/>
    <w:uiPriority w:val="59"/>
    <w:rsid w:val="0051469C"/>
    <w:rPr>
      <w:rFonts w:asciiTheme="minorHAnsi" w:eastAsia="Times New Roman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TableNormal"/>
    <w:next w:val="TableGrid"/>
    <w:uiPriority w:val="59"/>
    <w:rsid w:val="0051469C"/>
    <w:rPr>
      <w:rFonts w:asciiTheme="minorHAnsi" w:eastAsia="Times New Roman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">
    <w:name w:val="Table Grid17"/>
    <w:basedOn w:val="TableNormal"/>
    <w:next w:val="TableGrid"/>
    <w:uiPriority w:val="59"/>
    <w:rsid w:val="0051469C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">
    <w:name w:val="Table Grid18"/>
    <w:basedOn w:val="TableNormal"/>
    <w:next w:val="TableGrid"/>
    <w:uiPriority w:val="59"/>
    <w:rsid w:val="0051469C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igureTitle">
    <w:name w:val="FigureTitle"/>
    <w:basedOn w:val="Normal"/>
    <w:next w:val="Normal"/>
    <w:qFormat/>
    <w:rsid w:val="0051469C"/>
    <w:pPr>
      <w:keepNext/>
      <w:keepLines/>
    </w:pPr>
    <w:rPr>
      <w:rFonts w:ascii="Arial" w:eastAsia="Calibri" w:hAnsi="Arial" w:cs="Arial"/>
      <w:b/>
    </w:rPr>
  </w:style>
  <w:style w:type="paragraph" w:customStyle="1" w:styleId="KeyQuestions">
    <w:name w:val="KeyQuestions"/>
    <w:basedOn w:val="Normal"/>
    <w:next w:val="Normal"/>
    <w:uiPriority w:val="99"/>
    <w:rsid w:val="0051469C"/>
    <w:pPr>
      <w:keepNext/>
      <w:keepLines/>
      <w:spacing w:before="240" w:after="60"/>
    </w:pPr>
    <w:rPr>
      <w:rFonts w:ascii="Arial" w:eastAsia="Calibri" w:hAnsi="Arial"/>
      <w:sz w:val="2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6952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6628">
              <w:marLeft w:val="2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657643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26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931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595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056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801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70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3.xml"/><Relationship Id="rId109" Type="http://schemas.microsoft.com/office/2007/relationships/stylesWithEffects" Target="stylesWithEffects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settings" Target="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77AD2A8124D647A6231A5515CBC42B" ma:contentTypeVersion="1" ma:contentTypeDescription="Create a new document." ma:contentTypeScope="" ma:versionID="e9a391bfbfb42d1203275af4a4038eea">
  <xsd:schema xmlns:xsd="http://www.w3.org/2001/XMLSchema" xmlns:xs="http://www.w3.org/2001/XMLSchema" xmlns:p="http://schemas.microsoft.com/office/2006/metadata/properties" xmlns:ns2="fc089d62-8482-43cb-b607-497f8a413bd4" targetNamespace="http://schemas.microsoft.com/office/2006/metadata/properties" ma:root="true" ma:fieldsID="8b493cb1263d29607de959697c5eee5c" ns2:_="">
    <xsd:import namespace="fc089d62-8482-43cb-b607-497f8a413bd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089d62-8482-43cb-b607-497f8a413bd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9D86CF0-1D8D-4CD3-8AC5-D3615AF12C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089d62-8482-43cb-b607-497f8a413b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9FF15A-9D79-4575-81EF-C35B4697AD1C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A85D2C64-FFCB-4017-B3B6-4BCEC3DCC2D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B407763-1AEA-484D-8708-94FAF506375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68FA4FF1-5A67-443C-B80D-1CF6D2573A3F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8F1C160F-7238-4CE2-8F82-8EC2FE9CD43F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E96C36CC-9E8C-42A1-900F-5EA8B618339A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1625</Words>
  <Characters>9264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JHU Department of Medicine</Company>
  <LinksUpToDate>false</LinksUpToDate>
  <CharactersWithSpaces>10868</CharactersWithSpaces>
  <SharedDoc>false</SharedDoc>
  <HLinks>
    <vt:vector size="510" baseType="variant">
      <vt:variant>
        <vt:i4>1900565</vt:i4>
      </vt:variant>
      <vt:variant>
        <vt:i4>422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419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416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413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410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407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404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401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398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395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392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389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386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383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380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377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374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371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368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365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362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359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356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353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350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347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344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341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338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335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332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329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655483</vt:i4>
      </vt:variant>
      <vt:variant>
        <vt:i4>311</vt:i4>
      </vt:variant>
      <vt:variant>
        <vt:i4>0</vt:i4>
      </vt:variant>
      <vt:variant>
        <vt:i4>5</vt:i4>
      </vt:variant>
      <vt:variant>
        <vt:lpwstr>http://systematic-review.net/</vt:lpwstr>
      </vt:variant>
      <vt:variant>
        <vt:lpwstr/>
      </vt:variant>
      <vt:variant>
        <vt:i4>655483</vt:i4>
      </vt:variant>
      <vt:variant>
        <vt:i4>308</vt:i4>
      </vt:variant>
      <vt:variant>
        <vt:i4>0</vt:i4>
      </vt:variant>
      <vt:variant>
        <vt:i4>5</vt:i4>
      </vt:variant>
      <vt:variant>
        <vt:lpwstr>http://systematic-review.net/</vt:lpwstr>
      </vt:variant>
      <vt:variant>
        <vt:lpwstr/>
      </vt:variant>
      <vt:variant>
        <vt:i4>655483</vt:i4>
      </vt:variant>
      <vt:variant>
        <vt:i4>305</vt:i4>
      </vt:variant>
      <vt:variant>
        <vt:i4>0</vt:i4>
      </vt:variant>
      <vt:variant>
        <vt:i4>5</vt:i4>
      </vt:variant>
      <vt:variant>
        <vt:lpwstr>http://systematic-review.net/</vt:lpwstr>
      </vt:variant>
      <vt:variant>
        <vt:lpwstr/>
      </vt:variant>
      <vt:variant>
        <vt:i4>655483</vt:i4>
      </vt:variant>
      <vt:variant>
        <vt:i4>302</vt:i4>
      </vt:variant>
      <vt:variant>
        <vt:i4>0</vt:i4>
      </vt:variant>
      <vt:variant>
        <vt:i4>5</vt:i4>
      </vt:variant>
      <vt:variant>
        <vt:lpwstr>http://systematic-review.net/</vt:lpwstr>
      </vt:variant>
      <vt:variant>
        <vt:lpwstr/>
      </vt:variant>
      <vt:variant>
        <vt:i4>655483</vt:i4>
      </vt:variant>
      <vt:variant>
        <vt:i4>299</vt:i4>
      </vt:variant>
      <vt:variant>
        <vt:i4>0</vt:i4>
      </vt:variant>
      <vt:variant>
        <vt:i4>5</vt:i4>
      </vt:variant>
      <vt:variant>
        <vt:lpwstr>http://systematic-review.net/</vt:lpwstr>
      </vt:variant>
      <vt:variant>
        <vt:lpwstr/>
      </vt:variant>
      <vt:variant>
        <vt:i4>655483</vt:i4>
      </vt:variant>
      <vt:variant>
        <vt:i4>296</vt:i4>
      </vt:variant>
      <vt:variant>
        <vt:i4>0</vt:i4>
      </vt:variant>
      <vt:variant>
        <vt:i4>5</vt:i4>
      </vt:variant>
      <vt:variant>
        <vt:lpwstr>http://systematic-review.net/</vt:lpwstr>
      </vt:variant>
      <vt:variant>
        <vt:lpwstr/>
      </vt:variant>
      <vt:variant>
        <vt:i4>655483</vt:i4>
      </vt:variant>
      <vt:variant>
        <vt:i4>293</vt:i4>
      </vt:variant>
      <vt:variant>
        <vt:i4>0</vt:i4>
      </vt:variant>
      <vt:variant>
        <vt:i4>5</vt:i4>
      </vt:variant>
      <vt:variant>
        <vt:lpwstr>http://systematic-review.net/</vt:lpwstr>
      </vt:variant>
      <vt:variant>
        <vt:lpwstr/>
      </vt:variant>
      <vt:variant>
        <vt:i4>655483</vt:i4>
      </vt:variant>
      <vt:variant>
        <vt:i4>290</vt:i4>
      </vt:variant>
      <vt:variant>
        <vt:i4>0</vt:i4>
      </vt:variant>
      <vt:variant>
        <vt:i4>5</vt:i4>
      </vt:variant>
      <vt:variant>
        <vt:lpwstr>http://systematic-review.net/</vt:lpwstr>
      </vt:variant>
      <vt:variant>
        <vt:lpwstr/>
      </vt:variant>
      <vt:variant>
        <vt:i4>1900641</vt:i4>
      </vt:variant>
      <vt:variant>
        <vt:i4>229</vt:i4>
      </vt:variant>
      <vt:variant>
        <vt:i4>0</vt:i4>
      </vt:variant>
      <vt:variant>
        <vt:i4>5</vt:i4>
      </vt:variant>
      <vt:variant>
        <vt:lpwstr>http://www.ohri.ca/programs/clinical_epidemiology/oxford.asp</vt:lpwstr>
      </vt:variant>
      <vt:variant>
        <vt:lpwstr/>
      </vt:variant>
      <vt:variant>
        <vt:i4>16</vt:i4>
      </vt:variant>
      <vt:variant>
        <vt:i4>226</vt:i4>
      </vt:variant>
      <vt:variant>
        <vt:i4>0</vt:i4>
      </vt:variant>
      <vt:variant>
        <vt:i4>5</vt:i4>
      </vt:variant>
      <vt:variant>
        <vt:lpwstr>http://www.cdc.gov/nchs/icd/icd9.htm</vt:lpwstr>
      </vt:variant>
      <vt:variant>
        <vt:lpwstr/>
      </vt:variant>
      <vt:variant>
        <vt:i4>1900565</vt:i4>
      </vt:variant>
      <vt:variant>
        <vt:i4>188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185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182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179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176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173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170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167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164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161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158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155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152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149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146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143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140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137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134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131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128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125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122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119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116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113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110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107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104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101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98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655483</vt:i4>
      </vt:variant>
      <vt:variant>
        <vt:i4>70</vt:i4>
      </vt:variant>
      <vt:variant>
        <vt:i4>0</vt:i4>
      </vt:variant>
      <vt:variant>
        <vt:i4>5</vt:i4>
      </vt:variant>
      <vt:variant>
        <vt:lpwstr>http://systematic-review.net/</vt:lpwstr>
      </vt:variant>
      <vt:variant>
        <vt:lpwstr/>
      </vt:variant>
      <vt:variant>
        <vt:i4>655483</vt:i4>
      </vt:variant>
      <vt:variant>
        <vt:i4>67</vt:i4>
      </vt:variant>
      <vt:variant>
        <vt:i4>0</vt:i4>
      </vt:variant>
      <vt:variant>
        <vt:i4>5</vt:i4>
      </vt:variant>
      <vt:variant>
        <vt:lpwstr>http://systematic-review.net/</vt:lpwstr>
      </vt:variant>
      <vt:variant>
        <vt:lpwstr/>
      </vt:variant>
      <vt:variant>
        <vt:i4>655483</vt:i4>
      </vt:variant>
      <vt:variant>
        <vt:i4>64</vt:i4>
      </vt:variant>
      <vt:variant>
        <vt:i4>0</vt:i4>
      </vt:variant>
      <vt:variant>
        <vt:i4>5</vt:i4>
      </vt:variant>
      <vt:variant>
        <vt:lpwstr>http://systematic-review.net/</vt:lpwstr>
      </vt:variant>
      <vt:variant>
        <vt:lpwstr/>
      </vt:variant>
      <vt:variant>
        <vt:i4>655483</vt:i4>
      </vt:variant>
      <vt:variant>
        <vt:i4>61</vt:i4>
      </vt:variant>
      <vt:variant>
        <vt:i4>0</vt:i4>
      </vt:variant>
      <vt:variant>
        <vt:i4>5</vt:i4>
      </vt:variant>
      <vt:variant>
        <vt:lpwstr>http://systematic-review.net/</vt:lpwstr>
      </vt:variant>
      <vt:variant>
        <vt:lpwstr/>
      </vt:variant>
      <vt:variant>
        <vt:i4>655483</vt:i4>
      </vt:variant>
      <vt:variant>
        <vt:i4>58</vt:i4>
      </vt:variant>
      <vt:variant>
        <vt:i4>0</vt:i4>
      </vt:variant>
      <vt:variant>
        <vt:i4>5</vt:i4>
      </vt:variant>
      <vt:variant>
        <vt:lpwstr>http://systematic-review.net/</vt:lpwstr>
      </vt:variant>
      <vt:variant>
        <vt:lpwstr/>
      </vt:variant>
      <vt:variant>
        <vt:i4>655483</vt:i4>
      </vt:variant>
      <vt:variant>
        <vt:i4>55</vt:i4>
      </vt:variant>
      <vt:variant>
        <vt:i4>0</vt:i4>
      </vt:variant>
      <vt:variant>
        <vt:i4>5</vt:i4>
      </vt:variant>
      <vt:variant>
        <vt:lpwstr>http://systematic-review.net/</vt:lpwstr>
      </vt:variant>
      <vt:variant>
        <vt:lpwstr/>
      </vt:variant>
      <vt:variant>
        <vt:i4>655483</vt:i4>
      </vt:variant>
      <vt:variant>
        <vt:i4>52</vt:i4>
      </vt:variant>
      <vt:variant>
        <vt:i4>0</vt:i4>
      </vt:variant>
      <vt:variant>
        <vt:i4>5</vt:i4>
      </vt:variant>
      <vt:variant>
        <vt:lpwstr>http://systematic-review.net/</vt:lpwstr>
      </vt:variant>
      <vt:variant>
        <vt:lpwstr/>
      </vt:variant>
      <vt:variant>
        <vt:i4>655483</vt:i4>
      </vt:variant>
      <vt:variant>
        <vt:i4>49</vt:i4>
      </vt:variant>
      <vt:variant>
        <vt:i4>0</vt:i4>
      </vt:variant>
      <vt:variant>
        <vt:i4>5</vt:i4>
      </vt:variant>
      <vt:variant>
        <vt:lpwstr>http://systematic-review.net/</vt:lpwstr>
      </vt:variant>
      <vt:variant>
        <vt:lpwstr/>
      </vt:variant>
      <vt:variant>
        <vt:i4>7340137</vt:i4>
      </vt:variant>
      <vt:variant>
        <vt:i4>9</vt:i4>
      </vt:variant>
      <vt:variant>
        <vt:i4>0</vt:i4>
      </vt:variant>
      <vt:variant>
        <vt:i4>5</vt:i4>
      </vt:variant>
      <vt:variant>
        <vt:lpwstr>mailto:epc@ahrq.hhs.gov</vt:lpwstr>
      </vt:variant>
      <vt:variant>
        <vt:lpwstr/>
      </vt:variant>
      <vt:variant>
        <vt:i4>7929886</vt:i4>
      </vt:variant>
      <vt:variant>
        <vt:i4>6</vt:i4>
      </vt:variant>
      <vt:variant>
        <vt:i4>0</vt:i4>
      </vt:variant>
      <vt:variant>
        <vt:i4>5</vt:i4>
      </vt:variant>
      <vt:variant>
        <vt:lpwstr>../../../../../../../../Local%20Settings/Temporary%20Internet%20Files/Content.IE5/95PA3R4B/www.effectivehealthcare.ahrq.gov</vt:lpwstr>
      </vt:variant>
      <vt:variant>
        <vt:lpwstr/>
      </vt:variant>
      <vt:variant>
        <vt:i4>4259957</vt:i4>
      </vt:variant>
      <vt:variant>
        <vt:i4>3</vt:i4>
      </vt:variant>
      <vt:variant>
        <vt:i4>0</vt:i4>
      </vt:variant>
      <vt:variant>
        <vt:i4>5</vt:i4>
      </vt:variant>
      <vt:variant>
        <vt:lpwstr>../../../../../../../../Local%20Settings/Temporary%20Internet%20Files/Content.IE5/95PA3R4B/www.effectivehealthcare.ahrq.gov/reference/purpose.cfm</vt:lpwstr>
      </vt:variant>
      <vt:variant>
        <vt:lpwstr/>
      </vt:variant>
      <vt:variant>
        <vt:i4>5111922</vt:i4>
      </vt:variant>
      <vt:variant>
        <vt:i4>0</vt:i4>
      </vt:variant>
      <vt:variant>
        <vt:i4>0</vt:i4>
      </vt:variant>
      <vt:variant>
        <vt:i4>5</vt:i4>
      </vt:variant>
      <vt:variant>
        <vt:lpwstr>http://www.effectivehealthcare.ahrq.gov/reports/final.cfm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Catalina Suarez</dc:creator>
  <cp:lastModifiedBy>EEI</cp:lastModifiedBy>
  <cp:revision>12</cp:revision>
  <cp:lastPrinted>2012-03-26T04:23:00Z</cp:lastPrinted>
  <dcterms:created xsi:type="dcterms:W3CDTF">2012-05-02T12:48:00Z</dcterms:created>
  <dcterms:modified xsi:type="dcterms:W3CDTF">2012-05-02T13:29:00Z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0x010100CF77AD2A8124D647A6231A5515CBC42B</vt:lpwstr>
  </property>
  <property fmtid="{D5CDD505-2E9C-101B-9397-08002B2CF9AE}" pid="3" name="_dlc_DocIdItemGuid">
    <vt:lpwstr>da410094-8edd-47b8-af06-9f2df0524196</vt:lpwstr>
  </property>
  <property fmtid="{D5CDD505-2E9C-101B-9397-08002B2CF9AE}" pid="4" name="_dlc_DocId">
    <vt:lpwstr>QPJZ2JMN6QZN-5-359</vt:lpwstr>
  </property>
  <property fmtid="{D5CDD505-2E9C-101B-9397-08002B2CF9AE}" pid="5" name="_dlc_DocIdUrl">
    <vt:lpwstr>https://collaborate.johnshopkins.edu/sites/epcglaucoma/_layouts/DocIdRedir.aspx?ID=QPJZ2JMN6QZN-5-359, QPJZ2JMN6QZN-5-359</vt:lpwstr>
  </property>
</Properties>
</file>