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2. Systematic </w:t>
      </w:r>
      <w:r>
        <w:t>r</w:t>
      </w:r>
      <w:r w:rsidRPr="00060DE0">
        <w:t xml:space="preserve">eview </w:t>
      </w:r>
      <w:r>
        <w:t>e</w:t>
      </w:r>
      <w:r w:rsidRPr="00060DE0">
        <w:t>vidence II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 w:themeColor="background1" w:themeShade="BF"/>
        </w:tblBorders>
        <w:tblLook w:val="04A0"/>
      </w:tblPr>
      <w:tblGrid>
        <w:gridCol w:w="1001"/>
        <w:gridCol w:w="614"/>
        <w:gridCol w:w="741"/>
        <w:gridCol w:w="527"/>
        <w:gridCol w:w="2743"/>
        <w:gridCol w:w="1235"/>
        <w:gridCol w:w="3216"/>
        <w:gridCol w:w="2018"/>
        <w:gridCol w:w="2035"/>
      </w:tblGrid>
      <w:tr w:rsidR="0051469C" w:rsidRPr="00060DE0" w:rsidTr="00E15C8D">
        <w:trPr>
          <w:trHeight w:val="867"/>
          <w:tblHeader/>
        </w:trPr>
        <w:tc>
          <w:tcPr>
            <w:tcW w:w="0" w:type="auto"/>
            <w:vMerge w:val="restar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0" w:type="auto"/>
            <w:gridSpan w:val="2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Types of studies included</w:t>
            </w:r>
          </w:p>
        </w:tc>
        <w:tc>
          <w:tcPr>
            <w:tcW w:w="11334" w:type="dxa"/>
            <w:gridSpan w:val="6"/>
            <w:tcBorders>
              <w:bottom w:val="single" w:sz="4" w:space="0" w:color="BFBFBF" w:themeColor="background1" w:themeShade="BF"/>
            </w:tcBorders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Summary Outcomes</w:t>
            </w:r>
          </w:p>
        </w:tc>
      </w:tr>
      <w:tr w:rsidR="0051469C" w:rsidRPr="00060DE0" w:rsidTr="00E15C8D">
        <w:trPr>
          <w:tblHeader/>
        </w:trPr>
        <w:tc>
          <w:tcPr>
            <w:tcW w:w="0" w:type="auto"/>
            <w:vMerge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 xml:space="preserve">Quasi </w:t>
            </w:r>
            <w:proofErr w:type="spellStart"/>
            <w:r w:rsidRPr="00060DE0">
              <w:rPr>
                <w:rFonts w:cs="Arial"/>
                <w:b/>
                <w:sz w:val="18"/>
                <w:szCs w:val="18"/>
              </w:rPr>
              <w:t>RCT</w:t>
            </w:r>
            <w:proofErr w:type="spellEnd"/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Visual impairment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Patient Reported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0" w:type="auto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Visual field progression</w:t>
            </w:r>
            <w:r w:rsidRPr="00060DE0">
              <w:rPr>
                <w:rFonts w:cs="Arial"/>
                <w:b/>
                <w:sz w:val="18"/>
                <w:szCs w:val="18"/>
              </w:rPr>
              <w:br/>
              <w:t>Optic nerve damage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Harms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Aptel</w:t>
            </w:r>
            <w:proofErr w:type="spellEnd"/>
            <w:r w:rsidRPr="00060DE0">
              <w:rPr>
                <w:sz w:val="18"/>
                <w:szCs w:val="18"/>
              </w:rPr>
              <w:t xml:space="preserve"> 2008</w:t>
            </w:r>
            <w:r w:rsidR="0006530E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1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vanish/>
                <w:sz w:val="18"/>
                <w:szCs w:val="18"/>
              </w:rPr>
              <w:fldChar w:fldCharType="begin"/>
            </w:r>
            <w:r w:rsidRPr="0074132C">
              <w:rPr>
                <w:vanish/>
                <w:sz w:val="18"/>
                <w:szCs w:val="18"/>
              </w:rPr>
              <w:instrText xml:space="preserve"> ADDIN PROCITE ÿ\11\05‘\19\02\00\00\00\011\01\01\00\01\00\00\01\00\00\00\1BM_\00\00\00\00ˆ‰\12\01ˆyÚ\01\01\00\00\008\00\00\00\00\00\00\008\00\00\00£!\00\00;Y:\5CGlaucoma\5CDatabase\5CTreatment\5CDec 2\5CGlaucoma-Treatment.pdt#Aptel, Cucherat, et al. 2008 #50042\01\04\00\05\00àà\00\00\00ÿÿÿ‘\1AžuA\1Bžu\0D\00\00\00\01\00\00\00\00\00\00\00\01\00\00\00¨ò\12\00\02\00\00\00\00\00\00\00\00\00,\00\00\00\01\00\00\00Dô\12\00=\11J\00,\00\00\00pô\12\00Dô\12\00\08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vanish/>
                <w:sz w:val="18"/>
                <w:szCs w:val="18"/>
              </w:rPr>
              <w:fldChar w:fldCharType="end"/>
            </w:r>
            <w:r w:rsidR="0006530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1</w:t>
            </w:r>
            <w:r w:rsidR="0006530E">
              <w:rPr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(5 trials)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 (range 1 to 6 months)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8 AM: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0.50; 95% CI, 0.01 to 0.99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12PM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1.17; 95% CI, 0.68 to 1.66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4 PM: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0.78; 95% CI, 0.26 to 1.29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8 PM: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0.67; 95% CI, 0.02 to 1.32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(3 trials)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 (range 1 to 6 months)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8 AM: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1.02; 95% CI, 0.32 to 1.72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12 PM: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0.86; 95% CI, 0.12 to 1.59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4PM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0.52; 95% CI, -0.25 to 1.30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8PM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0.80;95% CI,-0.06 to 1.66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>(2 trials)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 (range 1 to 6 months)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8AM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0.70;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-0.14 to 1.54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12PM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0.40; 95% CI, -0.49 to 1.29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4PM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-0.10;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-0.98 to 0.78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8PM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0.20; 95% CI-0.71 to 1.11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(5 trials):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RR, 1.70; 95% CI 1.44 to 2.02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(3 trials):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RR, 1.19; 95% CI, 1.00 to 1.42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(2 trials):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RR,1.45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; 95% CI, 1.22 to 1.72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Burr 2004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ÿ\11\05‘\19\02\00\00\00\012\01\01\00\01\00\00\01\00\00\00\1BM_\00\00\00\00ÀyÚ\01¨`Ù\01\01\00\00\008\00\00\00\00\00\00\008\00\00\00¥!\00\00;Y:\5CGlaucoma\5CDatabase\5CTreatment\5CDec 2\5CGlaucoma-Treatment.pdt'Burr, Azuara-Blanco, et al. 2004 #50103\01\04\00\04\00 °\00\00\00ÿÿÿÅ†uAÆ†u\0D\00\00\00\01\00\00\00\00\00\00\00\01\00\00\00ð\12\00\02\00\00\00\00\00\00\00\00\00,\00\00\00\01\00\00\00Dô\12\00=\11J\00,\00\00\00pô\12\00Dô\12\00\0D\00 °\00\00\00ÿÿÿÅ†uAÆ†u\0D\00\00\00\01\00\00\00\00\00\00\00\01\00\00\00ð\12\00\14\00\00\00\00\00\00ÿÿÿÎÃÂwçÃÂw,\00\00\00&lt;ò\12\00.ÄÂw,\00\00\00\00\00\00\00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Initial medical treatment versus initial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Visual acuity loss of 2 or more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Snellen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lines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OR 1.48;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0.58 to 3.81 </w:t>
            </w:r>
            <w:r w:rsidRPr="00060DE0">
              <w:rPr>
                <w:rFonts w:cs="Arial"/>
                <w:sz w:val="18"/>
                <w:szCs w:val="18"/>
              </w:rPr>
              <w:br/>
              <w:t>(1 study)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OR 0.5; 95% CI, 0.33 to 0.75 </w:t>
            </w:r>
            <w:r w:rsidRPr="00060DE0">
              <w:rPr>
                <w:rFonts w:cs="Arial"/>
                <w:sz w:val="18"/>
                <w:szCs w:val="18"/>
              </w:rPr>
              <w:br/>
              <w:t>(1 study)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Covered with primary study discussion 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KQ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Initial medical treatment versus initial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 Mean change in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 year </w:t>
            </w:r>
            <w:r w:rsidRPr="00060DE0">
              <w:rPr>
                <w:rFonts w:cs="Arial"/>
                <w:sz w:val="18"/>
                <w:szCs w:val="18"/>
              </w:rPr>
              <w:t>(2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6.14; 95% CI, 4.25 to 8.02 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difference from baseline to 1 year </w:t>
            </w:r>
            <w:r w:rsidRPr="00060DE0">
              <w:rPr>
                <w:rFonts w:cs="Arial"/>
                <w:sz w:val="18"/>
                <w:szCs w:val="18"/>
              </w:rPr>
              <w:t>(1 trial): MD, 3.60; 95% CI, 2.78 to 4.42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Initial medical treatment versus initial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difference in visual field score at 1 year follow-up </w:t>
            </w:r>
            <w:r w:rsidRPr="00060DE0">
              <w:rPr>
                <w:rFonts w:cs="Arial"/>
                <w:sz w:val="18"/>
                <w:szCs w:val="18"/>
              </w:rPr>
              <w:t xml:space="preserve">(1 trial): </w:t>
            </w:r>
            <w:r w:rsidRPr="00060DE0">
              <w:rPr>
                <w:rFonts w:cs="Arial"/>
                <w:sz w:val="18"/>
                <w:szCs w:val="18"/>
              </w:rPr>
              <w:br/>
              <w:t>MD, -0.5; 95% CI, -1.10 to 0.10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>Visual field progression by at least one stage of visual field severity at a mean of 4.6 years follow-up</w:t>
            </w:r>
            <w:r w:rsidRPr="00060DE0">
              <w:rPr>
                <w:rFonts w:cs="Arial"/>
                <w:sz w:val="18"/>
                <w:szCs w:val="18"/>
              </w:rPr>
              <w:t xml:space="preserve"> (1 trial):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OR, 2.56; 95% CI, 1.12 to 5.83 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>Mean difference in visual field score at 5 year follow-up</w:t>
            </w:r>
            <w:r w:rsidRPr="00060DE0">
              <w:rPr>
                <w:rFonts w:cs="Arial"/>
                <w:sz w:val="18"/>
                <w:szCs w:val="18"/>
              </w:rPr>
              <w:br/>
              <w:t>MD, 3.92; 95% CI, 2.02 to 5.82 (1 trial)</w:t>
            </w:r>
            <w:r w:rsidRPr="00060DE0">
              <w:rPr>
                <w:rFonts w:cs="Arial"/>
                <w:sz w:val="18"/>
                <w:szCs w:val="18"/>
              </w:rPr>
              <w:br/>
              <w:t>MD, 0.30; 95% CI, -0.45 to 1.05 (1 trial)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>Visual field progression at 5 year follow-up</w:t>
            </w:r>
            <w:r w:rsidRPr="00060DE0">
              <w:rPr>
                <w:rFonts w:cs="Arial"/>
                <w:sz w:val="18"/>
                <w:szCs w:val="18"/>
              </w:rPr>
              <w:t xml:space="preserve"> (1 trial):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OR, 0.69; 95% CI, 0.29 to 1.67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Initial medical treatment versus initial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Argon laser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required as additional treatment at 1  year follow-up (1 trial):  OR, 2.36; 95% CI, 1.52 to 3.67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Chai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2010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ÿ\11\05‘\19\02\00\00\00\013\01\01\00\01\00\00\01\00\00\00\1BM_\00\00\00\00\08\1EÚ\01€/~\01\01\00\00\008\00\00\00\00\00\00\008\00\00\00÷ \00\00;Y:\5CGlaucoma\5CDatabase\5CTreatment\5CDec 2\5CGlaucoma-Treatment.pdt\17Chai &amp; Loon 2010 #20028\00\17\00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difference from baseline to 6 months </w:t>
            </w:r>
            <w:r w:rsidRPr="00060DE0">
              <w:rPr>
                <w:rFonts w:cs="Arial"/>
                <w:sz w:val="18"/>
                <w:szCs w:val="18"/>
              </w:rPr>
              <w:t>(8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2.25; 95% CI, 1.38 to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3.1WMD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3.82; 95% CI, 2.27 to 5.37 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participants only - 3 trials) 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difference from baseline to 12 months </w:t>
            </w:r>
            <w:r w:rsidRPr="00060DE0">
              <w:rPr>
                <w:rFonts w:cs="Arial"/>
                <w:sz w:val="18"/>
                <w:szCs w:val="18"/>
              </w:rPr>
              <w:t>(6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3.64; 95% CI, 2.75 to 4.54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difference from baseline to 24 months </w:t>
            </w:r>
            <w:r w:rsidRPr="00060DE0">
              <w:rPr>
                <w:rFonts w:cs="Arial"/>
                <w:sz w:val="18"/>
                <w:szCs w:val="18"/>
              </w:rPr>
              <w:t>(3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3.42; 95% CI, 1.80 to 5.03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Hypotony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(9 trials): RR, 0.29; 95% CI, 0.15 to 0.58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Hyphema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(9 trials): RR, 0.50; 95% CI, 0.30 to 0.84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Shallow anterior chamber (9 trials): RR, 0.19; 95% CI, 0.08 to 0.45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Cataract formation (8 trials): RR, 0.31; 95% CI, 0.15 to 0.64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Cheng 2008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ÿ\11\05‘\19\02\00\00\00\014\01\01\00\01\00\00\01\00\00\00\1BM_\00\00\00\00èŽ\0F\01HçÙ\01\01\00\00\008\00\00\00\00\00\00\008\00\00\00Ž!\00\00;Y:\5CGlaucoma\5CDatabase\5CTreatment\5CDec 2\5CGlaucoma-Treatment.pdt\17Cheng &amp; Wei 2008 #50065\01\04\00\05\00àà\00\00\00ÿÿÿ‘\1AžuA\1Bžu\0D\00\00\00\01\00\00\00\00\00\00\00\01\00\00\00¨ò\12\00\03\00\00\00\00\00\00ÃÂw\00\00\00\00ÿÿÿÿ\07ÄÂwÞÂÂw\00\003\00ôñ\12\00ãÂÂw\03\00àà\00\00\00ÿÿÿ‘\1AžuA\1Bžu\0D\00\00\00\01\00\00\00\00\00\00\00\01\00\00\00¨ò\12\00\0C\00\00\00\00\00\00ºI_¸u\0F\01\03\00\00\00\05\00\00\00\00\00\00\00lò\12\000¬W\00ÿÿÿÿ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4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Proportion of patients achieving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&lt;=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17mmHg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>1 month (2 trials): RD, 5; 95% CI, -9 to 18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3 months (2 trials): RD, 12;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4 to 21</w:t>
            </w:r>
            <w:r w:rsidRPr="00060DE0">
              <w:rPr>
                <w:rFonts w:cs="Arial"/>
                <w:sz w:val="18"/>
                <w:szCs w:val="18"/>
              </w:rPr>
              <w:br/>
              <w:t>6 months (1 trial): RD, 11; 95% CI 0 to 23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Percent reduction from baseline in diurnal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1 month (3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0.25;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-5.07 to 5.57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3 months (3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2.10;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-0.46 to 4.65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Percent reduction from baseline in morning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1 month (9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2.59; 95% CI, 0.81 to 4.37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3 months (6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2.41;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0.58 to 4.25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6 months (4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5.60;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2.95 to 8.26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(9 trials): RD, 20;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15 to 24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Eye irritation (5 trials):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RD,  1; 95% CI, -3 to 4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Pruritus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(5 trials):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RD,  4; 95% CI, -5 to 12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Dry eye (3 trials): 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RD, 0; 95% CI, -3 to 3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Ocular inflammation (4 trials): 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RD, -1; 95% CI, -2 to 1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Eye pain (2 trials): </w:t>
            </w:r>
            <w:r w:rsidRPr="00060DE0">
              <w:rPr>
                <w:rFonts w:cs="Arial"/>
                <w:sz w:val="18"/>
                <w:szCs w:val="18"/>
              </w:rPr>
              <w:br/>
              <w:t>RD,  -1; 95% CI, -3 to 2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Visual disturbance (2 trials): </w:t>
            </w:r>
            <w:r w:rsidRPr="00060DE0">
              <w:rPr>
                <w:rFonts w:cs="Arial"/>
                <w:sz w:val="18"/>
                <w:szCs w:val="18"/>
              </w:rPr>
              <w:br/>
              <w:t>RD, 0; 95% CI, -3 to 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Cystoid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macular edema (4 trials):  RD,  0; 95% CI, -2 to 2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Iris pigmentation (2 trials):  </w:t>
            </w:r>
            <w:r w:rsidRPr="00060DE0">
              <w:rPr>
                <w:rFonts w:cs="Arial"/>
                <w:sz w:val="18"/>
                <w:szCs w:val="18"/>
              </w:rPr>
              <w:br/>
              <w:t>RD,  0; 95% CI, -1 to 2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Cheng 2009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ÿ\11\05‘\19\02\00\00\00\015\01\01\00\01\00\00\01\00\00\00\1BM_\00\00\00\00è=Û\01\00©Ú\01\01\00\00\008\00\00\00\00\00\00\008\00\00\009!\00\00;Y:\5CGlaucoma\5CDatabase\5CTreatment\5CDec 2\5CGlaucoma-Treatment.pdt\1DCheng, Xi, et al. 2009 #20058\00\1D\00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5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(fixed combination and concomitant administration)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Diurnal mean percent reduction in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1 month (5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-3.22; 95% CI, –6.85 to 0.40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 xml:space="preserve">2 months (5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–1.88; 95% CI, –4.71 to 0.96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 xml:space="preserve">3 months (6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0.57; 95% CI, –2.46 to 3.59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6 months (2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–5.14; 95% CI, –14.13 to 4.14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percent reduction in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10:00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1 month (6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–2.47; 95% CI, –5.20 to 0.26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2 months (4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0.19; 95% CI, –4.81 to 5.19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3 months (5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1.03; 95% CI, –1.79 to 3.84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6 months (2 trials):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–1.47; 95% CI–4.00 to 1.05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(fixed combination and concomitant administration)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Ocular adverse events (3 trials): </w:t>
            </w:r>
            <w:r w:rsidRPr="00060DE0">
              <w:rPr>
                <w:rFonts w:cs="Arial"/>
                <w:sz w:val="18"/>
                <w:szCs w:val="18"/>
              </w:rPr>
              <w:br/>
              <w:t>RR, 0.96; 95% CI, 0.21 to 4.46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(8 trials): RR, 2.38; 95% CI, 1.47 to 3.83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>Taste perversion (8 trials):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 RR, 0.11; 95% CI, 0.04 to 0.26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Keratitis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(4 trials): </w:t>
            </w:r>
            <w:r w:rsidRPr="00060DE0">
              <w:rPr>
                <w:rFonts w:cs="Arial"/>
                <w:sz w:val="18"/>
                <w:szCs w:val="18"/>
              </w:rPr>
              <w:br/>
              <w:t>RR, 0.80; 95% CI, 0.43 to 1.79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Iris pigmentation (3 trials): </w:t>
            </w:r>
            <w:r w:rsidRPr="00060DE0">
              <w:rPr>
                <w:rFonts w:cs="Arial"/>
                <w:sz w:val="18"/>
                <w:szCs w:val="18"/>
              </w:rPr>
              <w:br/>
              <w:t>RR, 8.11; 95% CI, 1.47 to 44.75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Dry eye (4 trials): </w:t>
            </w:r>
            <w:r w:rsidRPr="00060DE0">
              <w:rPr>
                <w:rFonts w:cs="Arial"/>
                <w:sz w:val="18"/>
                <w:szCs w:val="18"/>
              </w:rPr>
              <w:br/>
              <w:t>RR, 0.96; 95% CI,  0.27 to 3.43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Visual disturbance (6 trials): </w:t>
            </w:r>
            <w:r w:rsidRPr="00060DE0">
              <w:rPr>
                <w:rFonts w:cs="Arial"/>
                <w:sz w:val="18"/>
                <w:szCs w:val="18"/>
              </w:rPr>
              <w:br/>
              <w:t>RR, 1.22; 95% CI, 0.53 to 2.82</w:t>
            </w:r>
          </w:p>
        </w:tc>
      </w:tr>
      <w:tr w:rsidR="0051469C" w:rsidRPr="00060DE0" w:rsidTr="00E15C8D">
        <w:trPr>
          <w:cantSplit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Cheng 2010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ÿ\11\05‘\19\02\00\00\00\016\01\01\00\01\00\00\01\00\00\00\1BM_\00\00\00\00X&gt;Û\01¨|\01\01\00\00\008\00\00\00\00\00\00\008\00\00\00\11!\00\00;Y:\5CGlaucoma\5CDatabase\5CTreatment\5CDec 2\5CGlaucoma-Treatment.pdt\1DCheng, Xi, et al. 2010 #20043\00\1D\00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6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Proportion of patients with normal endpoint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without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antiglaucoma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surgery or medication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>after at least one year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</w:t>
            </w:r>
            <w:r w:rsidRPr="00060DE0">
              <w:rPr>
                <w:rFonts w:cs="Arial"/>
                <w:sz w:val="18"/>
                <w:szCs w:val="18"/>
              </w:rPr>
              <w:br/>
              <w:t>RD, -0.16; 95% CI, -0.30 to -0.02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Viscocanalostomy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plus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antimetabolites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(3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RD, -0.39; 95% CI, -0.53 to -0.24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Deep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(5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br/>
              <w:t>RD, -0.10; 95% CI, -0.19 to 0.00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Deep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sclerectomy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plus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C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plus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C </w:t>
            </w:r>
            <w:r w:rsidRPr="00060DE0">
              <w:rPr>
                <w:rFonts w:cs="Arial"/>
                <w:sz w:val="18"/>
                <w:szCs w:val="18"/>
              </w:rPr>
              <w:t>(2 trials): RD, -0.16, 95% CI, -0.32 to -0.01 (2 trials)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Viscocanalostomy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sz w:val="16"/>
                <w:szCs w:val="16"/>
              </w:rPr>
              <w:t>Hyphema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(7 trials):</w:t>
            </w:r>
            <w:r w:rsidRPr="00060DE0">
              <w:rPr>
                <w:rFonts w:cs="Arial"/>
                <w:sz w:val="16"/>
                <w:szCs w:val="16"/>
              </w:rPr>
              <w:br/>
              <w:t>RD,  –0.08; 95% CI, –0.16 to 0.00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r w:rsidRPr="00060DE0">
              <w:rPr>
                <w:rFonts w:cs="Arial"/>
                <w:sz w:val="16"/>
                <w:szCs w:val="16"/>
              </w:rPr>
              <w:t xml:space="preserve">Shallow/flat anterior chamber (5 trials): </w:t>
            </w:r>
            <w:r w:rsidRPr="00060DE0">
              <w:rPr>
                <w:rFonts w:cs="Arial"/>
                <w:sz w:val="16"/>
                <w:szCs w:val="16"/>
              </w:rPr>
              <w:br/>
              <w:t>RD,  –0.16; 95% CI, –0.23 to –0.09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r w:rsidRPr="00060DE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0DE0">
              <w:rPr>
                <w:rFonts w:cs="Arial"/>
                <w:sz w:val="16"/>
                <w:szCs w:val="16"/>
              </w:rPr>
              <w:t>Hypotony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(7 trials) : </w:t>
            </w:r>
            <w:r w:rsidRPr="00060DE0">
              <w:rPr>
                <w:rFonts w:cs="Arial"/>
                <w:sz w:val="16"/>
                <w:szCs w:val="16"/>
              </w:rPr>
              <w:br/>
              <w:t>RD,  –0.12; 95% CI, –0.24 to 0.00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sz w:val="16"/>
                <w:szCs w:val="16"/>
              </w:rPr>
              <w:t>Choroidal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detachment (3 trials) </w:t>
            </w:r>
            <w:r w:rsidRPr="00060DE0">
              <w:rPr>
                <w:rFonts w:cs="Arial"/>
                <w:sz w:val="16"/>
                <w:szCs w:val="16"/>
              </w:rPr>
              <w:br/>
              <w:t>RD,  –0.15; 95% CI, –0.24 to –0.05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r w:rsidRPr="00060DE0">
              <w:rPr>
                <w:rFonts w:cs="Arial"/>
                <w:sz w:val="16"/>
                <w:szCs w:val="16"/>
              </w:rPr>
              <w:t>Cataract  (5 trials) RD, –0.09 95% CI, –0.16 to –0.03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6"/>
                <w:szCs w:val="16"/>
              </w:rPr>
            </w:pPr>
            <w:r w:rsidRPr="00060DE0">
              <w:rPr>
                <w:rFonts w:cs="Arial"/>
                <w:bCs/>
                <w:sz w:val="16"/>
                <w:szCs w:val="16"/>
              </w:rPr>
              <w:t xml:space="preserve">Deep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sclerectomy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sz w:val="16"/>
                <w:szCs w:val="16"/>
              </w:rPr>
              <w:t>Hyphema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(7 trials) RD,  –0.11; 95% CI, –0.20 to –0.02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r w:rsidRPr="00060DE0">
              <w:rPr>
                <w:rFonts w:cs="Arial"/>
                <w:sz w:val="16"/>
                <w:szCs w:val="16"/>
              </w:rPr>
              <w:t>Shallow/flat anterior chamber (7 trials)  RD,  –0.22; 95% CI, –0.34 to –0.09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sz w:val="16"/>
                <w:szCs w:val="16"/>
              </w:rPr>
              <w:t>Hypotony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(6 trials)  RD, –0.09; 95% CI, –0.16 to –0.01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6"/>
                <w:szCs w:val="16"/>
              </w:rPr>
              <w:t>Choroidal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detachment (4 trials) RD,  –0.16; 95% CI, –</w:t>
            </w:r>
            <w:r w:rsidRPr="00060DE0">
              <w:rPr>
                <w:rFonts w:cs="Arial"/>
                <w:sz w:val="18"/>
                <w:szCs w:val="18"/>
              </w:rPr>
              <w:t>0.25 to –0.07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Inflammation (6 trials) RD,  –0.05; 95% CI, –0.10 to –0.01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Cataract (4 trials) RD,  –0.23; 95% CI, –0.50 to 0.04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Cox 2008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ÿ\11\05‘\19\02\00\00\00\017\01\01\00\01\00\00\01\00\00\00\1BM_\00\00\00\00˜êÛ\01H4Ú\01\01\00\00\008\00\00\00\00\00\00\008\00\00\00 !\00\00;Y:\5CGlaucoma\5CDatabase\5CTreatment\5CDec 2\5CGlaucoma-Treatment.pdt\1FCox, Mollan, et al. 2008 #50067\01\04\00\03\00àà\00\00\00ÿÿÿ‘\1AžuA\1Bžu\0D\00\00\00\01\00\00\00\00\00\00\00\01\00\00\00¨ò\12\00\02\00\00\00\00\00\00\00\00\00,\00\00\00\01\00\00\00Dô\12\00=\11J\00,\00\00\00pô\12\00Dô\12\00\06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differences in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from baseline to 3 months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>Non-Fixed versus fixed combination medications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Prior to instillation of morning dose: MD, 0.20; 95% CI, -0.11 to 0.51 (6 trials)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2 hours after dose: MD, 0.39; 95% CI, 0.04 to 0.75 (6 trials)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8 hours after dose: MD, 0.50; 95% CI, 0.16 to 0.85 (4 trials)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Narrative summary only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Eyawo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2009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ÿ\11\05‘\19\02\00\00\00\018\01\01\00\01\00\00\01\00\00\00\1BM_\00\00\00\00Ðâ}\01¸©\0F\01\01\00\00\008\00\00\00\00\00\00\008\00\00\00?!\00\00;Y:\5CGlaucoma\5CDatabase\5CTreatment\5CDec 2\5CGlaucoma-Treatment.pdt"Eyawo, Nachega, et al. 2009 #20060\00"\00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&gt; = 3 months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(9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–0.24; 95% CI, –0.87 to 0.38 (9 trials)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 xml:space="preserve">(8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0.88, 95% CI, 0.13 to 1.63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 xml:space="preserve">(8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0.73, 95% CI, 0.10 to 1.37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(6 trials): RR, 5.71; 95% CI, 1.81 to 18.02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(1 trial): RR, 0.82; 95% CI, 0.69 to 0.97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(5 trials): RR, 1.59; 95% CI, 1.02 to 2.48</w:t>
            </w:r>
          </w:p>
        </w:tc>
      </w:tr>
      <w:tr w:rsidR="0051469C" w:rsidRPr="00060DE0" w:rsidTr="00E15C8D">
        <w:trPr>
          <w:cantSplit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Hodge 2008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ÿ\11\05‘\19\02\00\00\00\0210\01\01\00\02\00\00\01\00\00\00\1BM_\00\00\00\00\08ëÛ\01¸/~\01\01\00\00\008\00\00\00\00\00\00\008\00\00\00¡!\00\00;Y:\5CGlaucoma\5CDatabase\5CTreatment\5CDec 2\5CGlaucoma-Treatment.pdt#Hodge, Lachaine, et al. 2008 #50075\01\04\00\05\00àà\00\00\00ÿÿÿ‘\1AžuA\1Bžu\0D\00\00\00\01\00\00\00\00\00\00\00\01\00\00\00¨ò\12\00\02\00\00\00\00\00\00\00\00\00,\00\00\00\01\00\00\00Dô\12\00=\11J\00,\00\00\00pô\12\00Dô\12\00\08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10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&lt; 6 months </w:t>
            </w:r>
            <w:r w:rsidRPr="00060DE0">
              <w:rPr>
                <w:rFonts w:cs="Arial"/>
                <w:sz w:val="18"/>
                <w:szCs w:val="18"/>
              </w:rPr>
              <w:t>(10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0.76; 95% CI, 0.12 to 1.39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 xml:space="preserve"> 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&gt; = 8 months</w:t>
            </w:r>
            <w:r w:rsidRPr="00060DE0">
              <w:rPr>
                <w:rFonts w:cs="Arial"/>
                <w:sz w:val="18"/>
                <w:szCs w:val="18"/>
              </w:rPr>
              <w:t xml:space="preserve"> (4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1.64; 95% CI, 0.92 to 2.36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(all endpoints above - 14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1.10; 95% CI, 0.57 to 1.63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>Itch/discomfort (8 trials): RR, 0.81; 95% CI, 0.40 to 1.61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Hyperemia (8 trials): RR, 1.37; 95% CI, 0.84 to 2.25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Eyelid disorder (5 trials): RR, 1.61; 95% CI,  0.47 to 5.48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Visual disturbance (8 trials): RR,  1.19; 95% CI, 0.88 to 1.61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disorder (2 trials): RR, 0.16; 95% CI, 0.01 to 5.09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Keratopathy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RR, 0.69; 95% CI, 0.24 to 1.96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Dry eye (4 trials): RR, 0.76; 95% CI, 0.26 to 2.27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Hypertrichosis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(1 trial):  RR, 10.37; 95% CI, 0.59 to 182.60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Increased iris pigmentation (2 trials): RR, 5.48; 95% CI, 0.65 to 46.50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Fatigue (3 trials): RR, 0.27; 95% CI, 0.08 to 0.88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Headache (4 trials): RR, 0.43; 95% CI, 0.17 to 1.1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Fung 2007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ÿ\11\05‘\19\02\00\00\00\019\01\01\00\01\00\00\01\00\00\00\1BM_\00\00\00\00x\1B{\010e~\01\01\00\00\008\00\00\00\00\00\00\008\00\00\00œ!\00\00;Y:\5CGlaucoma\5CDatabase\5CTreatment\5CDec 2\5CGlaucoma-Treatment.pdt\1EFung, Reid, et al. 2007 #50102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</w:t>
            </w:r>
            <w:r w:rsidRPr="00060DE0">
              <w:rPr>
                <w:rFonts w:cs="Arial"/>
                <w:sz w:val="18"/>
                <w:szCs w:val="18"/>
              </w:rPr>
              <w:t xml:space="preserve"> (3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-1.04; 95% CI, -3.01 to 0.93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 </w:t>
            </w:r>
            <w:r w:rsidRPr="00060DE0">
              <w:rPr>
                <w:rFonts w:cs="Arial"/>
                <w:sz w:val="18"/>
                <w:szCs w:val="18"/>
              </w:rPr>
              <w:t xml:space="preserve">(3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-2.64; 95% CI, -3.25 to -2.04 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Ocular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hyperaemia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(2 trials): RR, 1.22, 95% CI, 0.63 to 2.37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  <w:t xml:space="preserve">Ocular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hyperaemia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(4 trials): RR, 1.18; 95% CI, 0.59 to 2.37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Honrubia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2009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ÿ\11\05‘\19\02\00\00\00\0211\01\01\00\02\00\00\01\00\00\00\1BM_\00\00\00\00\0B{\01\00„\01\01\00\00\008\00\00\00\00\00\00\008\00\00\007!\00\00;Y:\5CGlaucoma\5CDatabase\5CTreatment\5CDec 2\5CGlaucoma-Treatment.pdt,Honrubia, Garcia-Sanchez, et al. 2009 #20057\00,\00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11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Not reported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(6 trials): OR, 0.512; 95% CI, 0.390 to 0.674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(8 trials): OR, 0.32; 95% CI, 0.24 to 0.42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Jampel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2003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ÿ\11\05‘\19\02\00\00\00\0212\01\01\00\02\00\00\01\00\00\00\1BM_\00\00\00\00\00|\01(èÙ\01\01\00\00\008\00\00\00\00\00\00\008\00\00\00¤!\00\00;Y:\5CGlaucoma\5CDatabase\5CTreatment\5CDec 2\5CGlaucoma-Treatment.pdt$Jampel, Lubomski, et al. 2003 #50017\01\04\00\06\00 °\00\00\00ÿÿÿÅ†uAÆ†u\0D\00\00\00\01\00\00\00\00\00\00\00\01\00\00\00ð\12\00\02\00\00\00\00\00\00\00\00\00,\00\00\00\01\00\00\00Dô\12\00=\11J\00,\00\00\00pô\12\00Dô\12\00\08\00 °\00\00\00ÿÿÿÅ†uAÆ†u\0D\00\00\00\01\00\00\00\00\00\00\00\01\00\00\00ð\12\00\14\00\00\00\00\00\00ÿÿÿÎÃÂwçÃÂw,\00\00\00&lt;ò\12\00.ÄÂw,\00\00\00\00\00\00\00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12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  <w:r w:rsidRPr="00060DE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Narrative summary only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Narrative summary only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Narrative summary only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Kirwan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2009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ÿ\11\05‘\19\02\00\00\00\0213\01\01\00\02\00\00\01\00\00\00\1BM_\00\00\00\00`~\12\01\10ƒv\01\01\00\00\008\00\00\00\00\00\00\008\00\00\000!\00\00;Y:\5CGlaucoma\5CDatabase\5CTreatment\5CDec 2\5CGlaucoma-Treatment.pdt"Kirwan, Rennie, et al. 2009 #20054\00"\00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13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beta radiation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only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Mean reduction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12 or more months after surgery</w:t>
            </w:r>
            <w:r w:rsidRPr="00060DE0">
              <w:rPr>
                <w:rFonts w:cs="Arial"/>
                <w:sz w:val="18"/>
                <w:szCs w:val="18"/>
              </w:rPr>
              <w:t xml:space="preserve"> (2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-0.97; 95% CI, -2.56 to 0.62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beta radiation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only or placebo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Cataract (2 trials): RR, 2.89; 95% CI, 1.39 to 6.00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Hypotony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RR, 1.79; 95% CI, 0.62 to 5.14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Bleb leak (2 trials): RR, 0.53; 95% CI, 0.12 to 2.38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Li 2006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ÿ\11\05‘\19\02\00\00\00\0214\01\01\00\02\00\00\01\00\00\00\1BM_\00\00\00\00XAÛ\010ƒ\01\01\00\00\008\00\00\00\00\00\00\008\00\00\00‰!\00\00;Y:\5CGlaucoma\5CDatabase\5CTreatment\5CDec 2\5CGlaucoma-Treatment.pdt\1CLi, Chen, et al. 2006 #50010\01\04\00\02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14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reduction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after 3 or more months (range 3 to 12 months - 4 trials)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−0.81; 95%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CI,−1.16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to −0.45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reduction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after 3 or more months (range 3 to 6 months - 5 trials)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0.08; 95% CI, −0.62 to 0.79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reduction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after 2 or more weeks (range 2 weeks to 12 months - 6 trials)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−0.57; 95% CI, −1.18 to 0.04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0.004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0.0015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reduction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after 6 or more months (range 6 to 12 months - 4 trials)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−0.32; 95% CI, −0.62 to −0.02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(4 trials): OR, 6.76; 95% CI, 4.93 to 9.25</w:t>
            </w:r>
            <w:r w:rsidRPr="00060DE0">
              <w:rPr>
                <w:rFonts w:cs="Arial"/>
                <w:sz w:val="18"/>
                <w:szCs w:val="18"/>
              </w:rPr>
              <w:br/>
              <w:t>Iris pigmentation (3 trials): OR, 11.6; 95% CI 2.07 to 59.08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(4 trials): OR, 0.65; 95% CI, 0.42 to 1.00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0.004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(3 trials): OR, 2.03; 95% CI, 1.49 to 2.75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0.004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0.0015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(4 trials): OR, 1.64; 95% CI, 1.32 to 2.04</w:t>
            </w:r>
            <w:r w:rsidRPr="00060DE0">
              <w:rPr>
                <w:rFonts w:cs="Arial"/>
                <w:sz w:val="18"/>
                <w:szCs w:val="18"/>
              </w:rPr>
              <w:br/>
              <w:t>Iris pigmentation (4 trials): OR, 0.74; 95% CI, 0.38 to 1.46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Liu 2010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ÿ\11\05‘\19\02\00\00\00\0215\01\01\00\02\00\00\01\00\00\00\1BM_\00\00\00\00h›~\01É\0F\01\01\00\00\008\00\00\00\00\00\00\008\00\00\00ø \00\00;Y:\5CGlaucoma\5CDatabase\5CTreatment\5CDec 2\5CGlaucoma-Treatment.pdt\1DLiu, Chen, et al. 2010 #20029\00\1D\00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15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2-site versus 1-site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>Percent of participants with best corrected visual acuity of &gt; = 0.5</w:t>
            </w:r>
            <w:r w:rsidRPr="00060DE0">
              <w:rPr>
                <w:rFonts w:cs="Arial"/>
                <w:sz w:val="18"/>
                <w:szCs w:val="18"/>
              </w:rPr>
              <w:br/>
              <w:t>RR, 0.91; 95% CI, 0.74 to 1.12 (2 trials)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2-site versus 1-site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&gt; = 12 months (range 12 - 24 months - 5 trials): 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–5.99; 95% CI, –10.74 to -1.24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2-site versus 1-site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phacotrabeculectomy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Hyphema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(4 trials):  RR, 0.88; 95% CI, 0.42 to 1.82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Choroidal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detachment (3 trials): RR, 0.79; 95% CI, 0.31 to 2.02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Hypotony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RR,  1.74; 95% CI, 0.84 to 3.60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Loon 2008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ÿ\11\05‘\19\02\00\00\00\0216\01\01\00\02\00\00\01\00\00\00\1BM_\00\00\00\00p\19Ú\01(‚\01\01\00\00\008\00\00\00\00\00\00\008\00\00\00!\00\00;Y:\5CGlaucoma\5CDatabase\5CTreatment\5CDec 2\5CGlaucoma-Treatment.pdt\1ELoon, Liew, et al. 2008 #50070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16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  <w:r w:rsidRPr="00060DE0">
              <w:rPr>
                <w:rFonts w:cs="Arial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(trials of less than 6 months - 3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0.16; 95% CI, -0.93 to 1.25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(trials of more than 6 months - 5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0.22; 95% CI, -0.81 to 1.26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(all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timepoints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- 8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0.24; 95% CI, -0.57 to 1.04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Burning and stinging (8 trials): RR, 1.14; 95% CI, 0.61 to 2.14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Allergy (8 trials): RR, 0.08; 95% CI, 0.01 to 0.47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Maier 2005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ÿ\11\05‘\19\02\00\00\00\0217\01\01\00\02\00\00\01\00\00\00\1BM_\00\00\00\00X\0B{\01€4Ú\01\01\00\00\008\00\00\00\00\00\00\008\00\00\00ˆ!\00\00;Y:\5CGlaucoma\5CDatabase\5CTreatment\5CDec 2\5CGlaucoma-Treatment.pdt\1FMaier, Funk, et al. 2005 #50044\01\04\00\05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17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>Medical and/or surgical interventions versus no treatment</w:t>
            </w:r>
          </w:p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Visual field loss or deterioration of optic disc, or both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- 5 trials): HR, 0.56; 95% CI, 0.39 to 0.81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- 2 trials): HR, 0.65; 95% CI,  0.49 to 0.87 (2 trials)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  <w:t>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NTG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- 2 trials): HR 0.70; 95% CI, 0.48 to 1.02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</w:tr>
      <w:tr w:rsidR="0051469C" w:rsidRPr="00060DE0" w:rsidTr="00E15C8D">
        <w:trPr>
          <w:cantSplit/>
          <w:trHeight w:val="8747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Minckler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2006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ÿ\11\05‘\19\02\00\00\00\0218\01\01\00\02\00\00\01\00\00\00\1BM_\00\00\00\00ˆ-Ý\01 d~\01\01\00\00\008\00\00\00\00\00\00\008\00\00\00†!\00\00;Y:\5CGlaucoma\5CDatabase\5CTreatment\5CDec 2\5CGlaucoma-Treatment.pdt$Minckler, Vedula, et al. 2006 #50022\01\04\00\08\00àà\00\00\00ÿÿÿ‘\1AžuA\1Bžu\0D\00\00\00\01\00\00\00\00\00\00\00\01\00\00\00¨ò\12\00\02\00\00\00\00\00\00\00\00\00,\00\00\00\01\00\00\00Dô\12\00=\11J\00,\00\00\00pô\12\00Dô\12\00\06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18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Endocyclophotocoagulation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Ahmed implant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logMAR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visual acuity at 24 months follow-up</w:t>
            </w:r>
            <w:r w:rsidRPr="00060DE0">
              <w:rPr>
                <w:rFonts w:cs="Arial"/>
                <w:sz w:val="18"/>
                <w:szCs w:val="18"/>
              </w:rPr>
              <w:br/>
              <w:t>MD, 0.24; 95% CI, -0.04 to 0.52 (1 trial)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Single-plate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implant with oral corticosteroids versus single-plate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implant alone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 Visual acuity unchanged or within one line from baseline</w:t>
            </w:r>
            <w:r w:rsidRPr="00060DE0">
              <w:rPr>
                <w:rFonts w:cs="Arial"/>
                <w:sz w:val="18"/>
                <w:szCs w:val="18"/>
              </w:rPr>
              <w:br/>
              <w:t xml:space="preserve">RR, 1.22; 95% CI, 0.93 to 1.61 (1 trial)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>Loss of 2 or more lines from baseline</w:t>
            </w:r>
            <w:r w:rsidRPr="00060DE0">
              <w:rPr>
                <w:rFonts w:cs="Arial"/>
                <w:sz w:val="18"/>
                <w:szCs w:val="18"/>
              </w:rPr>
              <w:br/>
              <w:t>RR, 0.22; 95% CI, 0.01 to 4.06 (1 trial)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Double-plate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implant +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implant + balanced salt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>solution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logMAR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visual acuity at 12 months follow up</w:t>
            </w:r>
            <w:r w:rsidRPr="00060DE0">
              <w:rPr>
                <w:rFonts w:cs="Arial"/>
                <w:sz w:val="18"/>
                <w:szCs w:val="18"/>
              </w:rPr>
              <w:br/>
              <w:t>MD, -0.60; 95% CI, -1.85 to 0.65 (1 trial)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Ahmed implant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11 to 13 months follow-up (2 trials): </w:t>
            </w:r>
            <w:proofErr w:type="spellStart"/>
            <w:r w:rsidRPr="00361842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361842">
              <w:rPr>
                <w:rFonts w:cs="Arial"/>
                <w:sz w:val="18"/>
                <w:szCs w:val="18"/>
              </w:rPr>
              <w:t>, -3.81; 95% CI, -5.69 to -1.94</w:t>
            </w:r>
            <w:r w:rsidRPr="00361842">
              <w:rPr>
                <w:rFonts w:cs="Arial"/>
                <w:sz w:val="18"/>
                <w:szCs w:val="18"/>
              </w:rPr>
              <w:br/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Endocyclophotocoagulation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Ahmed implant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12 months follow-up (1 trial): </w:t>
            </w:r>
            <w:r w:rsidRPr="00361842">
              <w:rPr>
                <w:rFonts w:cs="Arial"/>
                <w:sz w:val="18"/>
                <w:szCs w:val="18"/>
              </w:rPr>
              <w:t>MD, 1.14; 95% CI, -1.93 to 4.21</w:t>
            </w: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24 months follow-up (1 trial): </w:t>
            </w:r>
            <w:r w:rsidRPr="00361842">
              <w:rPr>
                <w:rFonts w:cs="Arial"/>
                <w:sz w:val="18"/>
                <w:szCs w:val="18"/>
              </w:rPr>
              <w:t>MD, 0.66; 95% CI, -2.98 to 4.30</w:t>
            </w: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Ahmed implant with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Ahmed implant with balanced salt solution</w:t>
            </w: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12 months follow-up (1 trial): </w:t>
            </w:r>
            <w:r w:rsidRPr="00361842">
              <w:rPr>
                <w:rFonts w:cs="Arial"/>
                <w:sz w:val="18"/>
                <w:szCs w:val="18"/>
              </w:rPr>
              <w:t>MD, -0.20; 95% CI, -2.82 to 2.42</w:t>
            </w:r>
          </w:p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High-pressure Ahmed implant +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+ partial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Tenon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capsule resection versus Standard Ahmed implant +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12 months follow-up (1 trial):  </w:t>
            </w:r>
            <w:r w:rsidRPr="00361842">
              <w:rPr>
                <w:rFonts w:cs="Arial"/>
                <w:sz w:val="18"/>
                <w:szCs w:val="18"/>
              </w:rPr>
              <w:t>MD, -1.13; 95% CI, -4.69 to 2.43</w:t>
            </w:r>
          </w:p>
          <w:p w:rsidR="0051469C" w:rsidRPr="00361842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Double-plate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implant versus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Schocket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shunt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6 months follow-up</w:t>
            </w:r>
            <w:r w:rsidRPr="00361842">
              <w:rPr>
                <w:rFonts w:cs="Arial"/>
                <w:sz w:val="18"/>
                <w:szCs w:val="18"/>
              </w:rPr>
              <w:br/>
              <w:t>MD, 1.67; 95% CI,  -1.37 to 4.71 (1 trial)</w:t>
            </w:r>
            <w:r w:rsidRPr="00361842">
              <w:rPr>
                <w:rFonts w:cs="Arial"/>
                <w:sz w:val="18"/>
                <w:szCs w:val="18"/>
              </w:rPr>
              <w:br/>
              <w:t>MD, -2.50; 95% CI, -4.60 to -0.40 (1 trial)</w:t>
            </w:r>
          </w:p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Single-plate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implant with oral corticosteroids versus single-plate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implant alone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6 months follow-up (1 trial):  </w:t>
            </w:r>
            <w:r w:rsidRPr="00361842">
              <w:rPr>
                <w:rFonts w:cs="Arial"/>
                <w:sz w:val="18"/>
                <w:szCs w:val="18"/>
              </w:rPr>
              <w:t>MD, 0.00; 95% CI,  -4.75 to 4.75</w:t>
            </w:r>
          </w:p>
          <w:p w:rsidR="0051469C" w:rsidRPr="00361842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Double-plate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implant +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Molteno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implant + balanced salt</w:t>
            </w:r>
            <w:r w:rsidRPr="00361842">
              <w:rPr>
                <w:rFonts w:cs="Arial"/>
                <w:bCs/>
                <w:sz w:val="18"/>
                <w:szCs w:val="18"/>
              </w:rPr>
              <w:br/>
              <w:t>solution</w:t>
            </w: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Mean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12 months follow-up (1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asldjkasldkjalskdj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51469C" w:rsidRPr="00361842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trial): </w:t>
            </w:r>
            <w:r w:rsidRPr="00361842">
              <w:rPr>
                <w:rFonts w:cs="Arial"/>
                <w:sz w:val="18"/>
                <w:szCs w:val="18"/>
              </w:rPr>
              <w:t>MD, 0.30; 95% CI, -7.75 to 8.35</w:t>
            </w:r>
          </w:p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Narrative summary only</w:t>
            </w:r>
          </w:p>
        </w:tc>
      </w:tr>
      <w:tr w:rsidR="0051469C" w:rsidRPr="00060DE0" w:rsidTr="00E15C8D">
        <w:trPr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  <w:r w:rsidRPr="00361842">
              <w:rPr>
                <w:rFonts w:cs="Arial"/>
                <w:bCs/>
                <w:sz w:val="18"/>
                <w:szCs w:val="18"/>
              </w:rPr>
              <w:t xml:space="preserve">Argon laser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medical treatment (newly diagnosed patients)</w:t>
            </w: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Failure to control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24 months (2 trials): </w:t>
            </w:r>
            <w:r w:rsidRPr="00361842">
              <w:rPr>
                <w:rFonts w:cs="Arial"/>
                <w:sz w:val="18"/>
                <w:szCs w:val="18"/>
              </w:rPr>
              <w:t>RR, 0.80; 95% CI, 0.71 to 0.91</w:t>
            </w:r>
          </w:p>
          <w:p w:rsidR="0051469C" w:rsidRPr="00361842" w:rsidRDefault="0051469C" w:rsidP="00E15C8D">
            <w:pPr>
              <w:rPr>
                <w:rFonts w:cs="Arial"/>
                <w:sz w:val="18"/>
                <w:szCs w:val="18"/>
              </w:rPr>
            </w:pPr>
            <w:r w:rsidRPr="00361842">
              <w:rPr>
                <w:rFonts w:cs="Arial"/>
                <w:sz w:val="18"/>
                <w:szCs w:val="18"/>
              </w:rPr>
              <w:br/>
            </w:r>
            <w:r w:rsidRPr="00361842">
              <w:rPr>
                <w:rFonts w:cs="Arial"/>
                <w:bCs/>
                <w:sz w:val="18"/>
                <w:szCs w:val="18"/>
              </w:rPr>
              <w:t xml:space="preserve">Argon laser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versus medical treatment(maximum medical therapy patients) Failure to control </w:t>
            </w:r>
            <w:proofErr w:type="spellStart"/>
            <w:r w:rsidRPr="00361842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361842">
              <w:rPr>
                <w:rFonts w:cs="Arial"/>
                <w:bCs/>
                <w:sz w:val="18"/>
                <w:szCs w:val="18"/>
              </w:rPr>
              <w:t xml:space="preserve"> at 12 months</w:t>
            </w:r>
            <w:r w:rsidRPr="00361842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Rolim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Moura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2007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ÿ\11\05‘\19\02\00\00\00\0219\01\01\00\02\00\00\01\00\00\00\1BM_\00\00\00\00˜•|\01À-Ý\01\01\00\00\008\00\00\00\00\00\00\008\00\00\00š!\00\00;Y:\5CGlaucoma\5CDatabase\5CTreatment\5CDec 2\5CGlaucoma-Treatment.pdt:Rolim de Moura Christiane, Paranhos Jr, et al. 2007 #50026\01\04\00\19\00àà\00\00\00ÿÿÿ‘\1AžuA\1Bžu\0D\00\00\00\01\00\00\00\00\00\00\00\01\00\00\00¨ò\12\00\02\00\00\00\00\00\00\00\00\00,\00\00\00\01\00\00\00Dô\12\00=\11J\00,\00\00\00pô\12\00Dô\12\00\0B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19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Covered with primary study discussion 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KQ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RR, 0.08; 95% CI, 0.02 to 0.31 (1 trial)</w:t>
            </w:r>
            <w:r w:rsidRPr="00060DE0">
              <w:rPr>
                <w:rFonts w:cs="Arial"/>
                <w:sz w:val="18"/>
                <w:szCs w:val="18"/>
              </w:rPr>
              <w:br/>
              <w:t>RR, 0.41; 95% CI, 0.22 to 0.77 (1 trial)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Argon 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Failure to control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24 months (2 trials:  </w:t>
            </w:r>
            <w:r w:rsidRPr="00060DE0">
              <w:rPr>
                <w:rFonts w:cs="Arial"/>
                <w:sz w:val="18"/>
                <w:szCs w:val="18"/>
              </w:rPr>
              <w:t xml:space="preserve">RR 2.03;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1.38 to 2.98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Diode 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argon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Failure to control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(1 trial):  </w:t>
            </w:r>
            <w:r w:rsidRPr="00060DE0">
              <w:rPr>
                <w:rFonts w:cs="Arial"/>
                <w:sz w:val="18"/>
                <w:szCs w:val="18"/>
              </w:rPr>
              <w:t xml:space="preserve">RR 3.0;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95%CI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0.37 to 24.17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Failure to control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24 months (1 trial): </w:t>
            </w:r>
            <w:r w:rsidRPr="00060DE0">
              <w:rPr>
                <w:rFonts w:cs="Arial"/>
                <w:sz w:val="18"/>
                <w:szCs w:val="18"/>
              </w:rPr>
              <w:t>RR 0.50; 95% CI, 0.10 to 2.43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>Selective</w:t>
            </w:r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argon laser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Failure to control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(1 trial): </w:t>
            </w:r>
            <w:r w:rsidRPr="00060DE0">
              <w:rPr>
                <w:rFonts w:cs="Arial"/>
                <w:sz w:val="18"/>
                <w:szCs w:val="18"/>
              </w:rPr>
              <w:t>RR 1.27; 95% CI, 0.84 to 1.90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Argon 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medical treatment (newly diagnosed patients)</w:t>
            </w:r>
            <w:r w:rsidRPr="00060DE0">
              <w:rPr>
                <w:rFonts w:cs="Arial"/>
                <w:sz w:val="18"/>
                <w:szCs w:val="18"/>
              </w:rPr>
              <w:br/>
              <w:t>Visual field progression at 1 year (2 trials): RR, 0.77; 95% CI, 0.46 to 1.28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  <w:t>Visual field progression at 2 years (2 trials): RR, 0.70; 95% CI, 0.42 to 1.16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and topical medications (beta blockers) versus no treatment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Ocular adverse events </w:t>
            </w:r>
            <w:r w:rsidRPr="00060DE0">
              <w:rPr>
                <w:rFonts w:cs="Arial"/>
                <w:sz w:val="18"/>
                <w:szCs w:val="18"/>
              </w:rPr>
              <w:t>(1 trial)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: </w:t>
            </w:r>
            <w:r w:rsidRPr="00060DE0">
              <w:rPr>
                <w:rFonts w:cs="Arial"/>
                <w:sz w:val="18"/>
                <w:szCs w:val="18"/>
              </w:rPr>
              <w:t>RR, 1.52; 95% CI, 0.89 to 2.60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Systemic adverse events </w:t>
            </w:r>
            <w:r w:rsidRPr="00060DE0">
              <w:rPr>
                <w:rFonts w:cs="Arial"/>
                <w:sz w:val="18"/>
                <w:szCs w:val="18"/>
              </w:rPr>
              <w:t>(1 trial):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 xml:space="preserve">RR, 4.88; 95% CI, 0.58 to 41.22 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Argon 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medical treatment (newly diagnosed patients)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Peripheral anterior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synechiae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formation (2 trials): </w:t>
            </w:r>
            <w:r w:rsidRPr="00060DE0">
              <w:rPr>
                <w:rFonts w:cs="Arial"/>
                <w:sz w:val="18"/>
                <w:szCs w:val="18"/>
              </w:rPr>
              <w:t>RR, 11.15; 95% CI,  5.63 to 22.09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Diode 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argon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laser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trabeculoplasty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Peripheral anterior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synechiae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formation (1 trial): </w:t>
            </w:r>
            <w:r w:rsidRPr="00060DE0">
              <w:rPr>
                <w:rFonts w:cs="Arial"/>
                <w:sz w:val="18"/>
                <w:szCs w:val="18"/>
              </w:rPr>
              <w:t>RR 0.54; 95% CI, 0.17 to 1.76 (1 trial)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Early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spikes (3 trials): </w:t>
            </w:r>
            <w:r w:rsidRPr="00060DE0">
              <w:rPr>
                <w:rFonts w:cs="Arial"/>
                <w:sz w:val="18"/>
                <w:szCs w:val="18"/>
              </w:rPr>
              <w:t>RR, 0.66; 95% CI, 0.21 to 2.14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Vass 2007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ÿ\11\05‘\19\02\00\00\00\0220\01\01\00\02\00\00\01\00\00\00\1BM_\00\00\00\00ð­Ú\01ø2Ú\01\01\00\00\008\00\00\00\00\00\00\008\00\00\00›!\00\00;Y:\5CGlaucoma\5CDatabase\5CTreatment\5CDec 2\5CGlaucoma-Treatment.pdt\1EVass, Hirn, et al. 2007 #50087\01\04\00\04\00àà\00\00\00ÿÿÿ‘\1AžuA\1Bžu\0D\00\00\00\01\00\00\00\00\00\00\00\01\00\00\00¨ò\12\00\02\00\00\00\00\00\00\00\00\00,\00\00\00\01\00\00\00Dô\12\00=\11J\00,\00\00\00pô\12\00Dô\12\00\04\00àà\00\00\00ÿÿÿ‘\1AžuA\1Bžu\0D\00\00\00\01\00\00\00\00\00\00\00\01\00\00\00¨ò\12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20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r w:rsidRPr="00060DE0">
              <w:rPr>
                <w:rFonts w:cs="Arial"/>
                <w:bCs/>
                <w:sz w:val="16"/>
                <w:szCs w:val="16"/>
              </w:rPr>
              <w:t>Incidence of visual field defect progression</w:t>
            </w:r>
            <w:r w:rsidRPr="00060DE0">
              <w:rPr>
                <w:rFonts w:cs="Arial"/>
                <w:sz w:val="16"/>
                <w:szCs w:val="16"/>
              </w:rPr>
              <w:br/>
            </w:r>
            <w:r w:rsidRPr="00060DE0">
              <w:rPr>
                <w:rFonts w:cs="Arial"/>
                <w:bCs/>
                <w:sz w:val="16"/>
                <w:szCs w:val="16"/>
              </w:rPr>
              <w:t>Beta blockers versus placebo or untreated</w:t>
            </w:r>
            <w:r w:rsidRPr="00060DE0">
              <w:rPr>
                <w:rFonts w:cs="Arial"/>
                <w:sz w:val="16"/>
                <w:szCs w:val="16"/>
              </w:rPr>
              <w:t xml:space="preserve"> (8 trials): OR, 0.67; 95% CI, 0.45 to 1.00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placebo or untreated</w:t>
            </w:r>
            <w:r w:rsidRPr="00060DE0">
              <w:rPr>
                <w:rFonts w:cs="Arial"/>
                <w:sz w:val="16"/>
                <w:szCs w:val="16"/>
              </w:rPr>
              <w:t xml:space="preserve"> (7 trials): OR, 0.66; 95% CI, 0.41 to 1.05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Betaxolol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placebo or untreated</w:t>
            </w:r>
            <w:r w:rsidRPr="00060DE0">
              <w:rPr>
                <w:rFonts w:cs="Arial"/>
                <w:sz w:val="16"/>
                <w:szCs w:val="16"/>
              </w:rPr>
              <w:t xml:space="preserve"> (1 trial):</w:t>
            </w:r>
            <w:r w:rsidRPr="00060DE0">
              <w:rPr>
                <w:rFonts w:cs="Arial"/>
                <w:sz w:val="16"/>
                <w:szCs w:val="16"/>
              </w:rPr>
              <w:br/>
              <w:t>OR, 0.70; 95% CI, 0.32 to 1.51</w:t>
            </w:r>
          </w:p>
          <w:p w:rsidR="0051469C" w:rsidRPr="00060DE0" w:rsidRDefault="0051469C" w:rsidP="00E15C8D">
            <w:pPr>
              <w:rPr>
                <w:rFonts w:cs="Arial"/>
                <w:sz w:val="16"/>
                <w:szCs w:val="16"/>
              </w:rPr>
            </w:pP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Carteolol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(2 trials):</w:t>
            </w:r>
            <w:r w:rsidRPr="00060DE0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60DE0">
              <w:rPr>
                <w:rFonts w:cs="Arial"/>
                <w:sz w:val="16"/>
                <w:szCs w:val="16"/>
              </w:rPr>
              <w:br/>
              <w:t>OR 0.18; 95% CI, 0.05 to 0.62</w:t>
            </w:r>
            <w:r w:rsidRPr="00060DE0">
              <w:rPr>
                <w:rFonts w:cs="Arial"/>
                <w:sz w:val="16"/>
                <w:szCs w:val="16"/>
              </w:rPr>
              <w:br/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Levobunolol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60DE0">
              <w:rPr>
                <w:rFonts w:cs="Arial"/>
                <w:sz w:val="16"/>
                <w:szCs w:val="16"/>
              </w:rPr>
              <w:t>(2 trials):</w:t>
            </w:r>
            <w:r w:rsidRPr="00060DE0">
              <w:rPr>
                <w:rFonts w:cs="Arial"/>
                <w:sz w:val="16"/>
                <w:szCs w:val="16"/>
              </w:rPr>
              <w:br/>
              <w:t xml:space="preserve">OR, 2.20; 95% CI, 1.17 to </w:t>
            </w:r>
            <w:proofErr w:type="spellStart"/>
            <w:r w:rsidRPr="00060DE0">
              <w:rPr>
                <w:rFonts w:cs="Arial"/>
                <w:sz w:val="16"/>
                <w:szCs w:val="16"/>
              </w:rPr>
              <w:t>4.14</w:t>
            </w:r>
            <w:r w:rsidRPr="00060DE0">
              <w:rPr>
                <w:rFonts w:cs="Arial"/>
                <w:bCs/>
                <w:sz w:val="16"/>
                <w:szCs w:val="16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6"/>
                <w:szCs w:val="16"/>
              </w:rPr>
              <w:t>brimonidine</w:t>
            </w:r>
            <w:proofErr w:type="spellEnd"/>
            <w:r w:rsidRPr="00060DE0">
              <w:rPr>
                <w:rFonts w:cs="Arial"/>
                <w:bCs/>
                <w:sz w:val="16"/>
                <w:szCs w:val="16"/>
              </w:rPr>
              <w:t xml:space="preserve"> (3 trials):</w:t>
            </w:r>
            <w:r w:rsidRPr="00060DE0">
              <w:rPr>
                <w:rFonts w:cs="Arial"/>
                <w:sz w:val="16"/>
                <w:szCs w:val="16"/>
              </w:rPr>
              <w:br/>
              <w:t>OR, 1.11; 95% CI, 0.60 to 2.04 (3 trials)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6"/>
                <w:szCs w:val="16"/>
              </w:rPr>
              <w:t>Any topical medical treatment versus placebo or untreated (10 trials):</w:t>
            </w:r>
            <w:r w:rsidRPr="00060DE0">
              <w:rPr>
                <w:rFonts w:cs="Arial"/>
                <w:sz w:val="16"/>
                <w:szCs w:val="16"/>
              </w:rPr>
              <w:br/>
              <w:t xml:space="preserve">OR. 0.62; 95% CI, 0.47 to 0.81 </w:t>
            </w:r>
            <w:r w:rsidRPr="00060DE0">
              <w:rPr>
                <w:rFonts w:cs="Arial"/>
                <w:sz w:val="16"/>
                <w:szCs w:val="16"/>
              </w:rPr>
              <w:br/>
              <w:t>Change of visual field mean sensitivity</w:t>
            </w:r>
            <w:r w:rsidRPr="00060DE0">
              <w:rPr>
                <w:rFonts w:cs="Arial"/>
                <w:sz w:val="16"/>
                <w:szCs w:val="16"/>
              </w:rPr>
              <w:br/>
            </w:r>
            <w:proofErr w:type="spellStart"/>
            <w:r w:rsidRPr="00060DE0">
              <w:rPr>
                <w:rFonts w:cs="Arial"/>
                <w:sz w:val="16"/>
                <w:szCs w:val="16"/>
              </w:rPr>
              <w:t>Timolol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versus </w:t>
            </w:r>
            <w:proofErr w:type="spellStart"/>
            <w:r w:rsidRPr="00060DE0">
              <w:rPr>
                <w:rFonts w:cs="Arial"/>
                <w:sz w:val="16"/>
                <w:szCs w:val="16"/>
              </w:rPr>
              <w:t>Betaxolol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 xml:space="preserve"> (6 trials):</w:t>
            </w:r>
            <w:r w:rsidRPr="00060DE0">
              <w:rPr>
                <w:rFonts w:cs="Arial"/>
                <w:sz w:val="16"/>
                <w:szCs w:val="16"/>
              </w:rPr>
              <w:br/>
            </w:r>
            <w:proofErr w:type="spellStart"/>
            <w:r w:rsidRPr="00060DE0">
              <w:rPr>
                <w:rFonts w:cs="Arial"/>
                <w:sz w:val="16"/>
                <w:szCs w:val="16"/>
              </w:rPr>
              <w:t>WMD</w:t>
            </w:r>
            <w:proofErr w:type="spellEnd"/>
            <w:r w:rsidRPr="00060DE0">
              <w:rPr>
                <w:rFonts w:cs="Arial"/>
                <w:sz w:val="16"/>
                <w:szCs w:val="16"/>
              </w:rPr>
              <w:t>, 0.07; 95% CI, -0.43 to 0.57</w:t>
            </w:r>
            <w:r w:rsidRPr="00060DE0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bCs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>Drop out due to drug-related adverse events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placebo </w:t>
            </w:r>
            <w:r w:rsidRPr="00060DE0">
              <w:rPr>
                <w:rFonts w:cs="Arial"/>
                <w:sz w:val="18"/>
                <w:szCs w:val="18"/>
              </w:rPr>
              <w:t>(3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OR, 2.48; 95% CI, 0.61 to 10.10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placebo </w:t>
            </w:r>
            <w:r w:rsidRPr="00060DE0">
              <w:rPr>
                <w:rFonts w:cs="Arial"/>
                <w:sz w:val="18"/>
                <w:szCs w:val="18"/>
              </w:rPr>
              <w:t>(1 trial):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OR, 0.95; 95% CI, 0.40 to 2.26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Levobunolol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(2 trials):</w:t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sz w:val="18"/>
                <w:szCs w:val="18"/>
              </w:rPr>
              <w:t>OR, 0.80; 95% CI, .034 to 1.87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(5 trials): </w:t>
            </w:r>
            <w:r w:rsidRPr="00060DE0">
              <w:rPr>
                <w:rFonts w:cs="Arial"/>
                <w:sz w:val="18"/>
                <w:szCs w:val="18"/>
              </w:rPr>
              <w:t>OR, 2.40; 95% CI, 1.04 to 5.53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(3 trials): </w:t>
            </w:r>
            <w:r w:rsidRPr="00060DE0">
              <w:rPr>
                <w:rFonts w:cs="Arial"/>
                <w:sz w:val="18"/>
                <w:szCs w:val="18"/>
              </w:rPr>
              <w:t>OR, 0.21; 95% CI, 0.14 to 0.31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lastRenderedPageBreak/>
              <w:t>Wilkins 2005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ÿ\11\05‘\19\02\00\00\00\0221\01\01\00\02\00\00\01\00\00\00\1BM_\00\00\00\00ˆ\0CÛ\01h3Ú\01\01\00\00\008\00\00\00\00\00\00\008\00\00\00ƒ!\00\00;Y:\5CGlaucoma\5CDatabase\5CTreatment\5CDec 2\5CGlaucoma-Treatment.pdt"Wilkins, Indar, et al. 2005 #50040\01\04\00\07\00àà\00\00\00¿H\00à&gt;\14\00\14\00\00\00\01\00\00\00\00\00\00\00\00\00\00\00\10\00\00\00\00\00\00\00\02\00\00\00\00\00\00\00\00\00,\00\00\00\01\00\00\00Dô\12\00=\11J\00,\00\00\00pô\12\00Dô\12\00\05\00àà\00\00\00¿H\00à&gt;\14\00\14\00\00\00\01\00\00\00\00\00\00\00\00\00\00\00\10\00\00\00\00\00\00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21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Cataract extraction combined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with Placebo or no treatment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(3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-3.34; 95% CI,-4.16 to -2.51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Primary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with Placebo or no treatment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(2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-5.41; 95% CI, -7.34 to -3.49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Cataract extraction combined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with Placebo or no treatment</w:t>
            </w:r>
            <w:r w:rsidRPr="00060DE0">
              <w:rPr>
                <w:rFonts w:cs="Arial"/>
                <w:sz w:val="18"/>
                <w:szCs w:val="18"/>
              </w:rPr>
              <w:br/>
              <w:t>Wound leak (3 trials): OR, 1.88; 95% CI, 0.68 to 5.16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Hypotony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OR, 1.65; 95% CI, 0.34 to 7.94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Endophthalmitis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(1 trial): OR, 3.44; 95% CI, 0.16 to 91.79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Endophthalmitis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(1 trial): OR, 1.14, 95% CI, 0.04 to 29.12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Primary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with Placebo or no treatment</w:t>
            </w:r>
            <w:r w:rsidRPr="00060DE0">
              <w:rPr>
                <w:rFonts w:cs="Arial"/>
                <w:sz w:val="18"/>
                <w:szCs w:val="18"/>
              </w:rPr>
              <w:br/>
              <w:t>Would leak (2 trials): OR, 1.65; 95% CI, 0.16 to 17.47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Hypotony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(3 trials): OR, 1.05; 95% CI, 0.23 to 4.68</w:t>
            </w:r>
            <w:r w:rsidRPr="00060DE0">
              <w:rPr>
                <w:rFonts w:cs="Arial"/>
                <w:sz w:val="18"/>
                <w:szCs w:val="18"/>
              </w:rPr>
              <w:br/>
              <w:t>Cataract (4 trials): RR, 1.93; 95% CI, 0.98 to 3.80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Wormald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2001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ÿ\11\05‘\19\02\00\00\00\0222\01\01\00\02\00\00\01\00\00\00\1BM_\00\00\00\00Ð™Ú\01p\0DÛ\01\01\00\00\008\00\00\00\00\00\00\008\00\00\00„!\00\00;Y:\5CGlaucoma\5CDatabase\5CTreatment\5CDec 2\5CGlaucoma-Treatment.pdt$Wormald, Wilkins, et al. 2001 #50089\01\04\00\07\00àà\00\00\00¿H\00à&gt;\14\00\14\00\00\00\01\00\00\00\00\00\00\00\00\00\00\00\10\00\00\00\00\00\00\00\02\00\00\00\00\00\00\00\00\00,\00\00\00\01\00\00\00Dô\12\00=\11J\00,\00\00\00pô\12\00Dô\12\00\07\00àà\00\00\00¿H\00à&gt;\14\00\14\00\00\00\01\00\00\00\00\00\00\00\00\00\00\00\10\00\00\00\00\00\00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22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Cataract extraction combined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5-FU versus with Placebo or no treatment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(2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-1.02; 95% CI, -2.40 to 0.37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Primary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5-FU versus with Placebo or no treatment</w:t>
            </w:r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Mean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at 12 months (2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-4.67; 95% CI, -6.60 to -2.74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bCs/>
                <w:sz w:val="18"/>
                <w:szCs w:val="18"/>
              </w:rPr>
              <w:t xml:space="preserve">Cataract extraction combined with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5-FU versus with Placebo or no treatment</w:t>
            </w:r>
            <w:r w:rsidRPr="00060DE0">
              <w:rPr>
                <w:rFonts w:cs="Arial"/>
                <w:sz w:val="18"/>
                <w:szCs w:val="18"/>
              </w:rPr>
              <w:br/>
              <w:t>Wound leak (2 trials): RR, 0.83; 95% CI, 0.15 to 4.56</w:t>
            </w:r>
            <w:r w:rsidRPr="00060DE0">
              <w:rPr>
                <w:rFonts w:cs="Arial"/>
                <w:sz w:val="18"/>
                <w:szCs w:val="18"/>
              </w:rPr>
              <w:br/>
              <w:t>Epithelial toxicity (2 trials): RR, 3.04; 95% CI, 1.56 to 5.92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Primary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with 5-FU versus with Placebo or no treatment</w:t>
            </w:r>
            <w:r w:rsidRPr="00060DE0">
              <w:rPr>
                <w:rFonts w:cs="Arial"/>
                <w:sz w:val="18"/>
                <w:szCs w:val="18"/>
              </w:rPr>
              <w:br/>
              <w:t>Wound leak (2 trials): RR, 0.47; 95% CI, 0.04 to 4.91</w:t>
            </w:r>
            <w:r w:rsidRPr="00060DE0">
              <w:rPr>
                <w:rFonts w:cs="Arial"/>
                <w:sz w:val="18"/>
                <w:szCs w:val="18"/>
              </w:rPr>
              <w:br/>
              <w:t>Epithelial toxicity (2 trials): RR. 5.85; 95% CI, 2.04 to 16.83</w:t>
            </w:r>
          </w:p>
        </w:tc>
      </w:tr>
      <w:tr w:rsidR="0051469C" w:rsidRPr="00060DE0" w:rsidTr="00E15C8D">
        <w:trPr>
          <w:cantSplit/>
          <w:trHeight w:val="140"/>
        </w:trPr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Zhang 2001</w:t>
            </w:r>
            <w:r w:rsidR="0006530E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74132C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ÿ\11\05‘\19\02\00\00\00\0223\01\01\00\02\00\00\01\00\00\00\1BM_\00\00\00\00€çÙ\01 AÛ\01\01\00\00\008\00\00\00\00\00\00\008\00\00\00…!\00\00;Y:\5CGlaucoma\5CDatabase\5CTreatment\5CDec 2\5CGlaucoma-Treatment.pdt\1DZhang, Po, et al. 2001 #50092\01\04\00\05\00àà\00\00\00¿H\00à&gt;\14\00\14\00\00\00\01\00\00\00\00\00\00\00\00\00\00\00\10\00\00\00\00\00\00\00\02\00\00\00\00\00\00\00\00\00,\00\00\00\01\00\00\00Dô\12\00=\11J\00,\00\00\00pô\12\00Dô\12\00\02\00àà\00\00\00¿H\00à&gt;\14\00\14\00\00\00\01\00\00\00\00\00\00\00\00\00\00\00\10\00\00\00\00\00\00\00\14\00\00\00\00\00\00ÿÿÿÎÃÂwçÃÂw,\00\00\00&lt;ò\12\00.ÄÂw,\00\00\00\00\00\00\00 </w:instrText>
            </w:r>
            <w:r w:rsidR="0006530E" w:rsidRPr="0074132C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0653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23</w:t>
            </w:r>
            <w:r w:rsidR="0006530E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br/>
              <w:t xml:space="preserve">Difference in percent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1 month (3 trials): </w:t>
            </w:r>
            <w:r w:rsidRPr="00060DE0">
              <w:rPr>
                <w:rFonts w:cs="Arial"/>
                <w:sz w:val="18"/>
                <w:szCs w:val="18"/>
              </w:rPr>
              <w:t>MD, 3.8; 95% CI, 1.2 to 6.3 (3 trials)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Difference in percent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3 months (5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5.0; 95% CI, 2.8 to 7.3</w:t>
            </w:r>
            <w:r w:rsidRPr="00060DE0">
              <w:rPr>
                <w:rFonts w:cs="Arial"/>
                <w:sz w:val="18"/>
                <w:szCs w:val="18"/>
              </w:rPr>
              <w:br/>
            </w:r>
            <w:r w:rsidRPr="00060DE0">
              <w:rPr>
                <w:rFonts w:cs="Arial"/>
                <w:bCs/>
                <w:sz w:val="18"/>
                <w:szCs w:val="18"/>
              </w:rPr>
              <w:t xml:space="preserve">Difference in percent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reduction from baseline to 6 months (4 trials):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WMD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5.0; 95% CI, 2.8 to 7.3 (4 trials)</w:t>
            </w:r>
          </w:p>
        </w:tc>
        <w:tc>
          <w:tcPr>
            <w:tcW w:w="0" w:type="auto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5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bCs/>
                <w:sz w:val="18"/>
                <w:szCs w:val="18"/>
              </w:rPr>
              <w:t xml:space="preserve"> versus </w:t>
            </w:r>
            <w:proofErr w:type="spellStart"/>
            <w:r w:rsidRPr="00060DE0">
              <w:rPr>
                <w:rFonts w:cs="Arial"/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hyperemia (6 trials): RR, 2.20; 95% CI, 1.33 to 3.65</w:t>
            </w:r>
            <w:r w:rsidRPr="00060DE0">
              <w:rPr>
                <w:rFonts w:cs="Arial"/>
                <w:sz w:val="18"/>
                <w:szCs w:val="18"/>
              </w:rPr>
              <w:br/>
              <w:t>Conjunctivitis (3 trials): RR, 0.80; 95% CI, 0.25 to 2.53</w:t>
            </w:r>
            <w:r w:rsidRPr="00060DE0">
              <w:rPr>
                <w:rFonts w:cs="Arial"/>
                <w:sz w:val="18"/>
                <w:szCs w:val="18"/>
              </w:rPr>
              <w:br/>
              <w:t>Increased pigmentation (4 trials):  RR, 8.01; 95% CI, 1.87 to 34.30</w:t>
            </w:r>
          </w:p>
        </w:tc>
      </w:tr>
    </w:tbl>
    <w:p w:rsidR="0051469C" w:rsidRPr="00060DE0" w:rsidRDefault="0051469C" w:rsidP="0051469C">
      <w:pPr>
        <w:rPr>
          <w:sz w:val="18"/>
          <w:szCs w:val="18"/>
        </w:rPr>
      </w:pPr>
      <w:r w:rsidRPr="00060DE0">
        <w:rPr>
          <w:sz w:val="18"/>
          <w:szCs w:val="18"/>
        </w:rPr>
        <w:t xml:space="preserve">Abbreviations: Y = Yes; N = No; NR = Not reported; </w:t>
      </w:r>
      <w:proofErr w:type="spellStart"/>
      <w:r w:rsidRPr="00060DE0">
        <w:rPr>
          <w:sz w:val="18"/>
          <w:szCs w:val="18"/>
        </w:rPr>
        <w:t>IOP</w:t>
      </w:r>
      <w:proofErr w:type="spellEnd"/>
      <w:r w:rsidRPr="00060DE0">
        <w:rPr>
          <w:sz w:val="18"/>
          <w:szCs w:val="18"/>
        </w:rPr>
        <w:t xml:space="preserve"> = Intraocular pressure; OR = Odds ratio; MD = Mean difference, </w:t>
      </w:r>
      <w:proofErr w:type="spellStart"/>
      <w:r w:rsidRPr="00060DE0">
        <w:rPr>
          <w:sz w:val="18"/>
          <w:szCs w:val="18"/>
        </w:rPr>
        <w:t>WMD</w:t>
      </w:r>
      <w:proofErr w:type="spellEnd"/>
      <w:r w:rsidRPr="00060DE0">
        <w:rPr>
          <w:sz w:val="18"/>
          <w:szCs w:val="18"/>
        </w:rPr>
        <w:t xml:space="preserve"> = Weighted mean difference ; 95% CI = 95% confidence interval; RR = relative risk; RD = risk difference; </w:t>
      </w:r>
      <w:proofErr w:type="spellStart"/>
      <w:r w:rsidRPr="00060DE0">
        <w:rPr>
          <w:sz w:val="18"/>
          <w:szCs w:val="18"/>
        </w:rPr>
        <w:t>RCT</w:t>
      </w:r>
      <w:proofErr w:type="spellEnd"/>
      <w:r w:rsidRPr="00060DE0">
        <w:rPr>
          <w:sz w:val="18"/>
          <w:szCs w:val="18"/>
        </w:rPr>
        <w:t xml:space="preserve"> = Randomized controlled trial; Quasi </w:t>
      </w:r>
      <w:proofErr w:type="spellStart"/>
      <w:r w:rsidRPr="00060DE0">
        <w:rPr>
          <w:sz w:val="18"/>
          <w:szCs w:val="18"/>
        </w:rPr>
        <w:t>RCT</w:t>
      </w:r>
      <w:proofErr w:type="spellEnd"/>
      <w:r w:rsidRPr="00060DE0">
        <w:rPr>
          <w:sz w:val="18"/>
          <w:szCs w:val="18"/>
        </w:rPr>
        <w:t xml:space="preserve"> = Quasi randomized controlled trial; </w:t>
      </w:r>
      <w:proofErr w:type="spellStart"/>
      <w:r w:rsidRPr="00060DE0">
        <w:rPr>
          <w:sz w:val="18"/>
          <w:szCs w:val="18"/>
        </w:rPr>
        <w:t>Obs</w:t>
      </w:r>
      <w:proofErr w:type="spellEnd"/>
      <w:r w:rsidRPr="00060DE0">
        <w:rPr>
          <w:sz w:val="18"/>
          <w:szCs w:val="18"/>
        </w:rPr>
        <w:t xml:space="preserve"> = Observational study; PRO = Patient reported outcome</w:t>
      </w:r>
    </w:p>
    <w:p w:rsidR="0051469C" w:rsidRDefault="0051469C" w:rsidP="00997122">
      <w:pPr>
        <w:pStyle w:val="TableTitle"/>
        <w:rPr>
          <w:rFonts w:ascii="Times New Roman" w:hAnsi="Times New Roman"/>
        </w:rPr>
      </w:pPr>
    </w:p>
    <w:sectPr w:rsidR="0051469C" w:rsidSect="009971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30E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9712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05E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6411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31956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