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9C" w:rsidRPr="00060DE0" w:rsidRDefault="0051469C" w:rsidP="0051469C">
      <w:pPr>
        <w:pStyle w:val="ChapterHeading"/>
      </w:pPr>
    </w:p>
    <w:p w:rsidR="0051469C" w:rsidRPr="00060DE0" w:rsidRDefault="0051469C" w:rsidP="0051469C">
      <w:pPr>
        <w:pStyle w:val="TableTitle"/>
      </w:pPr>
      <w:r w:rsidRPr="00060DE0">
        <w:t xml:space="preserve">Evidence Table 1. Systematic </w:t>
      </w:r>
      <w:r>
        <w:t>r</w:t>
      </w:r>
      <w:r w:rsidRPr="00060DE0">
        <w:t xml:space="preserve">eview </w:t>
      </w:r>
      <w:r>
        <w:t>e</w:t>
      </w:r>
      <w:r w:rsidRPr="00060DE0">
        <w:t>vidence I</w:t>
      </w:r>
    </w:p>
    <w:tbl>
      <w:tblPr>
        <w:tblW w:w="14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BFBFBF"/>
        </w:tblBorders>
        <w:tblLayout w:type="fixed"/>
        <w:tblLook w:val="04A0"/>
      </w:tblPr>
      <w:tblGrid>
        <w:gridCol w:w="1361"/>
        <w:gridCol w:w="917"/>
        <w:gridCol w:w="2412"/>
        <w:gridCol w:w="2709"/>
        <w:gridCol w:w="627"/>
        <w:gridCol w:w="614"/>
        <w:gridCol w:w="630"/>
        <w:gridCol w:w="630"/>
        <w:gridCol w:w="1661"/>
        <w:gridCol w:w="2569"/>
      </w:tblGrid>
      <w:tr w:rsidR="0051469C" w:rsidRPr="00060DE0" w:rsidTr="00E15C8D">
        <w:trPr>
          <w:tblHeader/>
        </w:trPr>
        <w:tc>
          <w:tcPr>
            <w:tcW w:w="1361" w:type="dxa"/>
            <w:vMerge w:val="restar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b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917" w:type="dxa"/>
            <w:vMerge w:val="restar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/>
                <w:color w:val="000000"/>
                <w:sz w:val="18"/>
                <w:szCs w:val="18"/>
              </w:rPr>
              <w:t>KQs</w:t>
            </w:r>
            <w:proofErr w:type="spellEnd"/>
          </w:p>
        </w:tc>
        <w:tc>
          <w:tcPr>
            <w:tcW w:w="2412" w:type="dxa"/>
            <w:vMerge w:val="restar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b/>
                <w:color w:val="000000"/>
                <w:sz w:val="18"/>
                <w:szCs w:val="18"/>
              </w:rPr>
              <w:t>Aims of the study</w:t>
            </w:r>
          </w:p>
        </w:tc>
        <w:tc>
          <w:tcPr>
            <w:tcW w:w="2709" w:type="dxa"/>
            <w:vMerge w:val="restar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b/>
                <w:color w:val="000000"/>
                <w:sz w:val="18"/>
                <w:szCs w:val="18"/>
              </w:rPr>
              <w:t>Conclusions</w:t>
            </w:r>
          </w:p>
        </w:tc>
        <w:tc>
          <w:tcPr>
            <w:tcW w:w="4162" w:type="dxa"/>
            <w:gridSpan w:val="5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color w:val="000000"/>
                <w:sz w:val="18"/>
                <w:szCs w:val="18"/>
              </w:rPr>
              <w:t>Types of participants</w:t>
            </w:r>
          </w:p>
        </w:tc>
        <w:tc>
          <w:tcPr>
            <w:tcW w:w="2569" w:type="dxa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b/>
                <w:color w:val="000000"/>
                <w:sz w:val="18"/>
                <w:szCs w:val="18"/>
              </w:rPr>
              <w:t>Types of interventions</w:t>
            </w:r>
          </w:p>
        </w:tc>
      </w:tr>
      <w:tr w:rsidR="0051469C" w:rsidRPr="00060DE0" w:rsidTr="00E15C8D">
        <w:trPr>
          <w:tblHeader/>
        </w:trPr>
        <w:tc>
          <w:tcPr>
            <w:tcW w:w="1361" w:type="dxa"/>
            <w:vMerge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vMerge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09" w:type="dxa"/>
            <w:vMerge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/>
                <w:color w:val="000000"/>
                <w:sz w:val="18"/>
                <w:szCs w:val="18"/>
              </w:rPr>
              <w:t>OAG</w:t>
            </w:r>
            <w:proofErr w:type="spellEnd"/>
          </w:p>
        </w:tc>
        <w:tc>
          <w:tcPr>
            <w:tcW w:w="614" w:type="dxa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/>
                <w:color w:val="000000"/>
                <w:sz w:val="18"/>
                <w:szCs w:val="18"/>
              </w:rPr>
              <w:t>OHT</w:t>
            </w:r>
            <w:proofErr w:type="spellEnd"/>
          </w:p>
        </w:tc>
        <w:tc>
          <w:tcPr>
            <w:tcW w:w="630" w:type="dxa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/>
                <w:color w:val="000000"/>
                <w:sz w:val="18"/>
                <w:szCs w:val="18"/>
              </w:rPr>
              <w:t>ACG</w:t>
            </w:r>
            <w:proofErr w:type="spellEnd"/>
          </w:p>
        </w:tc>
        <w:tc>
          <w:tcPr>
            <w:tcW w:w="630" w:type="dxa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/>
                <w:color w:val="000000"/>
                <w:sz w:val="18"/>
                <w:szCs w:val="18"/>
              </w:rPr>
              <w:t>NTG</w:t>
            </w:r>
            <w:proofErr w:type="spellEnd"/>
          </w:p>
        </w:tc>
        <w:tc>
          <w:tcPr>
            <w:tcW w:w="1661" w:type="dxa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b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569" w:type="dxa"/>
          </w:tcPr>
          <w:p w:rsidR="0051469C" w:rsidRPr="00060DE0" w:rsidRDefault="0051469C" w:rsidP="00E15C8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1469C" w:rsidRPr="00060DE0" w:rsidTr="00884ACE">
        <w:trPr>
          <w:cantSplit/>
          <w:trHeight w:val="2592"/>
        </w:trPr>
        <w:tc>
          <w:tcPr>
            <w:tcW w:w="13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Aptel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2008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ÿ\11\05‘\19\02\00\00\00\011\01\01\00\01\00\00\01\00\00\00\1BM_\00\00\00\000”~\01\08ëÛ\01\01\00\00\008\00\00\00\00\00\00\00\00\003\00£!\00\00;Y:\5CGlaucoma\5CDatabase\5CTreatment\5CDec 2\5CGlaucoma-Treatment.pdt#Aptel, Cucherat, et al. 2008 #50042\01\04\00\05\00àà\00\00\00ÿÿÿ‘\1AžuA\1Bžu\0D\00\00\00\01\00\00\00\00\00\00\00\01\00\00\00¨ò\12\00\02\00\00\00\00\00\00\00\00\00,\00\00\00\01\00\00\00Dô\12\00=\11J\00,\00\00\00pô\12\00Dô\12\00\08\00àà\00\00\00ÿÿÿ‘\1AžuA\1Bžu\0D\00\00\00\01\00\00\00\00\00\00\00\01\00\00\00¨ò\12\00\14\00\00\00\00\00\00ÿÿÿÎÃÂwçÃÂw,\00\00\00&lt;ò\12\00.ÄÂw,\00\00\00\00\00\00\00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3,6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“This systematic meta-analysis was performed to evaluate the intraocular pressure (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) lowering effects and tolerability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of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, and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."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0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“The findings suggest a greater efficacy of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compared with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, although the incidence of hyperemia was lower with the latter 2 agents.</w:t>
            </w:r>
          </w:p>
        </w:tc>
        <w:tc>
          <w:tcPr>
            <w:tcW w:w="62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POAG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or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OHT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in at least 90% of trial participants</w:t>
            </w:r>
          </w:p>
        </w:tc>
        <w:tc>
          <w:tcPr>
            <w:tcW w:w="256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travopost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, or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brimatoprost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monotherapy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1469C" w:rsidRPr="00060DE0" w:rsidTr="00E15C8D">
        <w:trPr>
          <w:cantSplit/>
        </w:trPr>
        <w:tc>
          <w:tcPr>
            <w:tcW w:w="13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Burr 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2004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ÿ\11\05‘\19\02\00\00\00\012\01\01\00\01\00\00\01\00\00\00\1BM_\00\00\00\00 Š~\01\00|\01\01\00\00\008\00\00\00\00\00\00\008\00\00\00¥!\00\00;Y:\5CGlaucoma\5CDatabase\5CTreatment\5CDec 2\5CGlaucoma-Treatment.pdt'Burr, Azuara-Blanco, et al. 2004 #50103\01\04\00\04\00 °\00\00\00ÿÿÿÅ†uAÆ†u\0D\00\00\00\01\00\00\00\00\00\00\00\01\00\00\00ð\12\00\02\00\00\00\00\00\00\00\00\00,\00\00\00\01\00\00\00Dô\12\00=\11J\00,\00\00\00pô\12\00Dô\12\00\0D\00 °\00\00\00ÿÿÿÅ†uAÆ†u\0D\00\00\00\01\00\00\00\00\00\00\00\01\00\00\00ð\12\00\14\00\00\00\00\00\00ÿÿÿÎÃÂwçÃÂw,\00\00\00&lt;ò\12\00.ÄÂw,\00\00\00\00\00\00\00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1,2,3,4,6</w:t>
            </w:r>
          </w:p>
        </w:tc>
        <w:tc>
          <w:tcPr>
            <w:tcW w:w="2412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"To study the relative efficacy of medical and surgical treatment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for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OAG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in terms of measures of glaucoma progression and adverse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effects of treatment."</w:t>
            </w:r>
          </w:p>
        </w:tc>
        <w:tc>
          <w:tcPr>
            <w:tcW w:w="270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"Evidence from one trial suggests, for mild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OAG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, that VF deterioration up to five-years is not significantly different whether treatment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is initiated with medication or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. Reduced vision, cataract and eye discomfort are more likely with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. There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is some evidence, for more severe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OAG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, that initial medication (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pilocarpine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, now rarely used as first line medication) is associated with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greater VF deterioration than surgery. In general, surgery lowers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more than medication."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14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6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lowering meds compared with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w/ or w/o use of anti-scarring agents; non-penetrating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w/ or w/o use of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antiscarring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agents; any other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antiglaucomatous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surgery</w:t>
            </w:r>
          </w:p>
        </w:tc>
      </w:tr>
      <w:tr w:rsidR="0051469C" w:rsidRPr="00060DE0" w:rsidTr="00E15C8D">
        <w:trPr>
          <w:cantSplit/>
        </w:trPr>
        <w:tc>
          <w:tcPr>
            <w:tcW w:w="13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Chai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2010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ÿ\11\05‘\19\02\00\00\00\013\01\01\00\01\00\00\01\00\00\00\1BM_\00\00\00\00H©\0F\01`~\12\01\01\00\00\008\00\00\00\00\00\00\008\00\00\00÷ \00\00;Y:\5CGlaucoma\5CDatabase\5CTreatment\5CDec 2\5CGlaucoma-Treatment.pdt\17Chai &amp; Loon 2010 #20028\00\17\00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3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2412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Compare the efficacy and safety profile of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viscocanalostomy</w:t>
            </w:r>
            <w:proofErr w:type="spellEnd"/>
          </w:p>
        </w:tc>
        <w:tc>
          <w:tcPr>
            <w:tcW w:w="270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"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was found to have a greater pressure lowering effect compared with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viscocanalostomy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. However,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viscocanalostomy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had a significantly better risk profile."</w:t>
            </w:r>
          </w:p>
        </w:tc>
        <w:tc>
          <w:tcPr>
            <w:tcW w:w="62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4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1.7% of participants with primary chronic angle closure glaucoma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Viscocanalostomy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trabeculectomy</w:t>
            </w:r>
            <w:proofErr w:type="spellEnd"/>
          </w:p>
        </w:tc>
      </w:tr>
      <w:tr w:rsidR="0051469C" w:rsidRPr="00060DE0" w:rsidTr="00E15C8D">
        <w:trPr>
          <w:cantSplit/>
        </w:trPr>
        <w:tc>
          <w:tcPr>
            <w:tcW w:w="13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lastRenderedPageBreak/>
              <w:t>Cheng 2008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ÿ\11\05‘\19\02\00\00\00\014\01\01\00\01\00\00\01\00\00\00\1BM_\00\00\00\00 ‚v\01XAÛ\01\01\00\00\008\00\00\00\00\00\00\008\00\00\00Ž!\00\00;Y:\5CGlaucoma\5CDatabase\5CTreatment\5CDec 2\5CGlaucoma-Treatment.pdt\17Cheng &amp; Wei 2008 #50065\01\04\00\05\00àà\00\00\00ÿÿÿ‘\1AžuA\1Bžu\0D\00\00\00\01\00\00\00\00\00\00\00\01\00\00\00¨ò\12\00\03\00\00\00\00\00\00ÃÂw\00\00\00\00ÿÿÿÿ\07ÄÂwÞÂÂw\00\003\00ôñ\12\00ãÂÂw\03\00àà\00\00\00ÿÿÿ‘\1AžuA\1Bžu\0D\00\00\00\01\00\00\00\00\00\00\00\01\00\00\00¨ò\12\00\0C\00\00\00\00\00\00ºI_è~\01\03\00\00\00\05\00\00\00\00\00\00\00lò\12\000¬W\00ÿÿÿÿ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4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2412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"To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evaluate the efficacy and tolerability of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compared with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in reducing intraocular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pressure."</w:t>
            </w:r>
          </w:p>
        </w:tc>
        <w:tc>
          <w:tcPr>
            <w:tcW w:w="270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"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was associated with significantly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greater efficacy in lowering morning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than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at all time points. Comparable proportions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of patients reached the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target with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and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. Both agents were well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tolerated, although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was associated with a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significantly greater frequency of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conjunctival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hyperemia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than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."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4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Glaucoma</w:t>
            </w:r>
          </w:p>
        </w:tc>
        <w:tc>
          <w:tcPr>
            <w:tcW w:w="256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</w:p>
        </w:tc>
      </w:tr>
      <w:tr w:rsidR="0051469C" w:rsidRPr="00060DE0" w:rsidTr="00E15C8D">
        <w:trPr>
          <w:cantSplit/>
        </w:trPr>
        <w:tc>
          <w:tcPr>
            <w:tcW w:w="13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Cheng 2009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ÿ\11\05‘\19\02\00\00\00\015\01\01\00\01\00\00\01\00\00\00\1BM_\00\00\00\008|\01h›~\01\01\00\00\008\00\00\00\00\00\00\008\00\00\009!\00\00;Y:\5CGlaucoma\5CDatabase\5CTreatment\5CDec 2\5CGlaucoma-Treatment.pdt\1DCheng, Xi, et al. 2009 #20058\00\1D\00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5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2412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"The aim of this study was to evaluate the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effi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cacy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and tolerability of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, compared with the combination of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dorzolamide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, in the treatment of patients with elevated intraocular pressure."</w:t>
            </w:r>
          </w:p>
        </w:tc>
        <w:tc>
          <w:tcPr>
            <w:tcW w:w="270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"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was associated with significantly greater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effi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cacy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in lowering diurnal mean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than combined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dorzolamide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in patients with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insuffi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ciently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controlled by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alone, and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was as effective as combined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dorzolamide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in patients without baseline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treatment. The combination of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dorzolamide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was less tolerated than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."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14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6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Pigmentary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, mixed glaucoma as well as 1 trial with chronic angle closure glaucoma participants</w:t>
            </w:r>
          </w:p>
        </w:tc>
        <w:tc>
          <w:tcPr>
            <w:tcW w:w="256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versus combined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dorzolaminde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(concomitant administration or fixed combination)</w:t>
            </w:r>
          </w:p>
        </w:tc>
      </w:tr>
      <w:tr w:rsidR="0051469C" w:rsidRPr="00060DE0" w:rsidTr="00E15C8D">
        <w:trPr>
          <w:cantSplit/>
        </w:trPr>
        <w:tc>
          <w:tcPr>
            <w:tcW w:w="13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Cheng 2010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6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ÿ\11\05‘\19\02\00\00\00\016\01\01\00\01\00\00\01\00\00\00\1BM_\00\00\00\00ø‚\01p\19Ú\01\01\00\00\008\00\00\00\00\00\00\008\00\00\00\11!\00\00;Y:\5CGlaucoma\5CDatabase\5CTreatment\5CDec 2\5CGlaucoma-Treatment.pdt\1DCheng, Xi, et al. 2010 #20043\00\1D\00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6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2412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"To evaluate the efficacy and tolerability of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nonpenetrating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filtering surgery in the treatment of patients with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open-angle glaucoma."</w:t>
            </w:r>
          </w:p>
        </w:tc>
        <w:tc>
          <w:tcPr>
            <w:tcW w:w="270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"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Viscocanalostomy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and deep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sclerectomy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were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less effective than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in the treatment of open angle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glaucoma, and deep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sclerectomy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plus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mitomycin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C (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MMC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) was also less effective than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plus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MMC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. However,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viscocanalostomy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and deep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sclerectomy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were associated with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fewer complications than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."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14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6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Viscocanalostomy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with or without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antimetabolite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; deep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sclerectomy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with or without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mitomycin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C</w:t>
            </w:r>
          </w:p>
        </w:tc>
      </w:tr>
      <w:tr w:rsidR="0051469C" w:rsidRPr="00060DE0" w:rsidTr="00E15C8D">
        <w:trPr>
          <w:cantSplit/>
        </w:trPr>
        <w:tc>
          <w:tcPr>
            <w:tcW w:w="13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lastRenderedPageBreak/>
              <w:t>Cox 2008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ÿ\11\05‘\19\02\00\00\00\017\01\01\00\01\00\00\01\00\00\00\1BM_\00\00\00\00x0\0F\01X\0B{\01\01\00\00\008\00\00\00\00\00\00\008\00\00\00 !\00\00;Y:\5CGlaucoma\5CDatabase\5CTreatment\5CDec 2\5CGlaucoma-Treatment.pdt\1FCox, Mollan, et al. 2008 #50067\01\04\00\03\00àà\00\00\00ÿÿÿ‘\1AžuA\1Bžu\0D\00\00\00\01\00\00\00\00\00\00\00\01\00\00\00¨ò\12\00\02\00\00\00\00\00\00\00\00\00,\00\00\00\01\00\00\00Dô\12\00=\11J\00,\00\00\00pô\12\00Dô\12\00\06\00àà\00\00\00ÿÿÿ‘\1AžuA\1Bžu\0D\00\00\00\01\00\00\00\00\00\00\00\01\00\00\00¨ò\12\00\14\00\00\00\00\00\00ÿÿÿÎÃÂwçÃÂw,\00\00\00&lt;ò\12\00.ÄÂw,\00\00\00\00\00\00\00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7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2412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"To evaluate the efficacy of the fixed combination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ocular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hypotensive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therapies compared with their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nonfixed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components used concomitantly for lowering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intraocular pressure in glaucoma and ocular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hypertension."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0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"Fixed combination therapies are equally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safe and effective at lowering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as their non-fixed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components administered concomitantly."</w:t>
            </w:r>
          </w:p>
        </w:tc>
        <w:tc>
          <w:tcPr>
            <w:tcW w:w="62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4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Glaucoma</w:t>
            </w:r>
          </w:p>
        </w:tc>
        <w:tc>
          <w:tcPr>
            <w:tcW w:w="256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Fixed combination medications compared with non-fixed components used (concomitant) (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dorzolamide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) and a beta blocker</w:t>
            </w:r>
          </w:p>
        </w:tc>
      </w:tr>
      <w:tr w:rsidR="0051469C" w:rsidRPr="00060DE0" w:rsidTr="00E15C8D">
        <w:trPr>
          <w:cantSplit/>
        </w:trPr>
        <w:tc>
          <w:tcPr>
            <w:tcW w:w="13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Eyawo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2009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8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ÿ\11\05‘\19\02\00\00\00\018\01\01\00\01\00\00\01\00\00\00\1BM_\00\00\00\00pmÙ\01ˆ-Ý\01\01\00\00\008\00\00\00\00\00\00\008\00\00\00?!\00\00;Y:\5CGlaucoma\5CDatabase\5CTreatment\5CDec 2\5CGlaucoma-Treatment.pdt"Eyawo, Nachega, et al. 2009 #20060\00"\00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8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2412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"To identify randomized trials evaluating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the head-to-head effectiveness of prostaglandin analogs in the treatment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of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POAG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and ocular hypertension and to conduct a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meta-analysis of their results to improve understanding of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the drugs’ relative efficacy."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0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"Randomized head-to-head evaluations of prostaglandin therapy demonstrate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similar efficacy effects, but differing hyperemia effects."</w:t>
            </w:r>
          </w:p>
        </w:tc>
        <w:tc>
          <w:tcPr>
            <w:tcW w:w="62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14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6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Other types of chronic open angle glaucoma</w:t>
            </w:r>
          </w:p>
        </w:tc>
        <w:tc>
          <w:tcPr>
            <w:tcW w:w="256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or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bimatoprost</w:t>
            </w:r>
            <w:proofErr w:type="spellEnd"/>
          </w:p>
        </w:tc>
      </w:tr>
      <w:tr w:rsidR="0051469C" w:rsidRPr="00060DE0" w:rsidTr="00E15C8D">
        <w:trPr>
          <w:cantSplit/>
        </w:trPr>
        <w:tc>
          <w:tcPr>
            <w:tcW w:w="13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Fung 2007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9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ÿ\11\05‘\19\02\00\00\00\019\01\01\00\01\00\00\01\00\00\00\1BM_\00\00\00\00\18êÙ\01˜•|\01\01\00\00\008\00\00\00\00\00\00\008\00\00\00œ!\00\00;Y:\5CGlaucoma\5CDatabase\5CTreatment\5CDec 2\5CGlaucoma-Treatment.pdt\1EFung, Reid, et al. 2007 #50102\01\04\00\04\00àà\00\00\00ÿÿÿ‘\1AžuA\1Bžu\0D\00\00\00\01\00\00\00\00\00\00\00\01\00\00\00¨ò\12\00\02\00\00\00\00\00\00\00\00\00,\00\00\00\01\00\00\00Dô\12\00=\11J\00,\00\00\00pô\12\00Dô\12\00\04\00àà\00\00\00ÿÿÿ‘\1AžuA\1Bžu\0D\00\00\00\01\00\00\00\00\00\00\00\01\00\00\00¨ò\12\00\14\00\00\00\00\00\00ÿÿÿÎÃÂwçÃÂw,\00\00\00&lt;ò\12\00.ÄÂw,\00\00\00\00\00\00\00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9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2412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"To compare the efficacy and tolerability of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in the treatment of open angle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glaucoma, ocular hypertension or normal-tension glaucoma."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0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"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is more effective than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as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monotherapy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in lowering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is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associated with a higher rate of fatigue."</w:t>
            </w:r>
          </w:p>
        </w:tc>
        <w:tc>
          <w:tcPr>
            <w:tcW w:w="62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14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6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Mixed glaucoma</w:t>
            </w:r>
          </w:p>
        </w:tc>
        <w:tc>
          <w:tcPr>
            <w:tcW w:w="256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469C" w:rsidRPr="00060DE0" w:rsidTr="00E15C8D">
        <w:trPr>
          <w:cantSplit/>
        </w:trPr>
        <w:tc>
          <w:tcPr>
            <w:tcW w:w="13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Hodge 2008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10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ÿ\11\05‘\19\02\00\00\00\0210\01\01\00\02\00\00\01\00\00\00\1BM_\00\00\00\00\080\0F\01ð­Ú\01\01\00\00\008\00\00\00\00\00\00\008\00\00\00¡!\00\00;Y:\5CGlaucoma\5CDatabase\5CTreatment\5CDec 2\5CGlaucoma-Treatment.pdt#Hodge, Lachaine, et al. 2008 #50075\01\04\00\05\00àà\00\00\00ÿÿÿ‘\1AžuA\1Bžu\0D\00\00\00\01\00\00\00\00\00\00\00\01\00\00\00¨ò\12\00\02\00\00\00\00\00\00\00\00\00,\00\00\00\01\00\00\00Dô\12\00=\11J\00,\00\00\00pô\12\00Dô\12\00\08\00àà\00\00\00ÿÿÿ‘\1AžuA\1Bžu\0D\00\00\00\01\00\00\00\00\00\00\00\01\00\00\00¨ò\12\00\14\00\00\00\00\00\00ÿÿÿÎÃÂwçÃÂw,\00\00\00&lt;ò\12\00.ÄÂw,\00\00\00\00\00\00\00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10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2412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"To systematically review the literature on the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efficacy and harm of prostaglandin analogues compared to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dorzolamide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in treating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elevated intraocular pressure."</w:t>
            </w:r>
          </w:p>
        </w:tc>
        <w:tc>
          <w:tcPr>
            <w:tcW w:w="270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"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was found to be significantly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superior to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dorzolamide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but not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. However,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ocular adverse events were significantly fewer in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users than in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brimonide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users. Neither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nor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was compared to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dorzolamide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or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in the present literature."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14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6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dorzolamide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brimonidine</w:t>
            </w:r>
            <w:proofErr w:type="spellEnd"/>
          </w:p>
        </w:tc>
      </w:tr>
      <w:tr w:rsidR="0051469C" w:rsidRPr="00060DE0" w:rsidTr="00E15C8D">
        <w:trPr>
          <w:cantSplit/>
        </w:trPr>
        <w:tc>
          <w:tcPr>
            <w:tcW w:w="13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lastRenderedPageBreak/>
              <w:t>Honrubia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2009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11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ÿ\11\05‘\19\02\00\00\00\0211\01\01\00\02\00\00\01\00\00\00\1BM_\00\00\00\00àˆ\12\01ˆ\0CÛ\01\01\00\00\008\00\00\00\00\00\00\008\00\00\007!\00\00;Y:\5CGlaucoma\5CDatabase\5CTreatment\5CDec 2\5CGlaucoma-Treatment.pdt,Honrubia, Garcia-Sanchez, et al. 2009 #20057\00,\00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11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2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"To conduct a meta-analysis of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randomised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clinical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trials to evaluate the development of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conjunctival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hyperaemia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after the use of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versus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, in patients with ocular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hypertension or glaucoma."</w:t>
            </w:r>
          </w:p>
        </w:tc>
        <w:tc>
          <w:tcPr>
            <w:tcW w:w="270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"According to available data, the use of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is associated with a lower incidence of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conjunctival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hyperaemia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when compared with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and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in the treatment of patients with ocular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hypertension or glaucoma."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4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Glaucoma</w:t>
            </w:r>
          </w:p>
        </w:tc>
        <w:tc>
          <w:tcPr>
            <w:tcW w:w="256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bimatoprost</w:t>
            </w:r>
            <w:proofErr w:type="spellEnd"/>
          </w:p>
        </w:tc>
      </w:tr>
      <w:tr w:rsidR="0051469C" w:rsidRPr="00060DE0" w:rsidTr="00E15C8D">
        <w:trPr>
          <w:cantSplit/>
        </w:trPr>
        <w:tc>
          <w:tcPr>
            <w:tcW w:w="13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Jampel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2003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12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ÿ\11\05‘\19\02\00\00\00\0212\01\01\00\02\00\00\01\00\00\00\1BM_\00\00\00\00¨*\05\01Ð™Ú\01\01\00\00\008\00\00\00\00\00\00\008\00\00\00¤!\00\00;Y:\5CGlaucoma\5CDatabase\5CTreatment\5CDec 2\5CGlaucoma-Treatment.pdt$Jampel, Lubomski, et al. 2003 #50017\01\04\00\06\00 °\00\00\00ÿÿÿÅ†uAÆ†u\0D\00\00\00\01\00\00\00\00\00\00\00\01\00\00\00ð\12\00\02\00\00\00\00\00\00\00\00\00,\00\00\00\01\00\00\00Dô\12\00=\11J\00,\00\00\00pô\12\00Dô\12\00\08\00 °\00\00\00ÿÿÿÅ†uAÆ†u\0D\00\00\00\01\00\00\00\00\00\00\00\01\00\00\00ð\12\00\14\00\00\00\00\00\00ÿÿÿÎÃÂwçÃÂw,\00\00\00&lt;ò\12\00.ÄÂw,\00\00\00\00\00\00\00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12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3,4,6</w:t>
            </w:r>
          </w:p>
        </w:tc>
        <w:tc>
          <w:tcPr>
            <w:tcW w:w="2412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"The objectives of this evidence report were to: identify the most important questions pertinent to treatment of patients with coexisting cataract and glaucoma; assess the published literature with respect to quality and content regarding these questions; and to inform clinical practitioners and identify areas where future research is needed, based on the literature findings"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0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"The literature does not point to one optimal strategy for controlling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in patients with coexisting cataract and glaucoma needing surgery. Therefore, there is a continued need for high quality studies with greater duration and more information on optic nerve and visual field findings."</w:t>
            </w:r>
          </w:p>
        </w:tc>
        <w:tc>
          <w:tcPr>
            <w:tcW w:w="62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14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6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OAG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or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ACG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with coexisting cataract</w:t>
            </w:r>
          </w:p>
        </w:tc>
        <w:tc>
          <w:tcPr>
            <w:tcW w:w="256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Laser treatment, filtration surgery, endoscopic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cyclophotocoagulation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nonpenetrating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surgeries. Clear corneal and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scleral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cataract incision and nuclear expression/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phacoemulsification</w:t>
            </w:r>
            <w:proofErr w:type="spellEnd"/>
          </w:p>
        </w:tc>
      </w:tr>
      <w:tr w:rsidR="0051469C" w:rsidRPr="00060DE0" w:rsidTr="00E15C8D">
        <w:trPr>
          <w:cantSplit/>
        </w:trPr>
        <w:tc>
          <w:tcPr>
            <w:tcW w:w="13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Kirwan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2009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13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ÿ\11\05‘\19\02\00\00\00\0213\01\01\00\02\00\00\01\00\00\00\1BM_\00\00\00\00he~\01€çÙ\01\01\00\00\008\00\00\00\00\00\00\008\00\00\000!\00\00;Y:\5CGlaucoma\5CDatabase\5CTreatment\5CDec 2\5CGlaucoma-Treatment.pdt"Kirwan, Rennie, et al. 2009 #20054\00"\00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13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2412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"To assess the effectiveness of beta radiation during glaucoma surgery (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)."</w:t>
            </w:r>
          </w:p>
        </w:tc>
        <w:tc>
          <w:tcPr>
            <w:tcW w:w="270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"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with beta irradiation has a lower risk of surgical failure compared to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alone. A trial of beta irradiation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versus anti-metabolite is warranted."</w:t>
            </w:r>
          </w:p>
        </w:tc>
        <w:tc>
          <w:tcPr>
            <w:tcW w:w="62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14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6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1st surgical procedure; no simultaneous bilateral surgery; all types of glaucoma included in review inclusion criteria, but included studies enrolled participants with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OAG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1469C" w:rsidRPr="00060DE0" w:rsidTr="00E15C8D">
        <w:trPr>
          <w:cantSplit/>
        </w:trPr>
        <w:tc>
          <w:tcPr>
            <w:tcW w:w="13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lastRenderedPageBreak/>
              <w:t>Li 2006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14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ÿ\11\05‘\19\02\00\00\00\0214\01\01\00\02\00\00\01\00\00\00\1BM_\00\00\00\00h.Û\01ð¤|\01\01\00\00\008\00\00\00\00\00\00\008\00\00\00‰!\00\00;Y:\5CGlaucoma\5CDatabase\5CTreatment\5CDec 2\5CGlaucoma-Treatment.pdt\1CLi, Chen, et al. 2006 #50010\01\04\00\02\00àà\00\00\00ÿÿÿ‘\1AžuA\1Bžu\0D\00\00\00\01\00\00\00\00\00\00\00\01\00\00\00¨ò\12\00\02\00\00\00\00\00\00\00\00\00,\00\00\00\01\00\00\00Dô\12\00=\11J\00,\00\00\00pô\12\00Dô\12\00\04\00àà\00\00\00ÿÿÿ‘\1AžuA\1Bžu\0D\00\00\00\01\00\00\00\00\00\00\00\01\00\00\00¨ò\12\00\14\00\00\00\00\00\00ÿÿÿÎÃÂwçÃÂw,\00\00\00&lt;ò\12\00.ÄÂw,\00\00\00\00\00\00\00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14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2412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"To evaluate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the incidence of reported side-effects and intraocular pressure-lowering effect of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versus other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prostaglandin analogues (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latanaprost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unoprostone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)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or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."</w:t>
            </w:r>
          </w:p>
        </w:tc>
        <w:tc>
          <w:tcPr>
            <w:tcW w:w="270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"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is more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effective than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in lowering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in patients with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openangle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glaucoma or ocular hypertension. Compared with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other prostaglandin analogues,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appears to be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equivalent to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. Although a limited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number of local side-effects were reported, no serious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treatment-related side-effects were reported."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14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6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compared with other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prostagladin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analogs or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timolol</w:t>
            </w:r>
            <w:proofErr w:type="spellEnd"/>
          </w:p>
        </w:tc>
      </w:tr>
      <w:tr w:rsidR="0051469C" w:rsidRPr="00060DE0" w:rsidTr="00E15C8D">
        <w:trPr>
          <w:cantSplit/>
        </w:trPr>
        <w:tc>
          <w:tcPr>
            <w:tcW w:w="13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Liu 2010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15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ÿ\11\05‘\19\02\00\00\00\0215\01\01\00\02\00\00\01\00\00\00\1BM_\00\00\00\00&gt;Û\01ÐxÚ\01\01\00\00\008\00\00\00\00\00\00\008\00\00\00ø \00\00;Y:\5CGlaucoma\5CDatabase\5CTreatment\5CDec 2\5CGlaucoma-Treatment.pdt\1DLiu, Chen, et al. 2010 #20029\00\1D\00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15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1,3,6</w:t>
            </w:r>
          </w:p>
        </w:tc>
        <w:tc>
          <w:tcPr>
            <w:tcW w:w="2412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"This meta-analysis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evaluated the efficacy and tolerability of one-site versus two-site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phacotrabeculectomy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in the treatment of patients with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coexisting cataract and glaucoma."</w:t>
            </w:r>
          </w:p>
        </w:tc>
        <w:tc>
          <w:tcPr>
            <w:tcW w:w="270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"Two-site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phacotrabeculectomy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is superior to one-site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phacotrabeculectomy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in reducing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, but other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post-operative effects are similar. One-site and two-site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phacotrabeculectomies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have similar adverse event rates."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4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Coexisting cataract and glaucoma</w:t>
            </w:r>
          </w:p>
        </w:tc>
        <w:tc>
          <w:tcPr>
            <w:tcW w:w="256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Phacotrabeculectomy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(1 site versus 2 site)</w:t>
            </w:r>
          </w:p>
        </w:tc>
      </w:tr>
      <w:tr w:rsidR="0051469C" w:rsidRPr="00060DE0" w:rsidTr="00E15C8D">
        <w:trPr>
          <w:cantSplit/>
        </w:trPr>
        <w:tc>
          <w:tcPr>
            <w:tcW w:w="13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Loon 2008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16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ÿ\11\05‘\19\02\00\00\00\0216\01\01\00\02\00\00\01\00\00\00\1BM_\00\00\00\00@\1EÚ\01ð\0EÛ\01\01\00\00\008\00\00\00\00\00\00\008\00\00\00!\00\00;Y:\5CGlaucoma\5CDatabase\5CTreatment\5CDec 2\5CGlaucoma-Treatment.pdt\1ELoon, Liew, et al. 2008 #50070\01\04\00\04\00àà\00\00\00ÿÿÿ‘\1AžuA\1Bžu\0D\00\00\00\01\00\00\00\00\00\00\00\01\00\00\00¨ò\12\00\02\00\00\00\00\00\00\00\00\00,\00\00\00\01\00\00\00Dô\12\00=\11J\00,\00\00\00pô\12\00Dô\12\00\04\00àà\00\00\00ÿÿÿ‘\1AžuA\1Bžu\0D\00\00\00\01\00\00\00\00\00\00\00\01\00\00\00¨ò\12\00\14\00\00\00\00\00\00ÿÿÿÎÃÂwçÃÂw,\00\00\00&lt;ò\12\00.ÄÂw,\00\00\00\00\00\00\00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16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2412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"To compare the efficacy and tolerability of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in the treatment of glaucoma."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0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"Both drugs are effective in lowering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is associated with a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higher rate of allergy."</w:t>
            </w:r>
          </w:p>
        </w:tc>
        <w:tc>
          <w:tcPr>
            <w:tcW w:w="62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14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Other glaucoma (2%)</w:t>
            </w:r>
          </w:p>
        </w:tc>
        <w:tc>
          <w:tcPr>
            <w:tcW w:w="256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1469C" w:rsidRPr="00060DE0" w:rsidTr="00E15C8D">
        <w:trPr>
          <w:cantSplit/>
        </w:trPr>
        <w:tc>
          <w:tcPr>
            <w:tcW w:w="13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Maier 2005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17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ÿ\11\05‘\19\02\00\00\00\0217\01\01\00\02\00\00\01\00\00\00\1BM_\00\00\00\00h/Û\01`èÙ\01\01\00\00\008\00\00\00\00\00\00\008\00\00\00ˆ!\00\00;Y:\5CGlaucoma\5CDatabase\5CTreatment\5CDec 2\5CGlaucoma-Treatment.pdt\1FMaier, Funk, et al. 2005 #50044\01\04\00\05\00àà\00\00\00ÿÿÿ‘\1AžuA\1Bžu\0D\00\00\00\01\00\00\00\00\00\00\00\01\00\00\00¨ò\12\00\02\00\00\00\00\00\00\00\00\00,\00\00\00\01\00\00\00Dô\12\00=\11J\00,\00\00\00pô\12\00Dô\12\00\04\00àà\00\00\00ÿÿÿ‘\1AžuA\1Bžu\0D\00\00\00\01\00\00\00\00\00\00\00\01\00\00\00¨ò\12\00\14\00\00\00\00\00\00ÿÿÿÎÃÂwçÃÂw,\00\00\00&lt;ò\12\00.ÄÂw,\00\00\00\00\00\00\00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17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2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"To summarize the evidence of the effectiveness of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introacular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pressure lowering treatment to 1) delay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OAG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among those with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OHT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ocular hypertension 2) delay progression of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OAG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270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"Lowering intraocular pressure in patients with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ocular hypertension or manifest glaucoma is beneficial in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reducing the risk of visual field loss in the long term."</w:t>
            </w:r>
          </w:p>
        </w:tc>
        <w:tc>
          <w:tcPr>
            <w:tcW w:w="62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14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6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Medical and/or surgical  treatment (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betaxolol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, various medications, laser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trabeculoplasty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betaxolol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, and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versus concurrent untreated control group (Includes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OHTS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EMGT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CNGTS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)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1469C" w:rsidRPr="00060DE0" w:rsidTr="00E15C8D">
        <w:trPr>
          <w:cantSplit/>
        </w:trPr>
        <w:tc>
          <w:tcPr>
            <w:tcW w:w="13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Minckler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2006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18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ÿ\11\05‘\19\02\00\00\00\0218\01\01\00\02\00\00\01\00\00\00\1BM_\00\00\00\00˜\1DÚ\01(®Ú\01\01\00\00\008\00\00\00\00\00\00\008\00\00\00†!\00\00;Y:\5CGlaucoma\5CDatabase\5CTreatment\5CDec 2\5CGlaucoma-Treatment.pdt$Minckler, Vedula, et al. 2006 #50022\01\04\00\08\00àà\00\00\00ÿÿÿ‘\1AžuA\1Bžu\0D\00\00\00\01\00\00\00\00\00\00\00\01\00\00\00¨ò\12\00\02\00\00\00\00\00\00\00\00\00,\00\00\00\01\00\00\00Dô\12\00=\11J\00,\00\00\00pô\12\00Dô\12\00\06\00àà\00\00\00ÿÿÿ‘\1AžuA\1Bžu\0D\00\00\00\01\00\00\00\00\00\00\00\01\00\00\00¨ò\12\00\14\00\00\00\00\00\00ÿÿÿÎÃÂwçÃÂw,\00\00\00&lt;ò\12\00.ÄÂw,\00\00\00\00\00\00\00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18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1,3,6</w:t>
            </w:r>
          </w:p>
        </w:tc>
        <w:tc>
          <w:tcPr>
            <w:tcW w:w="2412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"This review compares aqueous shunts for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control and safety."</w:t>
            </w:r>
          </w:p>
        </w:tc>
        <w:tc>
          <w:tcPr>
            <w:tcW w:w="270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"Relatively few randomized trials have been published on aqueous shunts and methodology and data quality among them is poor. To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date there is no evidence of superiority of one shunt over another."</w:t>
            </w:r>
          </w:p>
        </w:tc>
        <w:tc>
          <w:tcPr>
            <w:tcW w:w="62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14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Glaucoma patients irrespective of lens status; %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OAG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unknown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Aqueous shunts versus standard surgery or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cyclodestruction</w:t>
            </w:r>
            <w:proofErr w:type="spellEnd"/>
          </w:p>
        </w:tc>
      </w:tr>
      <w:tr w:rsidR="0051469C" w:rsidRPr="00060DE0" w:rsidTr="00E15C8D">
        <w:trPr>
          <w:trHeight w:val="8819"/>
        </w:trPr>
        <w:tc>
          <w:tcPr>
            <w:tcW w:w="13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lastRenderedPageBreak/>
              <w:t>Rolim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Moura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2007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19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ÿ\11\05‘\19\02\00\00\00\0219\01\01\00\02\00\00\01\00\00\00\1BM_\00\00\00\00 \11\06\01¸çÙ\01\01\00\00\008\00\00\00\00\00\00\008\00\00\00š!\00\00;Y:\5CGlaucoma\5CDatabase\5CTreatment\5CDec 2\5CGlaucoma-Treatment.pdt:Rolim de Moura Christiane, Paranhos Jr, et al. 2007 #50026\01\04\00\19\00àà\00\00\00ÿÿÿ‘\1AžuA\1Bžu\0D\00\00\00\01\00\00\00\00\00\00\00\01\00\00\00¨ò\12\00\02\00\00\00\00\00\00\00\00\00,\00\00\00\01\00\00\00Dô\12\00=\11J\00,\00\00\00pô\12\00Dô\12\00\0B\00àà\00\00\00ÿÿÿ‘\1AžuA\1Bžu\0D\00\00\00\01\00\00\00\00\00\00\00\01\00\00\00¨ò\12\00\14\00\00\00\00\00\00ÿÿÿÎÃÂwçÃÂw,\00\00\00&lt;ò\12\00.ÄÂw,\00\00\00\00\00\00\00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19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2,3,4,6</w:t>
            </w:r>
          </w:p>
        </w:tc>
        <w:tc>
          <w:tcPr>
            <w:tcW w:w="2412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"To study the effects of laser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trabeculoplasty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for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OAG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270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"Evidence suggests that, in people with newly diagnosed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OAG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, the risk of uncontrolled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is higher in people treated with medication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used before the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1990s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when compared to laser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trabeculoplasty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at two years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followup.Trabeculoplasty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is less effective than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in controlling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at six months and two years follow up. Different laser technology and protocol modalities were compared to the traditional laser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trabeculoplasty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and more evidence is necessary to determine if they are equivalent or not. There is no evidence to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determine the effectiveness of laser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trabeculoplasty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compared to contemporary medication (prostaglandin analogues, topical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anhydrase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inhibitors and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alpha2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-agonists) and also with contemporary surgical techniques."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14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6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Argon laser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trabeculoplasty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versus medication,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, diode laser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trabeculoplasty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or ND: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Yag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laser; Laser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trabeculoplasty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,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betaxolol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, and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versus observation for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POAG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or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NTG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(Includes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EMGT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</w:tr>
      <w:tr w:rsidR="0051469C" w:rsidRPr="00060DE0" w:rsidTr="00E15C8D">
        <w:tc>
          <w:tcPr>
            <w:tcW w:w="13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Vass 2007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20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ÿ\11\05‘\19\02\00\00\00\0220\01\01\00\02\00\00\01\00\00\00\1BM_\00\00\00\00`êÛ\01Ð¯Ú\01\01\00\00\008\00\00\00\00\00\00\008\00\00\00›!\00\00;Y:\5CGlaucoma\5CDatabase\5CTreatment\5CDec 2\5CGlaucoma-Treatment.pdt\1EVass, Hirn, et al. 2007 #50087\01\04\00\04\00àà\00\00\00ÿÿÿ‘\1AžuA\1Bžu\0D\00\00\00\01\00\00\00\00\00\00\00\01\00\00\00¨ò\12\00\02\00\00\00\00\00\00\00\00\00,\00\00\00\01\00\00\00Dô\12\00=\11J\00,\00\00\00pô\12\00Dô\12\00\04\00àà\00\00\00ÿÿÿ‘\1AžuA\1Bžu\0D\00\00\00\01\00\00\00\00\00\00\00\01\00\00\00¨ò\12\00\14\00\00\00\00\00\00ÿÿÿÎÃÂwçÃÂw,\00\00\00&lt;ò\12\00.ÄÂw,\00\00\00\00\00\00\00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20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lastRenderedPageBreak/>
              <w:t>4,6</w:t>
            </w:r>
          </w:p>
        </w:tc>
        <w:tc>
          <w:tcPr>
            <w:tcW w:w="2412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"To assess and compare the effectiveness of topical 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pharmacological treatment for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POAG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or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OHT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to prevent progression or onset of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glaucomatous optic neuropathy."</w:t>
            </w:r>
          </w:p>
        </w:tc>
        <w:tc>
          <w:tcPr>
            <w:tcW w:w="270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"The results of this review support the current practice of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lowering treatment of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OHT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. A visual field protective effect has been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clearly demonstrated for medical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lowering treatment. Positive but weak evidence for a beneficial effect of the class of beta-blockers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has been shown.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Direct comparisons of prostaglandins or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to placebo are not available and the comparison of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dorzolamide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to placebo failed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to demonstrate a protective effect. However, absence of data or failure to prove effectiveness should not be interpreted as proof of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absence of any effect. The decision to treat a patient or not, as well as the decision regarding the drug with which to start treatment,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should remain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individualised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, taking in to account the amount of damage, the level of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, age and other patient characteristics."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lastRenderedPageBreak/>
              <w:t>Y</w:t>
            </w:r>
          </w:p>
        </w:tc>
        <w:tc>
          <w:tcPr>
            <w:tcW w:w="614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6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Topical medications versus placebo or untreated control 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group; head to head comparisons of medications; unspecified medications versus untreated control group (Includes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OHTS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</w:tr>
      <w:tr w:rsidR="0051469C" w:rsidRPr="00060DE0" w:rsidTr="00E15C8D">
        <w:tc>
          <w:tcPr>
            <w:tcW w:w="13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lastRenderedPageBreak/>
              <w:t>Wilkins 2005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21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ÿ\11\05‘\19\02\00\00\00\0221\01\01\00\02\00\00\01\00\00\00\1BM_\00\00\00\00X¨Ú\01è,Ý\01\01\00\00\008\00\00\00\00\00\00\008\00\00\00ƒ!\00\00;Y:\5CGlaucoma\5CDatabase\5CTreatment\5CDec 2\5CGlaucoma-Treatment.pdt"Wilkins, Indar, et al. 2005 #50040\01\04\00\07\00àà\00\00\00¿H\00à&gt;\14\00\14\00\00\00\01\00\00\00\00\00\00\00\00\00\00\00\10\00\00\00\00\00\00\00\02\00\00\00\00\00\00\00\00\00,\00\00\00\01\00\00\00Dô\12\00=\11J\00,\00\00\00pô\12\00Dô\12\00\05\00àà\00\00\00¿H\00à&gt;\14\00\14\00\00\00\01\00\00\00\00\00\00\00\00\00\00\00\10\00\00\00\00\00\00\00\14\00\00\00\00\00\00ÿÿÿÎÃÂwçÃÂw,\00\00\00&lt;ò\12\00.ÄÂw,\00\00\00\00\00\00\00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21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2412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"To assess the effects of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intraoperative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mitomycin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C compared to placebo in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."</w:t>
            </w:r>
          </w:p>
        </w:tc>
        <w:tc>
          <w:tcPr>
            <w:tcW w:w="270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"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Intraoperative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mitomycin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C reduces the risk of surgical failure in eyes that have undergone no previous surgery and in eyes at high risk of failure.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Compared to placebo it reduces mean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at 12 months in all groups of participants in this review. Apart from an increase in cataract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formation following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MMC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, there was insufficient power to detect any increase in other serious side effects such as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endophthalmitis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."</w:t>
            </w:r>
          </w:p>
        </w:tc>
        <w:tc>
          <w:tcPr>
            <w:tcW w:w="62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4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Glaucoma; Two included studies enrolled participants with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ACG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; Unsure if two additional included studies enrolled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ACG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participants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Intraoperative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mitomycin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C versus placebo or control</w:t>
            </w:r>
          </w:p>
        </w:tc>
      </w:tr>
      <w:tr w:rsidR="0051469C" w:rsidRPr="00060DE0" w:rsidTr="00E15C8D">
        <w:tc>
          <w:tcPr>
            <w:tcW w:w="13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Wormald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2001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22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ÿ\11\05‘\19\02\00\00\00\0222\01\01\00\02\00\00\01\00\00\00\1BM_\00\00\00\00P\0CÛ\01pt3\00\01\00\00\008\00\00\00\00\00\00\008\00\00\00„!\00\00;Y:\5CGlaucoma\5CDatabase\5CTreatment\5CDec 2\5CGlaucoma-Treatment.pdt$Wormald, Wilkins, et al. 2001 #50089\01\04\00\07\00àà\00\00\00¿H\00à&gt;\14\00\14\00\00\00\01\00\00\00\00\00\00\00\00\00\00\00\10\00\00\00\00\00\00\00\02\00\00\00\00\00\00\00\00\00,\00\00\00\01\00\00\00Dô\12\00=\11J\00,\00\00\00pô\12\00Dô\12\00\07\00àà\00\00\00¿H\00à&gt;\14\00\14\00\00\00\01\00\00\00\00\00\00\00\00\00\00\00\10\00\00\00\00\00\00\00\14\00\00\00\00\00\00ÿÿÿÎÃÂwçÃÂw,\00\00\00&lt;ò\12\00.ÄÂw,\00\00\00\00\00\00\00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22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lastRenderedPageBreak/>
              <w:t>3,6</w:t>
            </w:r>
          </w:p>
        </w:tc>
        <w:tc>
          <w:tcPr>
            <w:tcW w:w="2412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"To assess the effects of postoperative injections of 5-FU in eyes of people 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lastRenderedPageBreak/>
              <w:t>undergoing surgery for glaucoma."</w:t>
            </w:r>
          </w:p>
        </w:tc>
        <w:tc>
          <w:tcPr>
            <w:tcW w:w="270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"Postoperative injections of 5-FU are now rarely used as a planned series but are increasingly used on 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lastRenderedPageBreak/>
              <w:t>an ad hoc basis. This presumably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reflects an aspect of the treatment that is unacceptable to both patients and doctors. None of the trials reported on the participants’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perspective of care which constitutes a serious omission for an invasive treatment such as this."</w:t>
            </w:r>
          </w:p>
        </w:tc>
        <w:tc>
          <w:tcPr>
            <w:tcW w:w="62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lastRenderedPageBreak/>
              <w:t>NR</w:t>
            </w:r>
          </w:p>
        </w:tc>
        <w:tc>
          <w:tcPr>
            <w:tcW w:w="614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People undergoing glaucoma surgery (high risk of 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failure, combined glaucoma and cataract surgery, and primary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; At least one included study enrolled participants with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ACG</w:t>
            </w:r>
            <w:proofErr w:type="spellEnd"/>
          </w:p>
        </w:tc>
        <w:tc>
          <w:tcPr>
            <w:tcW w:w="256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lastRenderedPageBreak/>
              <w:t>Post-operative injection of 5-FU (any dose) versus placebo or no injection</w:t>
            </w:r>
          </w:p>
        </w:tc>
      </w:tr>
      <w:tr w:rsidR="0051469C" w:rsidRPr="00060DE0" w:rsidTr="00E15C8D">
        <w:tc>
          <w:tcPr>
            <w:tcW w:w="13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lastRenderedPageBreak/>
              <w:t>Zhang 2001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23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ÿ\11\05‘\19\02\00\00\00\0223\01\01\00\02\00\00\01\00\00\00\1BM_\00\00\00\00È~|\01À \05\01\01\00\00\008\00\00\00\00\00\00\008\00\00\00…!\00\00;Y:\5CGlaucoma\5CDatabase\5CTreatment\5CDec 2\5CGlaucoma-Treatment.pdt\1DZhang, Po, et al. 2001 #50092\01\04\00\05\00àà\00\00\00¿H\00à&gt;\14\00\14\00\00\00\01\00\00\00\00\00\00\00\00\00\00\00\10\00\00\00\00\00\00\00\02\00\00\00\00\00\00\00\00\00,\00\00\00\01\00\00\00Dô\12\00=\11J\00,\00\00\00pô\12\00Dô\12\00\02\00àà\00\00\00¿H\00à&gt;\14\00\14\00\00\00\01\00\00\00\00\00\00\00\00\00\00\00\10\00\00\00\00\00\00\00\14\00\00\00\00\00\00ÿÿÿÎÃÂwçÃÂw,\00\00\00&lt;ò\12\00.ÄÂw,\00\00\00\00\00\00\00 </w:instrText>
            </w:r>
            <w:r w:rsidR="003D5FBD" w:rsidRPr="0074132C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23</w:t>
            </w:r>
            <w:r w:rsidR="003D5FBD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2412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"To evaluate the comparative efficacy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and tolerance of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versus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through a meta-analysis of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randomised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controlled trials."</w:t>
            </w:r>
          </w:p>
        </w:tc>
        <w:tc>
          <w:tcPr>
            <w:tcW w:w="270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"This meta-analysis suggests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 xml:space="preserve">that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is more effective than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in lowering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. However, it often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causes iris pigmentation. While current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evidence suggests that this pigmentation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is benign, careful lifetime evaluation of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br/>
              <w:t>patients is still justified."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14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661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timolol</w:t>
            </w:r>
            <w:proofErr w:type="spellEnd"/>
          </w:p>
        </w:tc>
      </w:tr>
    </w:tbl>
    <w:p w:rsidR="0051469C" w:rsidRPr="00060DE0" w:rsidRDefault="0051469C" w:rsidP="0051469C">
      <w:pPr>
        <w:rPr>
          <w:rFonts w:cs="Arial"/>
          <w:sz w:val="18"/>
          <w:szCs w:val="18"/>
        </w:rPr>
      </w:pPr>
    </w:p>
    <w:p w:rsidR="0051469C" w:rsidRDefault="0051469C" w:rsidP="004E02A2">
      <w:pPr>
        <w:pStyle w:val="TableTitle"/>
        <w:rPr>
          <w:rFonts w:ascii="Times New Roman" w:hAnsi="Times New Roman"/>
        </w:rPr>
      </w:pPr>
    </w:p>
    <w:sectPr w:rsidR="0051469C" w:rsidSect="004E02A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CD" w:rsidRDefault="00D725CD" w:rsidP="00012FCC">
      <w:r>
        <w:separator/>
      </w:r>
    </w:p>
  </w:endnote>
  <w:endnote w:type="continuationSeparator" w:id="1">
    <w:p w:rsidR="00D725CD" w:rsidRDefault="00D725CD" w:rsidP="00012FCC">
      <w:r>
        <w:continuationSeparator/>
      </w:r>
    </w:p>
  </w:endnote>
  <w:endnote w:type="continuationNotice" w:id="2">
    <w:p w:rsidR="00D725CD" w:rsidRDefault="00D725C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Courier New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CD" w:rsidRDefault="00D725CD" w:rsidP="0051469C">
    <w:pPr>
      <w:pStyle w:val="PageNumb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CD" w:rsidRDefault="00D725CD" w:rsidP="00012FCC">
      <w:r>
        <w:separator/>
      </w:r>
    </w:p>
  </w:footnote>
  <w:footnote w:type="continuationSeparator" w:id="1">
    <w:p w:rsidR="00D725CD" w:rsidRDefault="00D725CD" w:rsidP="00012FCC">
      <w:r>
        <w:continuationSeparator/>
      </w:r>
    </w:p>
  </w:footnote>
  <w:footnote w:type="continuationNotice" w:id="2">
    <w:p w:rsidR="00D725CD" w:rsidRDefault="00D725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3169C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A"/>
    <w:multiLevelType w:val="hybridMultilevel"/>
    <w:tmpl w:val="0000000A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10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8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5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32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9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6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4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61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84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2">
    <w:nsid w:val="0000000F"/>
    <w:multiLevelType w:val="hybridMultilevel"/>
    <w:tmpl w:val="0000000F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</w:abstractNum>
  <w:abstractNum w:abstractNumId="3">
    <w:nsid w:val="00000014"/>
    <w:multiLevelType w:val="hybridMultilevel"/>
    <w:tmpl w:val="0000001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4">
    <w:nsid w:val="002959FF"/>
    <w:multiLevelType w:val="hybridMultilevel"/>
    <w:tmpl w:val="CA5CC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921CA1"/>
    <w:multiLevelType w:val="hybridMultilevel"/>
    <w:tmpl w:val="71E8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A0594D"/>
    <w:multiLevelType w:val="hybridMultilevel"/>
    <w:tmpl w:val="4C2C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613E39"/>
    <w:multiLevelType w:val="hybridMultilevel"/>
    <w:tmpl w:val="9D02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F24F92"/>
    <w:multiLevelType w:val="hybridMultilevel"/>
    <w:tmpl w:val="BCF2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865B56"/>
    <w:multiLevelType w:val="hybridMultilevel"/>
    <w:tmpl w:val="FD7E87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B0168A"/>
    <w:multiLevelType w:val="hybridMultilevel"/>
    <w:tmpl w:val="D3A27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E7E2BF5"/>
    <w:multiLevelType w:val="hybridMultilevel"/>
    <w:tmpl w:val="0820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CF4382"/>
    <w:multiLevelType w:val="hybridMultilevel"/>
    <w:tmpl w:val="14E6F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F0A1DD9"/>
    <w:multiLevelType w:val="hybridMultilevel"/>
    <w:tmpl w:val="7D04A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F64122A"/>
    <w:multiLevelType w:val="hybridMultilevel"/>
    <w:tmpl w:val="20EE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1D61AB"/>
    <w:multiLevelType w:val="hybridMultilevel"/>
    <w:tmpl w:val="4E14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8C2C62"/>
    <w:multiLevelType w:val="hybridMultilevel"/>
    <w:tmpl w:val="ABA6B1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</w:abstractNum>
  <w:abstractNum w:abstractNumId="17">
    <w:nsid w:val="12EE7A81"/>
    <w:multiLevelType w:val="hybridMultilevel"/>
    <w:tmpl w:val="E070B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2F279F0"/>
    <w:multiLevelType w:val="hybridMultilevel"/>
    <w:tmpl w:val="8876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8227F7"/>
    <w:multiLevelType w:val="hybridMultilevel"/>
    <w:tmpl w:val="1EF4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CE6960"/>
    <w:multiLevelType w:val="hybridMultilevel"/>
    <w:tmpl w:val="A858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FF5CA2"/>
    <w:multiLevelType w:val="hybridMultilevel"/>
    <w:tmpl w:val="F614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F37DBF"/>
    <w:multiLevelType w:val="hybridMultilevel"/>
    <w:tmpl w:val="C8749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80A704A"/>
    <w:multiLevelType w:val="hybridMultilevel"/>
    <w:tmpl w:val="39BA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7B623D"/>
    <w:multiLevelType w:val="hybridMultilevel"/>
    <w:tmpl w:val="0430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314A62"/>
    <w:multiLevelType w:val="hybridMultilevel"/>
    <w:tmpl w:val="A1024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08C4D72"/>
    <w:multiLevelType w:val="hybridMultilevel"/>
    <w:tmpl w:val="8DD01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47110"/>
    <w:multiLevelType w:val="hybridMultilevel"/>
    <w:tmpl w:val="7376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A60E75"/>
    <w:multiLevelType w:val="hybridMultilevel"/>
    <w:tmpl w:val="CA6C1C3C"/>
    <w:lvl w:ilvl="0" w:tplc="91641E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8B27FB"/>
    <w:multiLevelType w:val="hybridMultilevel"/>
    <w:tmpl w:val="E9B8E7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>
    <w:nsid w:val="26D61940"/>
    <w:multiLevelType w:val="hybridMultilevel"/>
    <w:tmpl w:val="D50E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D03E1C"/>
    <w:multiLevelType w:val="hybridMultilevel"/>
    <w:tmpl w:val="1560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F43293"/>
    <w:multiLevelType w:val="hybridMultilevel"/>
    <w:tmpl w:val="BA7A6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A33116F"/>
    <w:multiLevelType w:val="hybridMultilevel"/>
    <w:tmpl w:val="6194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4E4339"/>
    <w:multiLevelType w:val="hybridMultilevel"/>
    <w:tmpl w:val="5C5A7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3816E1"/>
    <w:multiLevelType w:val="hybridMultilevel"/>
    <w:tmpl w:val="F8FE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64274E"/>
    <w:multiLevelType w:val="hybridMultilevel"/>
    <w:tmpl w:val="0316A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7725B1D"/>
    <w:multiLevelType w:val="hybridMultilevel"/>
    <w:tmpl w:val="5F747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77B3680"/>
    <w:multiLevelType w:val="hybridMultilevel"/>
    <w:tmpl w:val="2404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29552E"/>
    <w:multiLevelType w:val="hybridMultilevel"/>
    <w:tmpl w:val="08FC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5241C7"/>
    <w:multiLevelType w:val="hybridMultilevel"/>
    <w:tmpl w:val="35A4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D7B455C"/>
    <w:multiLevelType w:val="hybridMultilevel"/>
    <w:tmpl w:val="52784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0F94079"/>
    <w:multiLevelType w:val="hybridMultilevel"/>
    <w:tmpl w:val="5920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9F2448"/>
    <w:multiLevelType w:val="hybridMultilevel"/>
    <w:tmpl w:val="4796D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42475DAE"/>
    <w:multiLevelType w:val="hybridMultilevel"/>
    <w:tmpl w:val="358A3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444F4D19"/>
    <w:multiLevelType w:val="hybridMultilevel"/>
    <w:tmpl w:val="D6B4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671467"/>
    <w:multiLevelType w:val="hybridMultilevel"/>
    <w:tmpl w:val="1F5ED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37699"/>
    <w:multiLevelType w:val="hybridMultilevel"/>
    <w:tmpl w:val="EAFEA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48DD18EB"/>
    <w:multiLevelType w:val="hybridMultilevel"/>
    <w:tmpl w:val="47D2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9D6464"/>
    <w:multiLevelType w:val="hybridMultilevel"/>
    <w:tmpl w:val="1AE6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4750D6"/>
    <w:multiLevelType w:val="hybridMultilevel"/>
    <w:tmpl w:val="E578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1CC57CD"/>
    <w:multiLevelType w:val="hybridMultilevel"/>
    <w:tmpl w:val="3878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20E1789"/>
    <w:multiLevelType w:val="hybridMultilevel"/>
    <w:tmpl w:val="48AA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3232F98"/>
    <w:multiLevelType w:val="hybridMultilevel"/>
    <w:tmpl w:val="38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3412F31"/>
    <w:multiLevelType w:val="hybridMultilevel"/>
    <w:tmpl w:val="37B8F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3983655"/>
    <w:multiLevelType w:val="hybridMultilevel"/>
    <w:tmpl w:val="D0A00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4982315"/>
    <w:multiLevelType w:val="hybridMultilevel"/>
    <w:tmpl w:val="0F64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E3F52"/>
    <w:multiLevelType w:val="hybridMultilevel"/>
    <w:tmpl w:val="DD34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A3448C"/>
    <w:multiLevelType w:val="hybridMultilevel"/>
    <w:tmpl w:val="BDAAB442"/>
    <w:lvl w:ilvl="0" w:tplc="04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61">
    <w:nsid w:val="591B34F1"/>
    <w:multiLevelType w:val="hybridMultilevel"/>
    <w:tmpl w:val="8BCE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92360D7"/>
    <w:multiLevelType w:val="hybridMultilevel"/>
    <w:tmpl w:val="D42E8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D37764"/>
    <w:multiLevelType w:val="hybridMultilevel"/>
    <w:tmpl w:val="07D82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5D555301"/>
    <w:multiLevelType w:val="hybridMultilevel"/>
    <w:tmpl w:val="49525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63D530FF"/>
    <w:multiLevelType w:val="hybridMultilevel"/>
    <w:tmpl w:val="EC00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4E56A9"/>
    <w:multiLevelType w:val="hybridMultilevel"/>
    <w:tmpl w:val="BA6E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45D1F84"/>
    <w:multiLevelType w:val="hybridMultilevel"/>
    <w:tmpl w:val="9EC2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CC7CB0"/>
    <w:multiLevelType w:val="hybridMultilevel"/>
    <w:tmpl w:val="71A2C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65ED0FFD"/>
    <w:multiLevelType w:val="hybridMultilevel"/>
    <w:tmpl w:val="4062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663A7D00"/>
    <w:multiLevelType w:val="hybridMultilevel"/>
    <w:tmpl w:val="58E0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DEA0014"/>
    <w:multiLevelType w:val="hybridMultilevel"/>
    <w:tmpl w:val="39585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11F0136"/>
    <w:multiLevelType w:val="hybridMultilevel"/>
    <w:tmpl w:val="17AA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5B7480E"/>
    <w:multiLevelType w:val="hybridMultilevel"/>
    <w:tmpl w:val="1708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E85856"/>
    <w:multiLevelType w:val="hybridMultilevel"/>
    <w:tmpl w:val="6784B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78522241"/>
    <w:multiLevelType w:val="hybridMultilevel"/>
    <w:tmpl w:val="9170F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8B871CF"/>
    <w:multiLevelType w:val="hybridMultilevel"/>
    <w:tmpl w:val="E8BE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9AC1D80"/>
    <w:multiLevelType w:val="hybridMultilevel"/>
    <w:tmpl w:val="E336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E6D7697"/>
    <w:multiLevelType w:val="hybridMultilevel"/>
    <w:tmpl w:val="97646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F3D147A"/>
    <w:multiLevelType w:val="hybridMultilevel"/>
    <w:tmpl w:val="74346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7F890202"/>
    <w:multiLevelType w:val="hybridMultilevel"/>
    <w:tmpl w:val="608E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74"/>
  </w:num>
  <w:num w:numId="5">
    <w:abstractNumId w:val="68"/>
  </w:num>
  <w:num w:numId="6">
    <w:abstractNumId w:val="10"/>
  </w:num>
  <w:num w:numId="7">
    <w:abstractNumId w:val="42"/>
  </w:num>
  <w:num w:numId="8">
    <w:abstractNumId w:val="17"/>
  </w:num>
  <w:num w:numId="9">
    <w:abstractNumId w:val="63"/>
  </w:num>
  <w:num w:numId="10">
    <w:abstractNumId w:val="64"/>
  </w:num>
  <w:num w:numId="11">
    <w:abstractNumId w:val="45"/>
  </w:num>
  <w:num w:numId="12">
    <w:abstractNumId w:val="48"/>
  </w:num>
  <w:num w:numId="13">
    <w:abstractNumId w:val="12"/>
  </w:num>
  <w:num w:numId="14">
    <w:abstractNumId w:val="25"/>
  </w:num>
  <w:num w:numId="15">
    <w:abstractNumId w:val="37"/>
  </w:num>
  <w:num w:numId="16">
    <w:abstractNumId w:val="57"/>
  </w:num>
  <w:num w:numId="17">
    <w:abstractNumId w:val="33"/>
  </w:num>
  <w:num w:numId="18">
    <w:abstractNumId w:val="2"/>
  </w:num>
  <w:num w:numId="19">
    <w:abstractNumId w:val="3"/>
  </w:num>
  <w:num w:numId="20">
    <w:abstractNumId w:val="69"/>
  </w:num>
  <w:num w:numId="21">
    <w:abstractNumId w:val="16"/>
  </w:num>
  <w:num w:numId="22">
    <w:abstractNumId w:val="34"/>
  </w:num>
  <w:num w:numId="23">
    <w:abstractNumId w:val="15"/>
  </w:num>
  <w:num w:numId="24">
    <w:abstractNumId w:val="56"/>
  </w:num>
  <w:num w:numId="25">
    <w:abstractNumId w:val="79"/>
  </w:num>
  <w:num w:numId="26">
    <w:abstractNumId w:val="26"/>
  </w:num>
  <w:num w:numId="27">
    <w:abstractNumId w:val="38"/>
  </w:num>
  <w:num w:numId="28">
    <w:abstractNumId w:val="44"/>
  </w:num>
  <w:num w:numId="29">
    <w:abstractNumId w:val="72"/>
  </w:num>
  <w:num w:numId="30">
    <w:abstractNumId w:val="43"/>
  </w:num>
  <w:num w:numId="31">
    <w:abstractNumId w:val="21"/>
  </w:num>
  <w:num w:numId="32">
    <w:abstractNumId w:val="7"/>
  </w:num>
  <w:num w:numId="33">
    <w:abstractNumId w:val="80"/>
  </w:num>
  <w:num w:numId="34">
    <w:abstractNumId w:val="22"/>
  </w:num>
  <w:num w:numId="35">
    <w:abstractNumId w:val="35"/>
  </w:num>
  <w:num w:numId="36">
    <w:abstractNumId w:val="78"/>
  </w:num>
  <w:num w:numId="37">
    <w:abstractNumId w:val="47"/>
  </w:num>
  <w:num w:numId="38">
    <w:abstractNumId w:val="32"/>
  </w:num>
  <w:num w:numId="39">
    <w:abstractNumId w:val="65"/>
  </w:num>
  <w:num w:numId="40">
    <w:abstractNumId w:val="73"/>
  </w:num>
  <w:num w:numId="41">
    <w:abstractNumId w:val="53"/>
  </w:num>
  <w:num w:numId="42">
    <w:abstractNumId w:val="11"/>
  </w:num>
  <w:num w:numId="43">
    <w:abstractNumId w:val="5"/>
  </w:num>
  <w:num w:numId="44">
    <w:abstractNumId w:val="61"/>
  </w:num>
  <w:num w:numId="45">
    <w:abstractNumId w:val="19"/>
  </w:num>
  <w:num w:numId="46">
    <w:abstractNumId w:val="6"/>
  </w:num>
  <w:num w:numId="47">
    <w:abstractNumId w:val="67"/>
  </w:num>
  <w:num w:numId="48">
    <w:abstractNumId w:val="77"/>
  </w:num>
  <w:num w:numId="49">
    <w:abstractNumId w:val="55"/>
  </w:num>
  <w:num w:numId="50">
    <w:abstractNumId w:val="24"/>
  </w:num>
  <w:num w:numId="51">
    <w:abstractNumId w:val="51"/>
  </w:num>
  <w:num w:numId="52">
    <w:abstractNumId w:val="71"/>
  </w:num>
  <w:num w:numId="53">
    <w:abstractNumId w:val="31"/>
  </w:num>
  <w:num w:numId="54">
    <w:abstractNumId w:val="70"/>
  </w:num>
  <w:num w:numId="55">
    <w:abstractNumId w:val="49"/>
  </w:num>
  <w:num w:numId="56">
    <w:abstractNumId w:val="59"/>
  </w:num>
  <w:num w:numId="57">
    <w:abstractNumId w:val="58"/>
  </w:num>
  <w:num w:numId="58">
    <w:abstractNumId w:val="14"/>
  </w:num>
  <w:num w:numId="59">
    <w:abstractNumId w:val="23"/>
  </w:num>
  <w:num w:numId="60">
    <w:abstractNumId w:val="39"/>
  </w:num>
  <w:num w:numId="61">
    <w:abstractNumId w:val="28"/>
  </w:num>
  <w:num w:numId="62">
    <w:abstractNumId w:val="18"/>
  </w:num>
  <w:num w:numId="63">
    <w:abstractNumId w:val="62"/>
  </w:num>
  <w:num w:numId="64">
    <w:abstractNumId w:val="20"/>
  </w:num>
  <w:num w:numId="65">
    <w:abstractNumId w:val="75"/>
  </w:num>
  <w:num w:numId="66">
    <w:abstractNumId w:val="76"/>
  </w:num>
  <w:num w:numId="67">
    <w:abstractNumId w:val="8"/>
  </w:num>
  <w:num w:numId="68">
    <w:abstractNumId w:val="54"/>
  </w:num>
  <w:num w:numId="69">
    <w:abstractNumId w:val="60"/>
  </w:num>
  <w:num w:numId="70">
    <w:abstractNumId w:val="40"/>
  </w:num>
  <w:num w:numId="71">
    <w:abstractNumId w:val="46"/>
  </w:num>
  <w:num w:numId="72">
    <w:abstractNumId w:val="30"/>
  </w:num>
  <w:num w:numId="73">
    <w:abstractNumId w:val="0"/>
  </w:num>
  <w:num w:numId="74">
    <w:abstractNumId w:val="52"/>
  </w:num>
  <w:num w:numId="75">
    <w:abstractNumId w:val="52"/>
  </w:num>
  <w:num w:numId="76">
    <w:abstractNumId w:val="27"/>
  </w:num>
  <w:num w:numId="77">
    <w:abstractNumId w:val="66"/>
  </w:num>
  <w:num w:numId="78">
    <w:abstractNumId w:val="36"/>
  </w:num>
  <w:num w:numId="79">
    <w:abstractNumId w:val="41"/>
  </w:num>
  <w:num w:numId="80">
    <w:abstractNumId w:val="9"/>
  </w:num>
  <w:num w:numId="81">
    <w:abstractNumId w:val="50"/>
  </w:num>
  <w:num w:numId="82">
    <w:abstractNumId w:val="29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/>
  <w:defaultTabStop w:val="720"/>
  <w:drawingGridHorizontalSpacing w:val="12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docVars>
    <w:docVar w:name="PC4SetupInfo" w:val="000000000000000032433A5C50524F4752417E315C50726F43697465355C5374796C65735C5374616E646172645C56616E636F757665722E706F730F54696D6573204E657720526F6D616E0A000000000001000A5265666572656E636573000A000000000001000000010000000100000000000000000000000000000000000000D002000000000000010000000100000000000098427E8B1D001000000000E91D0010EC8E427EE0C56300880100000000000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#"/>
    <w:docVar w:name="PCRefListBookmark" w:val="PCRefList_Comparative_Effectiveness_Revi"/>
  </w:docVars>
  <w:rsids>
    <w:rsidRoot w:val="00E25A36"/>
    <w:rsid w:val="00001213"/>
    <w:rsid w:val="000078D7"/>
    <w:rsid w:val="00011F17"/>
    <w:rsid w:val="00012FCC"/>
    <w:rsid w:val="00014712"/>
    <w:rsid w:val="00016364"/>
    <w:rsid w:val="00020884"/>
    <w:rsid w:val="000227DF"/>
    <w:rsid w:val="000318E3"/>
    <w:rsid w:val="000440CB"/>
    <w:rsid w:val="000453FC"/>
    <w:rsid w:val="00046D7A"/>
    <w:rsid w:val="000512DA"/>
    <w:rsid w:val="00054A39"/>
    <w:rsid w:val="00056946"/>
    <w:rsid w:val="00065495"/>
    <w:rsid w:val="000670AF"/>
    <w:rsid w:val="0007117E"/>
    <w:rsid w:val="0007645D"/>
    <w:rsid w:val="00087A0B"/>
    <w:rsid w:val="0009372E"/>
    <w:rsid w:val="00097088"/>
    <w:rsid w:val="000A3E50"/>
    <w:rsid w:val="000A65DF"/>
    <w:rsid w:val="000A7BF0"/>
    <w:rsid w:val="000B4062"/>
    <w:rsid w:val="000B6A92"/>
    <w:rsid w:val="000C4F94"/>
    <w:rsid w:val="000C7E3C"/>
    <w:rsid w:val="000D6918"/>
    <w:rsid w:val="000E0419"/>
    <w:rsid w:val="000E6EA9"/>
    <w:rsid w:val="000F70B9"/>
    <w:rsid w:val="001009A5"/>
    <w:rsid w:val="00111C4E"/>
    <w:rsid w:val="00115148"/>
    <w:rsid w:val="001169B6"/>
    <w:rsid w:val="0012359B"/>
    <w:rsid w:val="00123F45"/>
    <w:rsid w:val="001375CB"/>
    <w:rsid w:val="0014050B"/>
    <w:rsid w:val="00151FDA"/>
    <w:rsid w:val="00162709"/>
    <w:rsid w:val="00164B19"/>
    <w:rsid w:val="00166E1D"/>
    <w:rsid w:val="001708A9"/>
    <w:rsid w:val="001716AA"/>
    <w:rsid w:val="00171DDF"/>
    <w:rsid w:val="00177384"/>
    <w:rsid w:val="00180A6A"/>
    <w:rsid w:val="00196CBA"/>
    <w:rsid w:val="001A41F2"/>
    <w:rsid w:val="001A597D"/>
    <w:rsid w:val="001B088E"/>
    <w:rsid w:val="001B1527"/>
    <w:rsid w:val="001B23D3"/>
    <w:rsid w:val="001B5293"/>
    <w:rsid w:val="001B5AC8"/>
    <w:rsid w:val="001C6DE0"/>
    <w:rsid w:val="001D068C"/>
    <w:rsid w:val="001D18E6"/>
    <w:rsid w:val="001D28F9"/>
    <w:rsid w:val="001D2E86"/>
    <w:rsid w:val="001D2F89"/>
    <w:rsid w:val="001D76C1"/>
    <w:rsid w:val="001E7822"/>
    <w:rsid w:val="001F308A"/>
    <w:rsid w:val="001F615A"/>
    <w:rsid w:val="00202322"/>
    <w:rsid w:val="0020372B"/>
    <w:rsid w:val="00207E2F"/>
    <w:rsid w:val="002103E8"/>
    <w:rsid w:val="0021076C"/>
    <w:rsid w:val="00213DE8"/>
    <w:rsid w:val="00217B8B"/>
    <w:rsid w:val="00222971"/>
    <w:rsid w:val="002237EC"/>
    <w:rsid w:val="00225B89"/>
    <w:rsid w:val="002306DC"/>
    <w:rsid w:val="00237052"/>
    <w:rsid w:val="00242255"/>
    <w:rsid w:val="0024622B"/>
    <w:rsid w:val="00246D32"/>
    <w:rsid w:val="00251BD4"/>
    <w:rsid w:val="0025783C"/>
    <w:rsid w:val="00257D39"/>
    <w:rsid w:val="00270C86"/>
    <w:rsid w:val="002720B6"/>
    <w:rsid w:val="0027305E"/>
    <w:rsid w:val="002802AF"/>
    <w:rsid w:val="00282F55"/>
    <w:rsid w:val="00284E13"/>
    <w:rsid w:val="00287958"/>
    <w:rsid w:val="00291D90"/>
    <w:rsid w:val="002A0F11"/>
    <w:rsid w:val="002A2377"/>
    <w:rsid w:val="002B23CB"/>
    <w:rsid w:val="002B2C36"/>
    <w:rsid w:val="002B7021"/>
    <w:rsid w:val="002C2A7B"/>
    <w:rsid w:val="002C3C57"/>
    <w:rsid w:val="002C4AA7"/>
    <w:rsid w:val="002C4AFF"/>
    <w:rsid w:val="002E75E7"/>
    <w:rsid w:val="002F29F7"/>
    <w:rsid w:val="002F4A96"/>
    <w:rsid w:val="00304BB8"/>
    <w:rsid w:val="00312F0A"/>
    <w:rsid w:val="00313983"/>
    <w:rsid w:val="00313AFA"/>
    <w:rsid w:val="00315A9F"/>
    <w:rsid w:val="00316A70"/>
    <w:rsid w:val="00324923"/>
    <w:rsid w:val="0033310D"/>
    <w:rsid w:val="003447BE"/>
    <w:rsid w:val="00346664"/>
    <w:rsid w:val="003479B7"/>
    <w:rsid w:val="00352E50"/>
    <w:rsid w:val="00353098"/>
    <w:rsid w:val="00361F53"/>
    <w:rsid w:val="003648DA"/>
    <w:rsid w:val="00364C70"/>
    <w:rsid w:val="003657D5"/>
    <w:rsid w:val="00365878"/>
    <w:rsid w:val="00366207"/>
    <w:rsid w:val="00377A8D"/>
    <w:rsid w:val="003824C1"/>
    <w:rsid w:val="00384908"/>
    <w:rsid w:val="00391CBB"/>
    <w:rsid w:val="00397D9B"/>
    <w:rsid w:val="003A2D87"/>
    <w:rsid w:val="003A2F9D"/>
    <w:rsid w:val="003A31B9"/>
    <w:rsid w:val="003A5AD4"/>
    <w:rsid w:val="003A770B"/>
    <w:rsid w:val="003A7C39"/>
    <w:rsid w:val="003C2814"/>
    <w:rsid w:val="003D0FE4"/>
    <w:rsid w:val="003D12D4"/>
    <w:rsid w:val="003D16D4"/>
    <w:rsid w:val="003D5FBD"/>
    <w:rsid w:val="003D6E9D"/>
    <w:rsid w:val="003E3585"/>
    <w:rsid w:val="003E37DA"/>
    <w:rsid w:val="003E494E"/>
    <w:rsid w:val="003F1917"/>
    <w:rsid w:val="003F68CA"/>
    <w:rsid w:val="00405E03"/>
    <w:rsid w:val="004065D3"/>
    <w:rsid w:val="00410B1E"/>
    <w:rsid w:val="00411629"/>
    <w:rsid w:val="004143B5"/>
    <w:rsid w:val="0041467B"/>
    <w:rsid w:val="004150CF"/>
    <w:rsid w:val="004222D1"/>
    <w:rsid w:val="00422F96"/>
    <w:rsid w:val="00430EA8"/>
    <w:rsid w:val="00434560"/>
    <w:rsid w:val="00441A3D"/>
    <w:rsid w:val="00443409"/>
    <w:rsid w:val="0044491A"/>
    <w:rsid w:val="00444942"/>
    <w:rsid w:val="0045482F"/>
    <w:rsid w:val="00454F7B"/>
    <w:rsid w:val="00456C61"/>
    <w:rsid w:val="00463936"/>
    <w:rsid w:val="0049090B"/>
    <w:rsid w:val="00492316"/>
    <w:rsid w:val="00495844"/>
    <w:rsid w:val="004A024B"/>
    <w:rsid w:val="004A490B"/>
    <w:rsid w:val="004C7397"/>
    <w:rsid w:val="004D26C8"/>
    <w:rsid w:val="004E02A2"/>
    <w:rsid w:val="004E1D0D"/>
    <w:rsid w:val="004E236D"/>
    <w:rsid w:val="004F363B"/>
    <w:rsid w:val="004F6DCC"/>
    <w:rsid w:val="004F72DD"/>
    <w:rsid w:val="0050045F"/>
    <w:rsid w:val="005114FA"/>
    <w:rsid w:val="0051469C"/>
    <w:rsid w:val="005219E8"/>
    <w:rsid w:val="005227E4"/>
    <w:rsid w:val="0052305D"/>
    <w:rsid w:val="00531344"/>
    <w:rsid w:val="005338C3"/>
    <w:rsid w:val="00537401"/>
    <w:rsid w:val="00540611"/>
    <w:rsid w:val="00544C96"/>
    <w:rsid w:val="005466F9"/>
    <w:rsid w:val="00552C6B"/>
    <w:rsid w:val="00554271"/>
    <w:rsid w:val="00561B22"/>
    <w:rsid w:val="005710F9"/>
    <w:rsid w:val="00573B3C"/>
    <w:rsid w:val="00576790"/>
    <w:rsid w:val="00585356"/>
    <w:rsid w:val="005945B7"/>
    <w:rsid w:val="00595F55"/>
    <w:rsid w:val="0059655A"/>
    <w:rsid w:val="00596CF7"/>
    <w:rsid w:val="005A4448"/>
    <w:rsid w:val="005A5A6E"/>
    <w:rsid w:val="005B4FD9"/>
    <w:rsid w:val="005B56D6"/>
    <w:rsid w:val="005C6CC0"/>
    <w:rsid w:val="005C6F56"/>
    <w:rsid w:val="005D4A2F"/>
    <w:rsid w:val="005E2415"/>
    <w:rsid w:val="005F0394"/>
    <w:rsid w:val="005F5B49"/>
    <w:rsid w:val="005F6C36"/>
    <w:rsid w:val="006009EB"/>
    <w:rsid w:val="00607304"/>
    <w:rsid w:val="00611540"/>
    <w:rsid w:val="00617CF8"/>
    <w:rsid w:val="006234EF"/>
    <w:rsid w:val="006246BC"/>
    <w:rsid w:val="00626D7C"/>
    <w:rsid w:val="00630EBC"/>
    <w:rsid w:val="00632F93"/>
    <w:rsid w:val="00640C44"/>
    <w:rsid w:val="006425AD"/>
    <w:rsid w:val="00645A8A"/>
    <w:rsid w:val="00646C61"/>
    <w:rsid w:val="0065216C"/>
    <w:rsid w:val="00657835"/>
    <w:rsid w:val="006601AE"/>
    <w:rsid w:val="00666A7F"/>
    <w:rsid w:val="006678C6"/>
    <w:rsid w:val="00682045"/>
    <w:rsid w:val="0068488D"/>
    <w:rsid w:val="00686A5F"/>
    <w:rsid w:val="00686DF6"/>
    <w:rsid w:val="0069165D"/>
    <w:rsid w:val="006A2EE1"/>
    <w:rsid w:val="006A3682"/>
    <w:rsid w:val="006A5BBB"/>
    <w:rsid w:val="006A6424"/>
    <w:rsid w:val="006B0266"/>
    <w:rsid w:val="006B6A7A"/>
    <w:rsid w:val="006C5D52"/>
    <w:rsid w:val="006D23BE"/>
    <w:rsid w:val="006D47A6"/>
    <w:rsid w:val="006D4DAB"/>
    <w:rsid w:val="006D5860"/>
    <w:rsid w:val="006E2A43"/>
    <w:rsid w:val="006F221A"/>
    <w:rsid w:val="00706550"/>
    <w:rsid w:val="00711E1D"/>
    <w:rsid w:val="00731515"/>
    <w:rsid w:val="00735102"/>
    <w:rsid w:val="00736967"/>
    <w:rsid w:val="007378E6"/>
    <w:rsid w:val="00741398"/>
    <w:rsid w:val="00750E40"/>
    <w:rsid w:val="0075587B"/>
    <w:rsid w:val="0076089B"/>
    <w:rsid w:val="007620B8"/>
    <w:rsid w:val="007640D5"/>
    <w:rsid w:val="00766722"/>
    <w:rsid w:val="0077043E"/>
    <w:rsid w:val="0077655D"/>
    <w:rsid w:val="00783190"/>
    <w:rsid w:val="00787C7E"/>
    <w:rsid w:val="0079313C"/>
    <w:rsid w:val="00794380"/>
    <w:rsid w:val="007A336F"/>
    <w:rsid w:val="007A417C"/>
    <w:rsid w:val="007A5E41"/>
    <w:rsid w:val="007A7843"/>
    <w:rsid w:val="007B4E47"/>
    <w:rsid w:val="007B6ADF"/>
    <w:rsid w:val="007B72CB"/>
    <w:rsid w:val="007C0345"/>
    <w:rsid w:val="007C2982"/>
    <w:rsid w:val="007C42E8"/>
    <w:rsid w:val="007E186B"/>
    <w:rsid w:val="007E2757"/>
    <w:rsid w:val="007E3DE4"/>
    <w:rsid w:val="007E4E26"/>
    <w:rsid w:val="007F0AFB"/>
    <w:rsid w:val="007F3FDB"/>
    <w:rsid w:val="007F57C7"/>
    <w:rsid w:val="007F7B38"/>
    <w:rsid w:val="008005D5"/>
    <w:rsid w:val="008054EB"/>
    <w:rsid w:val="00815B4A"/>
    <w:rsid w:val="00817CC8"/>
    <w:rsid w:val="00821F65"/>
    <w:rsid w:val="00835429"/>
    <w:rsid w:val="008445D5"/>
    <w:rsid w:val="00855558"/>
    <w:rsid w:val="00861139"/>
    <w:rsid w:val="0086170C"/>
    <w:rsid w:val="00862D89"/>
    <w:rsid w:val="00867368"/>
    <w:rsid w:val="008718AC"/>
    <w:rsid w:val="0087229C"/>
    <w:rsid w:val="00872C8C"/>
    <w:rsid w:val="00872F0C"/>
    <w:rsid w:val="0087399D"/>
    <w:rsid w:val="00877CAF"/>
    <w:rsid w:val="008801AF"/>
    <w:rsid w:val="008820A4"/>
    <w:rsid w:val="008832E5"/>
    <w:rsid w:val="00884ACE"/>
    <w:rsid w:val="008971D9"/>
    <w:rsid w:val="008A3CA3"/>
    <w:rsid w:val="008A6BEB"/>
    <w:rsid w:val="008A6CA9"/>
    <w:rsid w:val="008A79D6"/>
    <w:rsid w:val="008B3F99"/>
    <w:rsid w:val="008C22BC"/>
    <w:rsid w:val="008D0AF6"/>
    <w:rsid w:val="008D1D54"/>
    <w:rsid w:val="008D224A"/>
    <w:rsid w:val="008D79A6"/>
    <w:rsid w:val="008E0C78"/>
    <w:rsid w:val="008E0CFF"/>
    <w:rsid w:val="008E1169"/>
    <w:rsid w:val="008E4C1A"/>
    <w:rsid w:val="008E501F"/>
    <w:rsid w:val="008E552A"/>
    <w:rsid w:val="008F6790"/>
    <w:rsid w:val="00900AB8"/>
    <w:rsid w:val="00902B02"/>
    <w:rsid w:val="0090629E"/>
    <w:rsid w:val="009131AE"/>
    <w:rsid w:val="00917E56"/>
    <w:rsid w:val="00921E13"/>
    <w:rsid w:val="009243DB"/>
    <w:rsid w:val="009324DE"/>
    <w:rsid w:val="0093263A"/>
    <w:rsid w:val="00935BE5"/>
    <w:rsid w:val="00935EEC"/>
    <w:rsid w:val="009365F7"/>
    <w:rsid w:val="009622D2"/>
    <w:rsid w:val="00962BFB"/>
    <w:rsid w:val="00964E81"/>
    <w:rsid w:val="00965A66"/>
    <w:rsid w:val="009669CE"/>
    <w:rsid w:val="00967884"/>
    <w:rsid w:val="0098259A"/>
    <w:rsid w:val="009907A1"/>
    <w:rsid w:val="00996C42"/>
    <w:rsid w:val="009A1095"/>
    <w:rsid w:val="009A6D6F"/>
    <w:rsid w:val="009B342C"/>
    <w:rsid w:val="009B3783"/>
    <w:rsid w:val="009B5185"/>
    <w:rsid w:val="009C05EB"/>
    <w:rsid w:val="009C3766"/>
    <w:rsid w:val="009D3B93"/>
    <w:rsid w:val="009D4D34"/>
    <w:rsid w:val="009E7919"/>
    <w:rsid w:val="009F10A4"/>
    <w:rsid w:val="009F1945"/>
    <w:rsid w:val="009F375B"/>
    <w:rsid w:val="009F3822"/>
    <w:rsid w:val="009F77B5"/>
    <w:rsid w:val="00A04467"/>
    <w:rsid w:val="00A05594"/>
    <w:rsid w:val="00A1764E"/>
    <w:rsid w:val="00A205C7"/>
    <w:rsid w:val="00A2124E"/>
    <w:rsid w:val="00A300EE"/>
    <w:rsid w:val="00A37B94"/>
    <w:rsid w:val="00A41A6F"/>
    <w:rsid w:val="00A4406D"/>
    <w:rsid w:val="00A44C57"/>
    <w:rsid w:val="00A45756"/>
    <w:rsid w:val="00A47F69"/>
    <w:rsid w:val="00A50C68"/>
    <w:rsid w:val="00A53B95"/>
    <w:rsid w:val="00A63435"/>
    <w:rsid w:val="00A658B4"/>
    <w:rsid w:val="00A8111B"/>
    <w:rsid w:val="00A83A98"/>
    <w:rsid w:val="00A843B1"/>
    <w:rsid w:val="00A8687A"/>
    <w:rsid w:val="00A903C5"/>
    <w:rsid w:val="00A95263"/>
    <w:rsid w:val="00A95550"/>
    <w:rsid w:val="00AA1218"/>
    <w:rsid w:val="00AA1A34"/>
    <w:rsid w:val="00AA4CDD"/>
    <w:rsid w:val="00AA61EA"/>
    <w:rsid w:val="00AA7F39"/>
    <w:rsid w:val="00AB3EB1"/>
    <w:rsid w:val="00AB44AD"/>
    <w:rsid w:val="00AB48E2"/>
    <w:rsid w:val="00AB51AE"/>
    <w:rsid w:val="00AB7DA1"/>
    <w:rsid w:val="00AC584A"/>
    <w:rsid w:val="00AC5FF9"/>
    <w:rsid w:val="00AD2299"/>
    <w:rsid w:val="00AD47E9"/>
    <w:rsid w:val="00AD6AD6"/>
    <w:rsid w:val="00AD730E"/>
    <w:rsid w:val="00AE1213"/>
    <w:rsid w:val="00AE416C"/>
    <w:rsid w:val="00AF5A07"/>
    <w:rsid w:val="00B0561D"/>
    <w:rsid w:val="00B128EC"/>
    <w:rsid w:val="00B133EF"/>
    <w:rsid w:val="00B15423"/>
    <w:rsid w:val="00B2577B"/>
    <w:rsid w:val="00B26CF0"/>
    <w:rsid w:val="00B419FD"/>
    <w:rsid w:val="00B42337"/>
    <w:rsid w:val="00B47330"/>
    <w:rsid w:val="00B50969"/>
    <w:rsid w:val="00B573AD"/>
    <w:rsid w:val="00B61690"/>
    <w:rsid w:val="00B72BDB"/>
    <w:rsid w:val="00B7316A"/>
    <w:rsid w:val="00B7737B"/>
    <w:rsid w:val="00B80BDB"/>
    <w:rsid w:val="00B833DD"/>
    <w:rsid w:val="00B85F68"/>
    <w:rsid w:val="00B87301"/>
    <w:rsid w:val="00B91E72"/>
    <w:rsid w:val="00B9650E"/>
    <w:rsid w:val="00BB2FED"/>
    <w:rsid w:val="00BB41AA"/>
    <w:rsid w:val="00BB7625"/>
    <w:rsid w:val="00BC032E"/>
    <w:rsid w:val="00BC4043"/>
    <w:rsid w:val="00BC6FEE"/>
    <w:rsid w:val="00BD0BEE"/>
    <w:rsid w:val="00BD24B2"/>
    <w:rsid w:val="00BD2AD2"/>
    <w:rsid w:val="00BD3566"/>
    <w:rsid w:val="00BE16F0"/>
    <w:rsid w:val="00BE2256"/>
    <w:rsid w:val="00BE2C3D"/>
    <w:rsid w:val="00BF05B9"/>
    <w:rsid w:val="00BF05C7"/>
    <w:rsid w:val="00BF2EFA"/>
    <w:rsid w:val="00BF5187"/>
    <w:rsid w:val="00BF5DEA"/>
    <w:rsid w:val="00BF7DC7"/>
    <w:rsid w:val="00C02955"/>
    <w:rsid w:val="00C12964"/>
    <w:rsid w:val="00C17151"/>
    <w:rsid w:val="00C26F81"/>
    <w:rsid w:val="00C2710C"/>
    <w:rsid w:val="00C3042C"/>
    <w:rsid w:val="00C30925"/>
    <w:rsid w:val="00C445F3"/>
    <w:rsid w:val="00C46D11"/>
    <w:rsid w:val="00C47741"/>
    <w:rsid w:val="00C47F86"/>
    <w:rsid w:val="00C53C37"/>
    <w:rsid w:val="00C6227E"/>
    <w:rsid w:val="00C67543"/>
    <w:rsid w:val="00C73F3B"/>
    <w:rsid w:val="00C81ED1"/>
    <w:rsid w:val="00C87BC7"/>
    <w:rsid w:val="00C9509B"/>
    <w:rsid w:val="00CA0743"/>
    <w:rsid w:val="00CA0DE9"/>
    <w:rsid w:val="00CA4215"/>
    <w:rsid w:val="00CA7BCD"/>
    <w:rsid w:val="00CC0C79"/>
    <w:rsid w:val="00CD3244"/>
    <w:rsid w:val="00CE3441"/>
    <w:rsid w:val="00CF2B4C"/>
    <w:rsid w:val="00D0003A"/>
    <w:rsid w:val="00D0180A"/>
    <w:rsid w:val="00D03D32"/>
    <w:rsid w:val="00D03F06"/>
    <w:rsid w:val="00D04D04"/>
    <w:rsid w:val="00D07AA8"/>
    <w:rsid w:val="00D10F8C"/>
    <w:rsid w:val="00D11D64"/>
    <w:rsid w:val="00D161A8"/>
    <w:rsid w:val="00D21E39"/>
    <w:rsid w:val="00D23714"/>
    <w:rsid w:val="00D3613C"/>
    <w:rsid w:val="00D401BE"/>
    <w:rsid w:val="00D45527"/>
    <w:rsid w:val="00D46986"/>
    <w:rsid w:val="00D50F54"/>
    <w:rsid w:val="00D51C54"/>
    <w:rsid w:val="00D52F65"/>
    <w:rsid w:val="00D5449D"/>
    <w:rsid w:val="00D57938"/>
    <w:rsid w:val="00D63876"/>
    <w:rsid w:val="00D65168"/>
    <w:rsid w:val="00D72250"/>
    <w:rsid w:val="00D725CD"/>
    <w:rsid w:val="00D73FCB"/>
    <w:rsid w:val="00D7600D"/>
    <w:rsid w:val="00D76ED0"/>
    <w:rsid w:val="00D9038E"/>
    <w:rsid w:val="00D90524"/>
    <w:rsid w:val="00D91E16"/>
    <w:rsid w:val="00D92165"/>
    <w:rsid w:val="00D94066"/>
    <w:rsid w:val="00D94DFE"/>
    <w:rsid w:val="00D94E22"/>
    <w:rsid w:val="00DC0D4B"/>
    <w:rsid w:val="00DC19FB"/>
    <w:rsid w:val="00DC4ED6"/>
    <w:rsid w:val="00DD283E"/>
    <w:rsid w:val="00DD2AD9"/>
    <w:rsid w:val="00DD2D1D"/>
    <w:rsid w:val="00DD2EAB"/>
    <w:rsid w:val="00DE0260"/>
    <w:rsid w:val="00DE2885"/>
    <w:rsid w:val="00DE4A60"/>
    <w:rsid w:val="00E02BA8"/>
    <w:rsid w:val="00E03BC4"/>
    <w:rsid w:val="00E03D89"/>
    <w:rsid w:val="00E15C8D"/>
    <w:rsid w:val="00E25A36"/>
    <w:rsid w:val="00E276FD"/>
    <w:rsid w:val="00E36058"/>
    <w:rsid w:val="00E36B73"/>
    <w:rsid w:val="00E42420"/>
    <w:rsid w:val="00E45CC9"/>
    <w:rsid w:val="00E547C2"/>
    <w:rsid w:val="00E576CB"/>
    <w:rsid w:val="00E67787"/>
    <w:rsid w:val="00E71583"/>
    <w:rsid w:val="00E81D8A"/>
    <w:rsid w:val="00E90E59"/>
    <w:rsid w:val="00E9160B"/>
    <w:rsid w:val="00E95BCE"/>
    <w:rsid w:val="00E96113"/>
    <w:rsid w:val="00EA06F6"/>
    <w:rsid w:val="00EA3F14"/>
    <w:rsid w:val="00EB21E6"/>
    <w:rsid w:val="00EB36E3"/>
    <w:rsid w:val="00EC0199"/>
    <w:rsid w:val="00EC0EBB"/>
    <w:rsid w:val="00EC30C1"/>
    <w:rsid w:val="00EC4646"/>
    <w:rsid w:val="00EC4E9A"/>
    <w:rsid w:val="00EC7E04"/>
    <w:rsid w:val="00ED4255"/>
    <w:rsid w:val="00ED54F7"/>
    <w:rsid w:val="00ED67FE"/>
    <w:rsid w:val="00EE2210"/>
    <w:rsid w:val="00EE34B5"/>
    <w:rsid w:val="00EE423D"/>
    <w:rsid w:val="00EF281B"/>
    <w:rsid w:val="00EF2D5F"/>
    <w:rsid w:val="00EF732C"/>
    <w:rsid w:val="00F10543"/>
    <w:rsid w:val="00F10B4E"/>
    <w:rsid w:val="00F12F29"/>
    <w:rsid w:val="00F26085"/>
    <w:rsid w:val="00F26509"/>
    <w:rsid w:val="00F268DC"/>
    <w:rsid w:val="00F27FB5"/>
    <w:rsid w:val="00F375CC"/>
    <w:rsid w:val="00F54DCA"/>
    <w:rsid w:val="00F5772A"/>
    <w:rsid w:val="00F600B6"/>
    <w:rsid w:val="00F61EFF"/>
    <w:rsid w:val="00F73DA2"/>
    <w:rsid w:val="00F8103D"/>
    <w:rsid w:val="00F82FA7"/>
    <w:rsid w:val="00F87DBD"/>
    <w:rsid w:val="00F914CE"/>
    <w:rsid w:val="00FA0427"/>
    <w:rsid w:val="00FA1F41"/>
    <w:rsid w:val="00FA5074"/>
    <w:rsid w:val="00FB1C37"/>
    <w:rsid w:val="00FB21C0"/>
    <w:rsid w:val="00FB2892"/>
    <w:rsid w:val="00FB327C"/>
    <w:rsid w:val="00FB34AF"/>
    <w:rsid w:val="00FC5005"/>
    <w:rsid w:val="00FC66EE"/>
    <w:rsid w:val="00FE7E87"/>
    <w:rsid w:val="00FF0A69"/>
    <w:rsid w:val="00FF185F"/>
    <w:rsid w:val="00FF1ECB"/>
    <w:rsid w:val="00FF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24B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4A02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autoRedefine/>
    <w:qFormat/>
    <w:rsid w:val="00E25A36"/>
    <w:pPr>
      <w:spacing w:before="240" w:after="60"/>
      <w:outlineLvl w:val="1"/>
    </w:pPr>
    <w:rPr>
      <w:rFonts w:ascii="Times New Roman" w:hAnsi="Times New Roman" w:cs="Arial"/>
      <w:b/>
      <w:bCs/>
      <w:iCs/>
      <w:color w:val="000000"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25A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E25A3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E25A3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nhideWhenUsed/>
    <w:qFormat/>
    <w:rsid w:val="00E25A3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25A3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25A36"/>
    <w:rPr>
      <w:rFonts w:ascii="Times New Roman" w:eastAsia="Calibri" w:hAnsi="Times New Roman" w:cs="Arial"/>
      <w:b/>
      <w:bCs/>
      <w:iCs/>
      <w:color w:val="000000"/>
      <w:sz w:val="3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E25A36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rsid w:val="00E25A3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rsid w:val="00E25A36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rsid w:val="00E25A36"/>
    <w:rPr>
      <w:rFonts w:ascii="Cambria" w:eastAsia="Times New Roman" w:hAnsi="Cambria" w:cs="Times New Roman"/>
      <w:i/>
      <w:iCs/>
      <w:color w:val="243F60"/>
    </w:rPr>
  </w:style>
  <w:style w:type="table" w:styleId="TableGrid">
    <w:name w:val="Table Grid"/>
    <w:basedOn w:val="TableNormal"/>
    <w:uiPriority w:val="59"/>
    <w:rsid w:val="004A02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A024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4A0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024B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4A024B"/>
    <w:pPr>
      <w:numPr>
        <w:numId w:val="7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A024B"/>
    <w:pPr>
      <w:numPr>
        <w:ilvl w:val="1"/>
        <w:numId w:val="7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4A024B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4A0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024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24B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0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024B"/>
    <w:rPr>
      <w:b/>
      <w:bCs/>
    </w:rPr>
  </w:style>
  <w:style w:type="paragraph" w:customStyle="1" w:styleId="Contents">
    <w:name w:val="Contents"/>
    <w:qFormat/>
    <w:rsid w:val="004A024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24B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024B"/>
    <w:rPr>
      <w:sz w:val="22"/>
      <w:szCs w:val="22"/>
    </w:rPr>
  </w:style>
  <w:style w:type="paragraph" w:customStyle="1" w:styleId="FrontMatterHead">
    <w:name w:val="FrontMatterHead"/>
    <w:qFormat/>
    <w:rsid w:val="004A024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024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A024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A024B"/>
    <w:rPr>
      <w:color w:val="0000FF" w:themeColor="hyperlink"/>
      <w:u w:val="single"/>
    </w:rPr>
  </w:style>
  <w:style w:type="paragraph" w:customStyle="1" w:styleId="Investigators">
    <w:name w:val="Investigators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A024B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uiPriority w:val="99"/>
    <w:qFormat/>
    <w:rsid w:val="004A024B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4A024B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A024B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A024B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A024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A024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rsid w:val="004A024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A47F69"/>
    <w:rPr>
      <w:rFonts w:ascii="Times New Roman" w:hAnsi="Times New Roman"/>
      <w:sz w:val="24"/>
      <w:szCs w:val="22"/>
    </w:rPr>
  </w:style>
  <w:style w:type="paragraph" w:customStyle="1" w:styleId="NumberLine">
    <w:name w:val="NumberLine"/>
    <w:qFormat/>
    <w:rsid w:val="004A024B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A024B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4A024B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A024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A024B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A024B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A024B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A024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A024B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A024B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4A024B"/>
    <w:pPr>
      <w:keepLines/>
      <w:numPr>
        <w:numId w:val="76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4A024B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A024B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A024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A024B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A024B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A024B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A024B"/>
    <w:rPr>
      <w:rFonts w:ascii="Arial" w:hAnsi="Arial" w:cs="Arial"/>
      <w:sz w:val="18"/>
      <w:szCs w:val="18"/>
    </w:rPr>
  </w:style>
  <w:style w:type="paragraph" w:customStyle="1" w:styleId="TableTitle">
    <w:name w:val="TableTitle"/>
    <w:uiPriority w:val="99"/>
    <w:qFormat/>
    <w:rsid w:val="004A024B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4A024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A024B"/>
    <w:pPr>
      <w:ind w:left="240"/>
    </w:pPr>
    <w:rPr>
      <w:rFonts w:ascii="Times New Roman" w:hAnsi="Times New Roman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1467B"/>
    <w:pPr>
      <w:spacing w:after="240"/>
      <w:ind w:left="720"/>
      <w:contextualSpacing/>
    </w:pPr>
    <w:rPr>
      <w:rFonts w:ascii="Times New Roman" w:eastAsia="Calibri" w:hAnsi="Times New Roman"/>
      <w:szCs w:val="22"/>
    </w:rPr>
  </w:style>
  <w:style w:type="character" w:customStyle="1" w:styleId="apple-style-span">
    <w:name w:val="apple-style-span"/>
    <w:basedOn w:val="DefaultParagraphFont"/>
    <w:rsid w:val="0051469C"/>
  </w:style>
  <w:style w:type="paragraph" w:styleId="NoSpacing">
    <w:name w:val="No Spacing"/>
    <w:uiPriority w:val="1"/>
    <w:qFormat/>
    <w:rsid w:val="0051469C"/>
    <w:rPr>
      <w:rFonts w:asciiTheme="minorHAnsi" w:eastAsiaTheme="minorEastAsia" w:hAnsiTheme="minorHAnsi"/>
      <w:sz w:val="22"/>
      <w:szCs w:val="22"/>
    </w:rPr>
  </w:style>
  <w:style w:type="character" w:customStyle="1" w:styleId="CommentTextChar1">
    <w:name w:val="Comment Text Char1"/>
    <w:basedOn w:val="DefaultParagraphFont"/>
    <w:rsid w:val="0051469C"/>
    <w:rPr>
      <w:rFonts w:ascii="Arial" w:hAnsi="Arial"/>
      <w:sz w:val="20"/>
      <w:szCs w:val="20"/>
    </w:rPr>
  </w:style>
  <w:style w:type="character" w:customStyle="1" w:styleId="CommentSubjectChar1">
    <w:name w:val="Comment Subject Char1"/>
    <w:basedOn w:val="CommentTextChar1"/>
    <w:rsid w:val="0051469C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itle">
    <w:name w:val="FigureTitle"/>
    <w:basedOn w:val="Normal"/>
    <w:next w:val="Normal"/>
    <w:qFormat/>
    <w:rsid w:val="0051469C"/>
    <w:pPr>
      <w:keepNext/>
      <w:keepLines/>
    </w:pPr>
    <w:rPr>
      <w:rFonts w:ascii="Arial" w:eastAsia="Calibri" w:hAnsi="Arial" w:cs="Arial"/>
      <w:b/>
    </w:rPr>
  </w:style>
  <w:style w:type="paragraph" w:customStyle="1" w:styleId="KeyQuestions">
    <w:name w:val="KeyQuestions"/>
    <w:basedOn w:val="Normal"/>
    <w:next w:val="Normal"/>
    <w:uiPriority w:val="99"/>
    <w:rsid w:val="0051469C"/>
    <w:pPr>
      <w:keepNext/>
      <w:keepLines/>
      <w:spacing w:before="240" w:after="60"/>
    </w:pPr>
    <w:rPr>
      <w:rFonts w:ascii="Arial" w:eastAsia="Calibri" w:hAnsi="Arial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69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6628">
              <w:marLeft w:val="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5764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0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109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AD2A8124D647A6231A5515CBC42B" ma:contentTypeVersion="1" ma:contentTypeDescription="Create a new document." ma:contentTypeScope="" ma:versionID="e9a391bfbfb42d1203275af4a4038eea">
  <xsd:schema xmlns:xsd="http://www.w3.org/2001/XMLSchema" xmlns:xs="http://www.w3.org/2001/XMLSchema" xmlns:p="http://schemas.microsoft.com/office/2006/metadata/properties" xmlns:ns2="fc089d62-8482-43cb-b607-497f8a413bd4" targetNamespace="http://schemas.microsoft.com/office/2006/metadata/properties" ma:root="true" ma:fieldsID="8b493cb1263d29607de959697c5eee5c" ns2:_="">
    <xsd:import namespace="fc089d62-8482-43cb-b607-497f8a413b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89d62-8482-43cb-b607-497f8a413b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D86CF0-1D8D-4CD3-8AC5-D3615AF12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89d62-8482-43cb-b607-497f8a413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FF15A-9D79-4575-81EF-C35B4697AD1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85D2C64-FFCB-4017-B3B6-4BCEC3DC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407763-1AEA-484D-8708-94FAF5063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8FA4FF1-5A67-443C-B80D-1CF6D2573A3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F1C160F-7238-4CE2-8F82-8EC2FE9CD43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96C36CC-9E8C-42A1-900F-5EA8B61833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3979</Words>
  <Characters>22684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26610</CharactersWithSpaces>
  <SharedDoc>false</SharedDoc>
  <HLinks>
    <vt:vector size="510" baseType="variant">
      <vt:variant>
        <vt:i4>1900565</vt:i4>
      </vt:variant>
      <vt:variant>
        <vt:i4>422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329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655483</vt:i4>
      </vt:variant>
      <vt:variant>
        <vt:i4>311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308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305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302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299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296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293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290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1900641</vt:i4>
      </vt:variant>
      <vt:variant>
        <vt:i4>229</vt:i4>
      </vt:variant>
      <vt:variant>
        <vt:i4>0</vt:i4>
      </vt:variant>
      <vt:variant>
        <vt:i4>5</vt:i4>
      </vt:variant>
      <vt:variant>
        <vt:lpwstr>http://www.ohri.ca/programs/clinical_epidemiology/oxford.asp</vt:lpwstr>
      </vt:variant>
      <vt:variant>
        <vt:lpwstr/>
      </vt:variant>
      <vt:variant>
        <vt:i4>16</vt:i4>
      </vt:variant>
      <vt:variant>
        <vt:i4>226</vt:i4>
      </vt:variant>
      <vt:variant>
        <vt:i4>0</vt:i4>
      </vt:variant>
      <vt:variant>
        <vt:i4>5</vt:i4>
      </vt:variant>
      <vt:variant>
        <vt:lpwstr>http://www.cdc.gov/nchs/icd/icd9.htm</vt:lpwstr>
      </vt:variant>
      <vt:variant>
        <vt:lpwstr/>
      </vt:variant>
      <vt:variant>
        <vt:i4>1900565</vt:i4>
      </vt:variant>
      <vt:variant>
        <vt:i4>188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185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182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98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655483</vt:i4>
      </vt:variant>
      <vt:variant>
        <vt:i4>70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67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64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61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58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55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52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49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7929886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../../../../../../../../Local%20Settings/Temporary%20Internet%20Files/Content.IE5/95PA3R4B/www.effectivehealthcare.ahrq.gov</vt:lpwstr>
      </vt:variant>
      <vt:variant>
        <vt:lpwstr/>
      </vt:variant>
      <vt:variant>
        <vt:i4>4259957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../../../../../../../../Local%20Settings/Temporary%20Internet%20Files/Content.IE5/95PA3R4B/www.effectivehealthcare.ahrq.gov/reference/purpose.cfm</vt:lpwstr>
      </vt:variant>
      <vt:variant>
        <vt:lpwstr/>
      </vt:variant>
      <vt:variant>
        <vt:i4>5111922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Catalina Suarez</dc:creator>
  <cp:lastModifiedBy>EEI</cp:lastModifiedBy>
  <cp:revision>12</cp:revision>
  <cp:lastPrinted>2012-03-26T04:23:00Z</cp:lastPrinted>
  <dcterms:created xsi:type="dcterms:W3CDTF">2012-05-02T12:48:00Z</dcterms:created>
  <dcterms:modified xsi:type="dcterms:W3CDTF">2012-05-02T13:28:00Z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0x010100CF77AD2A8124D647A6231A5515CBC42B</vt:lpwstr>
  </property>
  <property fmtid="{D5CDD505-2E9C-101B-9397-08002B2CF9AE}" pid="3" name="_dlc_DocIdItemGuid">
    <vt:lpwstr>da410094-8edd-47b8-af06-9f2df0524196</vt:lpwstr>
  </property>
  <property fmtid="{D5CDD505-2E9C-101B-9397-08002B2CF9AE}" pid="4" name="_dlc_DocId">
    <vt:lpwstr>QPJZ2JMN6QZN-5-359</vt:lpwstr>
  </property>
  <property fmtid="{D5CDD505-2E9C-101B-9397-08002B2CF9AE}" pid="5" name="_dlc_DocIdUrl">
    <vt:lpwstr>https://collaborate.johnshopkins.edu/sites/epcglaucoma/_layouts/DocIdRedir.aspx?ID=QPJZ2JMN6QZN-5-359, QPJZ2JMN6QZN-5-359</vt:lpwstr>
  </property>
</Properties>
</file>