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2" w:rsidRDefault="000A1D92" w:rsidP="009E26CF">
      <w:pPr>
        <w:pStyle w:val="TableTitle"/>
      </w:pPr>
      <w:bookmarkStart w:id="0" w:name="_Toc268267314"/>
      <w:proofErr w:type="gramStart"/>
      <w:r w:rsidRPr="008B1293">
        <w:t xml:space="preserve">Table </w:t>
      </w:r>
      <w:r>
        <w:t>4</w:t>
      </w:r>
      <w:r w:rsidRPr="008B1293">
        <w:t>.</w:t>
      </w:r>
      <w:proofErr w:type="gramEnd"/>
      <w:r w:rsidRPr="008B1293">
        <w:t xml:space="preserve"> Strength of evidence for</w:t>
      </w:r>
      <w:r>
        <w:t xml:space="preserve"> oral DMARDs</w:t>
      </w:r>
      <w:bookmarkEnd w:id="0"/>
      <w:r>
        <w:t xml:space="preserve"> (KQ3)</w:t>
      </w:r>
    </w:p>
    <w:tbl>
      <w:tblPr>
        <w:tblW w:w="9612" w:type="dxa"/>
        <w:jc w:val="center"/>
        <w:tblInd w:w="-5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565"/>
        <w:gridCol w:w="1212"/>
        <w:gridCol w:w="1170"/>
        <w:gridCol w:w="1128"/>
        <w:gridCol w:w="942"/>
        <w:gridCol w:w="2166"/>
        <w:gridCol w:w="1429"/>
      </w:tblGrid>
      <w:tr w:rsidR="000A1D92" w:rsidRPr="00C93C3D" w:rsidTr="005C0B9C">
        <w:trPr>
          <w:jc w:val="center"/>
        </w:trPr>
        <w:tc>
          <w:tcPr>
            <w:tcW w:w="1565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2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66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5C0B9C">
        <w:trPr>
          <w:jc w:val="center"/>
        </w:trPr>
        <w:tc>
          <w:tcPr>
            <w:tcW w:w="1565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Tolerability:</w:t>
            </w:r>
          </w:p>
          <w:p w:rsidR="000A1D92" w:rsidRPr="00071E3E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1E3E">
              <w:rPr>
                <w:rFonts w:ascii="Arial" w:hAnsi="Arial" w:cs="Arial"/>
                <w:b/>
                <w:sz w:val="18"/>
                <w:szCs w:val="18"/>
              </w:rPr>
              <w:t>Oral DMARD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 xml:space="preserve">3 RCT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071E3E">
              <w:rPr>
                <w:rFonts w:ascii="Arial" w:hAnsi="Arial" w:cs="Arial"/>
                <w:sz w:val="18"/>
                <w:szCs w:val="18"/>
              </w:rPr>
              <w:t>1839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 xml:space="preserve">1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071E3E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71E3E">
              <w:rPr>
                <w:rFonts w:ascii="Arial" w:hAnsi="Arial" w:cs="Arial"/>
                <w:sz w:val="18"/>
                <w:szCs w:val="18"/>
              </w:rPr>
              <w:t xml:space="preserve">594;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71E3E">
              <w:rPr>
                <w:rFonts w:ascii="Arial" w:hAnsi="Arial" w:cs="Arial"/>
                <w:sz w:val="18"/>
                <w:szCs w:val="18"/>
              </w:rPr>
              <w:t xml:space="preserve"> meta-analysis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7,24</w:t>
            </w:r>
            <w:r w:rsidRPr="00071E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CTs/3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cohort/1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71E3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71E3E">
              <w:rPr>
                <w:rFonts w:ascii="Arial" w:hAnsi="Arial" w:cs="Arial"/>
                <w:sz w:val="18"/>
                <w:szCs w:val="18"/>
              </w:rPr>
              <w:t>meta-analysis/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71E3E">
              <w:rPr>
                <w:rFonts w:ascii="Arial" w:hAnsi="Arial" w:cs="Arial"/>
                <w:sz w:val="18"/>
                <w:szCs w:val="18"/>
              </w:rPr>
              <w:t xml:space="preserve"> good, 1 fair 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42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166" w:type="dxa"/>
          </w:tcPr>
          <w:p w:rsidR="000A1D92" w:rsidRPr="00157F8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57F86">
              <w:rPr>
                <w:rFonts w:ascii="Arial" w:hAnsi="Arial" w:cs="Arial"/>
                <w:sz w:val="18"/>
                <w:szCs w:val="18"/>
              </w:rPr>
              <w:t>Similar tolerability and discontinuation rates for HCQ, LEF, MTX, and SSZ, with the exception of one study noting better tolerability for LEF and one study noting better tolerability with MTX</w:t>
            </w:r>
          </w:p>
        </w:tc>
        <w:tc>
          <w:tcPr>
            <w:tcW w:w="1429" w:type="dxa"/>
          </w:tcPr>
          <w:p w:rsidR="000A1D92" w:rsidRPr="00157F8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57F86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5C0B9C">
        <w:trPr>
          <w:jc w:val="center"/>
        </w:trPr>
        <w:tc>
          <w:tcPr>
            <w:tcW w:w="1565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Tolerability: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Oral DMARD vs. Oral or Biologic DMARD combination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1541B">
              <w:rPr>
                <w:rFonts w:ascii="Arial" w:hAnsi="Arial" w:cs="Arial"/>
                <w:sz w:val="18"/>
                <w:szCs w:val="18"/>
              </w:rPr>
              <w:t xml:space="preserve"> RCT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54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154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841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observational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349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meta-analysis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1541B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1,735</w:t>
            </w:r>
          </w:p>
        </w:tc>
        <w:tc>
          <w:tcPr>
            <w:tcW w:w="121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RCTs/2 good, 4 fair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cohort/2 fair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meta-analysis/1 good, 1 fair</w:t>
            </w:r>
          </w:p>
        </w:tc>
        <w:tc>
          <w:tcPr>
            <w:tcW w:w="117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</w:p>
        </w:tc>
        <w:tc>
          <w:tcPr>
            <w:tcW w:w="94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 w:rsidRPr="00A01D92">
              <w:rPr>
                <w:rFonts w:ascii="Arial" w:hAnsi="Arial" w:cs="Arial"/>
                <w:sz w:val="18"/>
                <w:szCs w:val="18"/>
              </w:rPr>
              <w:t>ecise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</w:tcPr>
          <w:p w:rsidR="000A1D92" w:rsidRPr="00BC7F0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C7F06">
              <w:rPr>
                <w:rFonts w:ascii="Arial" w:hAnsi="Arial" w:cs="Arial"/>
                <w:sz w:val="18"/>
                <w:szCs w:val="18"/>
              </w:rPr>
              <w:t>Similar withdrawal rates due to adverse events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exception of one study showing increased withdrawal for SSZ + MTX combination</w:t>
            </w:r>
            <w:r w:rsidRPr="00BC7F06">
              <w:rPr>
                <w:rFonts w:ascii="Arial" w:hAnsi="Arial" w:cs="Arial"/>
                <w:sz w:val="18"/>
                <w:szCs w:val="18"/>
              </w:rPr>
              <w:t>; DMARD combination may have more adverse events</w:t>
            </w:r>
          </w:p>
        </w:tc>
        <w:tc>
          <w:tcPr>
            <w:tcW w:w="1429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3B1C1C" w:rsidTr="005C0B9C">
        <w:trPr>
          <w:jc w:val="center"/>
        </w:trPr>
        <w:tc>
          <w:tcPr>
            <w:tcW w:w="1565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Tolerability:</w:t>
            </w:r>
          </w:p>
          <w:p w:rsidR="000A1D92" w:rsidRPr="00BB195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95F">
              <w:rPr>
                <w:rFonts w:ascii="Arial" w:hAnsi="Arial" w:cs="Arial"/>
                <w:b/>
                <w:sz w:val="18"/>
                <w:szCs w:val="18"/>
              </w:rPr>
              <w:t xml:space="preserve">Oral DMARD +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B195F">
              <w:rPr>
                <w:rFonts w:ascii="Arial" w:hAnsi="Arial" w:cs="Arial"/>
                <w:b/>
                <w:sz w:val="18"/>
                <w:szCs w:val="18"/>
              </w:rPr>
              <w:t>orticosteroid vs.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B195F">
              <w:rPr>
                <w:rFonts w:ascii="Arial" w:hAnsi="Arial" w:cs="Arial"/>
                <w:sz w:val="18"/>
                <w:szCs w:val="18"/>
              </w:rPr>
              <w:t xml:space="preserve"> RCT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B195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1202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BB195F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154</w:t>
            </w:r>
          </w:p>
        </w:tc>
        <w:tc>
          <w:tcPr>
            <w:tcW w:w="1212" w:type="dxa"/>
          </w:tcPr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RCTs/</w:t>
            </w:r>
            <w:r>
              <w:rPr>
                <w:rFonts w:ascii="Arial" w:hAnsi="Arial" w:cs="Arial"/>
                <w:sz w:val="18"/>
                <w:szCs w:val="18"/>
              </w:rPr>
              <w:t>1 g</w:t>
            </w:r>
            <w:r w:rsidRPr="00053301">
              <w:rPr>
                <w:rFonts w:ascii="Arial" w:hAnsi="Arial" w:cs="Arial"/>
                <w:sz w:val="18"/>
                <w:szCs w:val="18"/>
              </w:rPr>
              <w:t xml:space="preserve">ood, </w:t>
            </w:r>
            <w:r>
              <w:rPr>
                <w:rFonts w:ascii="Arial" w:hAnsi="Arial" w:cs="Arial"/>
                <w:sz w:val="18"/>
                <w:szCs w:val="18"/>
              </w:rPr>
              <w:t>3 f</w:t>
            </w:r>
            <w:r w:rsidRPr="00053301">
              <w:rPr>
                <w:rFonts w:ascii="Arial" w:hAnsi="Arial" w:cs="Arial"/>
                <w:sz w:val="18"/>
                <w:szCs w:val="18"/>
              </w:rPr>
              <w:t>air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cohort/1fair</w:t>
            </w:r>
          </w:p>
        </w:tc>
        <w:tc>
          <w:tcPr>
            <w:tcW w:w="1170" w:type="dxa"/>
          </w:tcPr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053301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0A1D92" w:rsidRPr="00053301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E59E3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0A1D92" w:rsidRPr="006E59E3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</w:tcPr>
          <w:p w:rsidR="000A1D92" w:rsidRPr="00BC7F06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C7F06">
              <w:rPr>
                <w:rFonts w:ascii="Arial" w:hAnsi="Arial" w:cs="Arial"/>
                <w:sz w:val="18"/>
                <w:szCs w:val="18"/>
              </w:rPr>
              <w:t>Similar tolerability and rates of serious adverse events; addition of corticosteroid to oral DMARD lowered withdrawal due to adverse events</w:t>
            </w:r>
          </w:p>
        </w:tc>
        <w:tc>
          <w:tcPr>
            <w:tcW w:w="1429" w:type="dxa"/>
          </w:tcPr>
          <w:p w:rsidR="000A1D92" w:rsidRPr="006D007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6D0072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0A1D92" w:rsidRPr="006D007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D007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1D92" w:rsidRDefault="000A1D92"/>
    <w:p w:rsidR="000A1D92" w:rsidRDefault="000A1D92" w:rsidP="009E26CF">
      <w:pPr>
        <w:pStyle w:val="TableTitle"/>
      </w:pPr>
      <w:r>
        <w:br w:type="page"/>
      </w:r>
      <w:proofErr w:type="gramStart"/>
      <w:r w:rsidRPr="008B1293">
        <w:lastRenderedPageBreak/>
        <w:t xml:space="preserve">Table </w:t>
      </w:r>
      <w:r>
        <w:t>4</w:t>
      </w:r>
      <w:r w:rsidRPr="008B1293">
        <w:t>.</w:t>
      </w:r>
      <w:proofErr w:type="gramEnd"/>
      <w:r w:rsidRPr="008B1293">
        <w:t xml:space="preserve"> Strength of evidence for</w:t>
      </w:r>
      <w:r>
        <w:t xml:space="preserve"> oral DMARDs (KQ3)</w:t>
      </w:r>
    </w:p>
    <w:tbl>
      <w:tblPr>
        <w:tblW w:w="96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564"/>
        <w:gridCol w:w="8"/>
        <w:gridCol w:w="18"/>
        <w:gridCol w:w="1170"/>
        <w:gridCol w:w="16"/>
        <w:gridCol w:w="15"/>
        <w:gridCol w:w="1139"/>
        <w:gridCol w:w="16"/>
        <w:gridCol w:w="21"/>
        <w:gridCol w:w="1107"/>
        <w:gridCol w:w="27"/>
        <w:gridCol w:w="900"/>
        <w:gridCol w:w="15"/>
        <w:gridCol w:w="32"/>
        <w:gridCol w:w="2112"/>
        <w:gridCol w:w="22"/>
        <w:gridCol w:w="44"/>
        <w:gridCol w:w="1385"/>
        <w:gridCol w:w="53"/>
      </w:tblGrid>
      <w:tr w:rsidR="000A1D92" w:rsidRPr="00C93C3D" w:rsidTr="000A1D92">
        <w:trPr>
          <w:jc w:val="center"/>
        </w:trPr>
        <w:tc>
          <w:tcPr>
            <w:tcW w:w="1572" w:type="dxa"/>
            <w:gridSpan w:val="2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9" w:type="dxa"/>
            <w:gridSpan w:val="4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6" w:type="dxa"/>
            <w:gridSpan w:val="3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34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7" w:type="dxa"/>
            <w:gridSpan w:val="3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78" w:type="dxa"/>
            <w:gridSpan w:val="3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38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gridAfter w:val="1"/>
          <w:wAfter w:w="53" w:type="dxa"/>
          <w:jc w:val="center"/>
        </w:trPr>
        <w:tc>
          <w:tcPr>
            <w:tcW w:w="1564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Cardiovascular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Cerebrovascular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Events:</w:t>
            </w:r>
          </w:p>
          <w:p w:rsidR="000A1D92" w:rsidRPr="00B1541B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Oral DMARD vs. Oral DMARD vs. Oral DMARD combination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B1541B">
              <w:rPr>
                <w:rFonts w:ascii="Arial" w:hAnsi="Arial" w:cs="Arial"/>
                <w:sz w:val="18"/>
                <w:szCs w:val="18"/>
              </w:rPr>
              <w:t xml:space="preserve">4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6E297A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154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6E297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19,929</w:t>
            </w:r>
          </w:p>
        </w:tc>
        <w:tc>
          <w:tcPr>
            <w:tcW w:w="1212" w:type="dxa"/>
            <w:gridSpan w:val="4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4 fair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42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66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DMARDs and combinations of oral DMARDS may reduce cardiovascular risk; risk reductions were larger in magnitude with LEF</w:t>
            </w:r>
          </w:p>
        </w:tc>
        <w:tc>
          <w:tcPr>
            <w:tcW w:w="1429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gridAfter w:val="1"/>
          <w:wAfter w:w="53" w:type="dxa"/>
          <w:jc w:val="center"/>
        </w:trPr>
        <w:tc>
          <w:tcPr>
            <w:tcW w:w="1564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Hepatic Events:</w:t>
            </w:r>
          </w:p>
          <w:p w:rsidR="000A1D92" w:rsidRPr="004E741A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41A">
              <w:rPr>
                <w:rFonts w:ascii="Arial" w:hAnsi="Arial" w:cs="Arial"/>
                <w:b/>
                <w:sz w:val="18"/>
                <w:szCs w:val="18"/>
              </w:rPr>
              <w:t xml:space="preserve">Oral DMARD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Oral DMARD vs. Biologic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E741A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4E741A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E741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82,479</w:t>
            </w:r>
          </w:p>
        </w:tc>
        <w:tc>
          <w:tcPr>
            <w:tcW w:w="1212" w:type="dxa"/>
            <w:gridSpan w:val="4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2 fair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42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66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Similar hepatic event rates for LEF, MTX, and other oral DMARDs</w:t>
            </w:r>
          </w:p>
        </w:tc>
        <w:tc>
          <w:tcPr>
            <w:tcW w:w="1429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gridAfter w:val="1"/>
          <w:wAfter w:w="53" w:type="dxa"/>
          <w:jc w:val="center"/>
        </w:trPr>
        <w:tc>
          <w:tcPr>
            <w:tcW w:w="1564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Infection:</w:t>
            </w:r>
          </w:p>
          <w:p w:rsidR="000A1D92" w:rsidRPr="008E65D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5DF">
              <w:rPr>
                <w:rFonts w:ascii="Arial" w:hAnsi="Arial" w:cs="Arial"/>
                <w:b/>
                <w:sz w:val="18"/>
                <w:szCs w:val="18"/>
              </w:rPr>
              <w:t xml:space="preserve">Oral DMARD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E65DF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142,522</w:t>
            </w:r>
          </w:p>
        </w:tc>
        <w:tc>
          <w:tcPr>
            <w:tcW w:w="1212" w:type="dxa"/>
            <w:gridSpan w:val="4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4 fair, 2 good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42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66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inconsistent differences for infection rates for comparisons of HCQ, LEF, MTX, and SSZ </w:t>
            </w:r>
          </w:p>
        </w:tc>
        <w:tc>
          <w:tcPr>
            <w:tcW w:w="1429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rPr>
          <w:gridAfter w:val="1"/>
          <w:wAfter w:w="53" w:type="dxa"/>
          <w:jc w:val="center"/>
        </w:trPr>
        <w:tc>
          <w:tcPr>
            <w:tcW w:w="1564" w:type="dxa"/>
          </w:tcPr>
          <w:p w:rsidR="000A1D92" w:rsidRPr="008E65D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5DF">
              <w:rPr>
                <w:rFonts w:ascii="Arial" w:hAnsi="Arial" w:cs="Arial"/>
                <w:b/>
                <w:sz w:val="18"/>
                <w:szCs w:val="18"/>
              </w:rPr>
              <w:t>Oral DMARD vs.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 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E65DF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236,151</w:t>
            </w:r>
          </w:p>
        </w:tc>
        <w:tc>
          <w:tcPr>
            <w:tcW w:w="1212" w:type="dxa"/>
            <w:gridSpan w:val="4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6 fair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42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66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results; increased risk of infection in some studies, while other show decreased infection risk</w:t>
            </w:r>
          </w:p>
        </w:tc>
        <w:tc>
          <w:tcPr>
            <w:tcW w:w="1429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0A1D92" w:rsidRPr="004B0D21" w:rsidTr="000A1D92">
        <w:trPr>
          <w:jc w:val="center"/>
        </w:trPr>
        <w:tc>
          <w:tcPr>
            <w:tcW w:w="1590" w:type="dxa"/>
            <w:gridSpan w:val="3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Interstitial Lung Disease:</w:t>
            </w:r>
          </w:p>
          <w:p w:rsidR="000A1D92" w:rsidRPr="008E65D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5DF">
              <w:rPr>
                <w:rFonts w:ascii="Arial" w:hAnsi="Arial" w:cs="Arial"/>
                <w:b/>
                <w:sz w:val="18"/>
                <w:szCs w:val="18"/>
              </w:rPr>
              <w:t xml:space="preserve">Oral DMARD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E65DF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80,332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2 fair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71" w:type="dxa"/>
            <w:gridSpan w:val="4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59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increased risk with LEF in one study, while another study found no differences among HCQ, LEF, MTX, and SSZ </w:t>
            </w:r>
          </w:p>
        </w:tc>
        <w:tc>
          <w:tcPr>
            <w:tcW w:w="1504" w:type="dxa"/>
            <w:gridSpan w:val="4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0A1D92" w:rsidRPr="004B0D21" w:rsidTr="000A1D92">
        <w:trPr>
          <w:jc w:val="center"/>
        </w:trPr>
        <w:tc>
          <w:tcPr>
            <w:tcW w:w="1590" w:type="dxa"/>
            <w:gridSpan w:val="3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Malignancy:</w:t>
            </w:r>
          </w:p>
          <w:p w:rsidR="000A1D92" w:rsidRPr="008E65D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5DF">
              <w:rPr>
                <w:rFonts w:ascii="Arial" w:hAnsi="Arial" w:cs="Arial"/>
                <w:b/>
                <w:sz w:val="18"/>
                <w:szCs w:val="18"/>
              </w:rPr>
              <w:t xml:space="preserve">Oral DMARD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Oral DMARD vs. corticosteroid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E65DF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16,545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1 good, 1 fair</w:t>
            </w:r>
          </w:p>
        </w:tc>
        <w:tc>
          <w:tcPr>
            <w:tcW w:w="1170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71" w:type="dxa"/>
            <w:gridSpan w:val="4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59" w:type="dxa"/>
            <w:gridSpan w:val="3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differences in lymphoma for MTX and SSZ, and no difference in non-melanoma skin cancer for LEF and MTX </w:t>
            </w:r>
          </w:p>
        </w:tc>
        <w:tc>
          <w:tcPr>
            <w:tcW w:w="1504" w:type="dxa"/>
            <w:gridSpan w:val="4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/>
    <w:p w:rsidR="000A1D92" w:rsidRDefault="000A1D92" w:rsidP="009E26CF">
      <w:pPr>
        <w:pStyle w:val="TableTitle"/>
      </w:pPr>
      <w:r>
        <w:br w:type="page"/>
      </w:r>
      <w:proofErr w:type="gramStart"/>
      <w:r w:rsidRPr="008B1293">
        <w:lastRenderedPageBreak/>
        <w:t xml:space="preserve">Table </w:t>
      </w:r>
      <w:r>
        <w:t>4</w:t>
      </w:r>
      <w:r w:rsidRPr="008B1293">
        <w:t>.</w:t>
      </w:r>
      <w:proofErr w:type="gramEnd"/>
      <w:r w:rsidRPr="008B1293">
        <w:t xml:space="preserve"> Strength of evidence for</w:t>
      </w:r>
      <w:r>
        <w:t xml:space="preserve"> oral DMARDs (KQ3)</w:t>
      </w:r>
    </w:p>
    <w:tbl>
      <w:tblPr>
        <w:tblW w:w="96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572"/>
        <w:gridCol w:w="17"/>
        <w:gridCol w:w="1170"/>
        <w:gridCol w:w="32"/>
        <w:gridCol w:w="1138"/>
        <w:gridCol w:w="38"/>
        <w:gridCol w:w="1134"/>
        <w:gridCol w:w="900"/>
        <w:gridCol w:w="47"/>
        <w:gridCol w:w="2112"/>
        <w:gridCol w:w="66"/>
        <w:gridCol w:w="1438"/>
      </w:tblGrid>
      <w:tr w:rsidR="000A1D92" w:rsidRPr="00C93C3D" w:rsidTr="000A1D92">
        <w:trPr>
          <w:jc w:val="center"/>
        </w:trPr>
        <w:tc>
          <w:tcPr>
            <w:tcW w:w="1573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9" w:type="dxa"/>
            <w:gridSpan w:val="3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6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34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7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178" w:type="dxa"/>
            <w:gridSpan w:val="2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37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rPr>
          <w:jc w:val="center"/>
        </w:trPr>
        <w:tc>
          <w:tcPr>
            <w:tcW w:w="1590" w:type="dxa"/>
            <w:gridSpan w:val="2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Adverse Events:</w:t>
            </w:r>
          </w:p>
          <w:p w:rsidR="000A1D92" w:rsidRPr="008E65DF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65DF">
              <w:rPr>
                <w:rFonts w:ascii="Arial" w:hAnsi="Arial" w:cs="Arial"/>
                <w:b/>
                <w:sz w:val="18"/>
                <w:szCs w:val="18"/>
              </w:rPr>
              <w:t xml:space="preserve">Oral DMARD 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Oral DMARD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RCT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795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E65DF">
              <w:rPr>
                <w:rFonts w:ascii="Arial" w:hAnsi="Arial" w:cs="Arial"/>
                <w:sz w:val="18"/>
                <w:szCs w:val="18"/>
              </w:rPr>
              <w:t xml:space="preserve"> observational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8E65D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= 80,332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review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8E65DF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 = 366</w:t>
            </w:r>
          </w:p>
        </w:tc>
        <w:tc>
          <w:tcPr>
            <w:tcW w:w="117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RCT/1 good;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observational/ 3 fair;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1 fair</w:t>
            </w:r>
          </w:p>
        </w:tc>
        <w:tc>
          <w:tcPr>
            <w:tcW w:w="1170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studies</w:t>
            </w:r>
          </w:p>
        </w:tc>
        <w:tc>
          <w:tcPr>
            <w:tcW w:w="1171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159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DMARDs increase risk of septic arthritis; LEF + corticosteroids increase risk of wound healing complications; no association of oral DMARDs with sinus problems; no increased risk of renal damage with combination; insufficient information on fertility, pregnancy, and lactation </w:t>
            </w:r>
          </w:p>
        </w:tc>
        <w:tc>
          <w:tcPr>
            <w:tcW w:w="1504" w:type="dxa"/>
            <w:gridSpan w:val="2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9E26CF">
      <w:pPr>
        <w:pStyle w:val="Source"/>
        <w:ind w:left="450" w:right="900"/>
      </w:pPr>
      <w:proofErr w:type="gramStart"/>
      <w:r w:rsidRPr="00942869">
        <w:t>DMARD</w:t>
      </w:r>
      <w:r>
        <w:t>,</w:t>
      </w:r>
      <w:r w:rsidRPr="00942869">
        <w:t xml:space="preserve"> disease-modifying </w:t>
      </w:r>
      <w:proofErr w:type="spellStart"/>
      <w:r w:rsidRPr="00942869">
        <w:t>antirheumatic</w:t>
      </w:r>
      <w:proofErr w:type="spellEnd"/>
      <w:r w:rsidRPr="00942869">
        <w:t xml:space="preserve"> drug; HCQ, </w:t>
      </w:r>
      <w:proofErr w:type="spellStart"/>
      <w:r w:rsidRPr="00942869">
        <w:t>hydroxychloroquine</w:t>
      </w:r>
      <w:proofErr w:type="spellEnd"/>
      <w:r w:rsidRPr="00942869">
        <w:t xml:space="preserve">; LEF, </w:t>
      </w:r>
      <w:proofErr w:type="spellStart"/>
      <w:r w:rsidRPr="00942869">
        <w:t>leflunomide</w:t>
      </w:r>
      <w:proofErr w:type="spellEnd"/>
      <w:r w:rsidRPr="00942869">
        <w:t xml:space="preserve">; MTX, </w:t>
      </w:r>
      <w:proofErr w:type="spellStart"/>
      <w:r w:rsidRPr="00942869">
        <w:t>methotrexate</w:t>
      </w:r>
      <w:proofErr w:type="spellEnd"/>
      <w:r w:rsidRPr="00942869">
        <w:t xml:space="preserve">; RCT, randomized controlled trial; SSZ, </w:t>
      </w:r>
      <w:proofErr w:type="spellStart"/>
      <w:r w:rsidRPr="00942869">
        <w:t>sulfasalazine</w:t>
      </w:r>
      <w:proofErr w:type="spellEnd"/>
      <w:r>
        <w:t>.</w:t>
      </w:r>
      <w:proofErr w:type="gramEnd"/>
    </w:p>
    <w:p w:rsidR="000A1D92" w:rsidRPr="00942869" w:rsidRDefault="000A1D92" w:rsidP="009E26CF">
      <w:pPr>
        <w:pStyle w:val="Source"/>
        <w:ind w:left="450" w:right="540"/>
      </w:pPr>
      <w:r>
        <w:t>* E</w:t>
      </w:r>
      <w:r w:rsidRPr="004C274F">
        <w:t>ligible RCTs included double-blind, randomized, placebo- or MTX-controlled trials lasting at least 12 weeks to determine comparative tolerability, safety, or efficacy.  To be included</w:t>
      </w:r>
      <w:r>
        <w:t>,</w:t>
      </w:r>
      <w:r w:rsidRPr="004C274F">
        <w:t xml:space="preserve"> trials must have reported on </w:t>
      </w:r>
      <w:r>
        <w:t xml:space="preserve">at least one of the following: </w:t>
      </w:r>
      <w:r w:rsidRPr="004C274F">
        <w:t xml:space="preserve">overall withdrawals, </w:t>
      </w:r>
      <w:proofErr w:type="spellStart"/>
      <w:r w:rsidRPr="004C274F">
        <w:t>withrawals</w:t>
      </w:r>
      <w:proofErr w:type="spellEnd"/>
      <w:r w:rsidRPr="004C274F">
        <w:t xml:space="preserve"> because of lack of efficacy, or withdrawals because of adverse events.</w:t>
      </w:r>
    </w:p>
    <w:p w:rsidR="00BE2FB2" w:rsidRPr="00E37481" w:rsidRDefault="0085647F" w:rsidP="009E26CF">
      <w:pPr>
        <w:pStyle w:val="TableTitle"/>
      </w:pPr>
      <w:r w:rsidRPr="008B1293" w:rsidDel="0085647F">
        <w:t xml:space="preserve"> </w:t>
      </w:r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EC3DBE">
      <w:footerReference w:type="default" r:id="rId8"/>
      <w:type w:val="continuous"/>
      <w:pgSz w:w="12240" w:h="15840"/>
      <w:pgMar w:top="1440" w:right="63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32" w:rsidRDefault="00BE5932">
    <w:pPr>
      <w:pStyle w:val="Footer"/>
      <w:jc w:val="center"/>
    </w:pPr>
  </w:p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2F7BA8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1C3F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097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0B9C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47F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5BFA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6CF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52DE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414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9E26CF"/>
    <w:pPr>
      <w:keepNext/>
      <w:spacing w:before="120"/>
      <w:ind w:left="45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9E26CF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489C-E8E2-458F-B402-1DF234C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Venture</cp:lastModifiedBy>
  <cp:revision>3</cp:revision>
  <cp:lastPrinted>2012-03-29T19:11:00Z</cp:lastPrinted>
  <dcterms:created xsi:type="dcterms:W3CDTF">2012-05-23T11:41:00Z</dcterms:created>
  <dcterms:modified xsi:type="dcterms:W3CDTF">2012-05-23T11:44:00Z</dcterms:modified>
</cp:coreProperties>
</file>