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6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1"/>
        <w:gridCol w:w="12908"/>
      </w:tblGrid>
      <w:tr w:rsidR="00241625" w:rsidTr="001D0AC8">
        <w:trPr>
          <w:cantSplit/>
          <w:tblHeader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vAlign w:val="bottom"/>
          </w:tcPr>
          <w:p w:rsidR="00241625" w:rsidRDefault="00241625" w:rsidP="001D0AC8">
            <w:pPr>
              <w:keepNext/>
              <w:adjustRightInd w:val="0"/>
              <w:spacing w:before="60" w:after="60"/>
              <w:jc w:val="center"/>
              <w:rPr>
                <w:rFonts w:cs="Times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Times"/>
                <w:b/>
                <w:bCs/>
                <w:color w:val="000000"/>
                <w:sz w:val="18"/>
                <w:szCs w:val="18"/>
              </w:rPr>
              <w:t>Author, Year, Drug, Trial name</w:t>
            </w:r>
          </w:p>
        </w:tc>
        <w:tc>
          <w:tcPr>
            <w:tcW w:w="1290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241625" w:rsidRDefault="00241625" w:rsidP="001D0AC8">
            <w:pPr>
              <w:keepNext/>
              <w:adjustRightInd w:val="0"/>
              <w:spacing w:before="60" w:after="60"/>
              <w:jc w:val="center"/>
              <w:rPr>
                <w:rFonts w:cs="Times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Times"/>
                <w:b/>
                <w:bCs/>
                <w:color w:val="000000"/>
                <w:sz w:val="18"/>
                <w:szCs w:val="18"/>
              </w:rPr>
              <w:t>Adverse events reported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Abrahamsen et al., 2010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ExcludeYear="1"&gt;&lt;RecNum&gt;9774&lt;/RecNum&gt;&lt;DisplayText&gt;&lt;style face="superscript"&gt;430&lt;/style&gt;&lt;/DisplayText&gt;&lt;record&gt;&lt;rec-number&gt;9774&lt;/rec-number&gt;&lt;foreign-keys&gt;&lt;key app="EN" db-id="29ezzfre25wfzbe5ttpvt0wkar525pde22z5"&gt;9774&lt;/key&gt;&lt;/foreign-keys&gt;&lt;ref-type name="Journal Article"&gt;17&lt;/ref-type&gt;&lt;contributors&gt;&lt;authors&gt;&lt;author&gt;Abrahamsen, B. &lt;/author&gt;&lt;author&gt;Eiken, P. &lt;/author&gt;&lt;author&gt;Eastell, R.&lt;/author&gt;&lt;/authors&gt;&lt;/contributors&gt;&lt;auth-address&gt;Odense Patient Data Exploratory Network (B.A.), Institute of Clinical Research, University of Southern Denmark, DK-5230 Odense, Denmark; Department of Medicine and Endocrinology F (B.A.), Copenhagen University Hospital Gentofte, DK-2900 Hellerup, Denmark; Department of Cardiology and Endocrinology (P.E.), Hillerod Hospital, DK-3400 Hillerod, Denmark; and Academic Unit of Bone Metabolism (R.E.), University of Sheffield, Sheffield S1 4DT, United Kingdom.&lt;/auth-address&gt;&lt;titles&gt;&lt;title&gt;Cumulative Alendronate Dose and the Long-Term Absolute Risk of Subtrochanteric and Diaphyseal Femur Fractures: A Register-Based National Cohort Analysis&lt;/title&gt;&lt;secondary-title&gt;J Clin Endocrinol Metab&lt;/secondary-title&gt;&lt;/titles&gt;&lt;periodical&gt;&lt;full-title&gt;J Clin Endocrinol Metab&lt;/full-title&gt;&lt;/periodical&gt;&lt;edition&gt;2010/09/17&lt;/edition&gt;&lt;dates&gt;&lt;year&gt;2010&lt;/year&gt;&lt;pub-dates&gt;&lt;date&gt;Sep 15&lt;/date&gt;&lt;/pub-dates&gt;&lt;/dates&gt;&lt;isbn&gt;1945-7197 (Electronic) 0021-972X (Linking)&lt;/isbn&gt;&lt;accession-num&gt;20843943&lt;/accession-num&gt;&lt;urls&gt;&lt;/urls&gt;&lt;custom1&gt; PubMed. Bisphsophonates. 2010 update&lt;/custom1&gt;&lt;custom4&gt;Paul&lt;/custom4&gt;&lt;custom6&gt;Include&lt;/custom6&gt;&lt;electronic-resource-num&gt;jc.2010-1571 [pii] 10.1210/jc.2010-1571 [doi]&lt;/electronic-resource-num&gt;&lt;remote-database-provider&gt;Nlm&lt;/remote-database-provider&gt;&lt;language&gt;Eng&lt;/language&gt;&lt;/record&gt;&lt;/Cite&gt;&lt;/EndNote&gt;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430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Alendronate (Fosamax)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Alendronate vs Untreated: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Subtrochanteric or diaphyseal fractures: 1.0%(412/39,567) vs 0.4%(637/158,268)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Adachi et al., 2009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ExcludeYear="1"&gt;&lt;RecNum&gt;8505&lt;/RecNum&gt;&lt;DisplayText&gt;&lt;style face="superscript"&gt;361&lt;/style&gt;&lt;/DisplayText&gt;&lt;record&gt;&lt;rec-number&gt;8505&lt;/rec-number&gt;&lt;foreign-keys&gt;&lt;key app="EN" db-id="29ezzfre25wfzbe5ttpvt0wkar525pde22z5"&gt;8505&lt;/key&gt;&lt;/foreign-keys&gt;&lt;ref-type name="Journal Article"&gt;17&lt;/ref-type&gt;&lt;contributors&gt;&lt;authors&gt;&lt;author&gt;Adachi, J. D. &lt;/author&gt;&lt;author&gt;Faraawi, R. Y. &lt;/author&gt;&lt;author&gt;O&amp;apos;Mahony, M. F. &lt;/author&gt;&lt;author&gt;Nayar, A. &lt;/author&gt;&lt;author&gt;Massaad, R. &lt;/author&gt;&lt;author&gt;Evans, J. K. &lt;/author&gt;&lt;author&gt;Yacik, C.&lt;/author&gt;&lt;/authors&gt;&lt;/contributors&gt;&lt;auth-address&gt;McMaster University, Hamilton, Ontario, Canada. jd.adachi@sympatico.ca&lt;/auth-address&gt;&lt;titles&gt;&lt;title&gt;Upper gastrointestinal tolerability of alendronate sodium monohydrate 10 mg once daily in postmenopausal women: a 12-week, randomized, double-blind, placebo-controlled, exploratory study&lt;/title&gt;&lt;secondary-title&gt;Clin Ther&lt;/secondary-title&gt;&lt;/titles&gt;&lt;periodical&gt;&lt;full-title&gt;Clin Ther&lt;/full-title&gt;&lt;/periodical&gt;&lt;pages&gt;1747-53&lt;/pages&gt;&lt;volume&gt;31&lt;/volume&gt;&lt;number&gt;8&lt;/number&gt;&lt;edition&gt;2009/10/08&lt;/edition&gt;&lt;dates&gt;&lt;year&gt;2009&lt;/year&gt;&lt;pub-dates&gt;&lt;date&gt;Aug&lt;/date&gt;&lt;/pub-dates&gt;&lt;/dates&gt;&lt;isbn&gt;1879-114X (Electronic)&lt;/isbn&gt;&lt;accession-num&gt;19808133&lt;/accession-num&gt;&lt;urls&gt;&lt;/urls&gt;&lt;custom1&gt; PubMed. Monitoring. &lt;/custom1&gt;&lt;custom2&gt;AD.YL.&lt;/custom2&gt;&lt;custom6&gt;Include&lt;/custom6&gt;&lt;electronic-resource-num&gt;S0149-2918(09)00299-9 [pii] 10.1016/j.clinthera.2009.08.016 [doi]&lt;/electronic-resource-num&gt;&lt;remote-database-provider&gt;Nlm&lt;/remote-database-provider&gt;&lt;language&gt;eng&lt;/language&gt;&lt;/record&gt;&lt;/Cite&gt;&lt;/EndNote&gt;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361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Alendronate (Fosamax)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Alendronate monohydrate 10 mg/day vs Placebo: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Any adverse event: 57.0%(166/291) vs 51.7%(76/147)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Breast cancer: 0.7%(2/291) vs 0.0%(0/147)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Death: 0.0%(0/291) vs 0.0%(0/147)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Diverticulitis: 0.3%(1/291) vs 0.0%(0/147)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Dyspepsia: 7.9%(23/291) vs 0.0%(0/147)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Esophageal spasm: 0.3%(1/291) vs 0.0%(0/147)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Non-serious upper GI bleed: 0.3%(1/291) vs 0.0%(0/147)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Serious adverse event: 1.4%(4/291) vs 0.7%(1/147)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Serious upper GI event: 20.3%(59/291) vs 12.9%(19/147)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Upper GI event: 22.7%(66/291) vs 20.4%(30/147)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Withdrawals: 18.6%(54/291) vs 11.6%(17/147)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Hagino et al., 2009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ExcludeYear="1"&gt;&lt;RecNum&gt;7860&lt;/RecNum&gt;&lt;DisplayText&gt;&lt;style face="superscript"&gt;487&lt;/style&gt;&lt;/DisplayText&gt;&lt;record&gt;&lt;rec-number&gt;7860&lt;/rec-number&gt;&lt;foreign-keys&gt;&lt;key app="EN" db-id="29ezzfre25wfzbe5ttpvt0wkar525pde22z5"&gt;7860&lt;/key&gt;&lt;/foreign-keys&gt;&lt;ref-type name="Journal Article"&gt;17&lt;/ref-type&gt;&lt;contributors&gt;&lt;authors&gt;&lt;author&gt;Hagino, H. &lt;/author&gt;&lt;author&gt;Nishizawa, Y. &lt;/author&gt;&lt;author&gt;Sone, T. &lt;/author&gt;&lt;author&gt;Morii, H. &lt;/author&gt;&lt;author&gt;Taketani, Y. &lt;/author&gt;&lt;author&gt;Nakamura, T. &lt;/author&gt;&lt;author&gt;Itabashi, A. &lt;/author&gt;&lt;author&gt;Mizunuma, H. &lt;/author&gt;&lt;author&gt;Ohashi, Y. &lt;/author&gt;&lt;author&gt;Shiraki, M. &lt;/author&gt;&lt;author&gt;Minamide, T. &lt;/author&gt;&lt;author&gt;Matsumoto, T.&lt;/author&gt;&lt;/authors&gt;&lt;/contributors&gt;&lt;auth-address&gt;Rehabilitation Division and School of Health Science, Tottori University, Yonago, Tottori 683-8504, Japan. hagino@med.tottori-u.ac.jp&lt;/auth-address&gt;&lt;titles&gt;&lt;title&gt;A double-blinded head-to-head trial of minodronate and alendronate in women with postmenopausal osteoporosis&lt;/title&gt;&lt;secondary-title&gt;Bone&lt;/secondary-title&gt;&lt;/titles&gt;&lt;periodical&gt;&lt;full-title&gt;Bone&lt;/full-title&gt;&lt;/periodical&gt;&lt;pages&gt;1078-84&lt;/pages&gt;&lt;volume&gt;44&lt;/volume&gt;&lt;number&gt;6&lt;/number&gt;&lt;keywords&gt;&lt;keyword&gt;Journal Article Randomized Controlled Trial Research Support, Non-U.S. Gov&amp;apos;t Aged Alendronate/administration &amp;amp; dosage/adverse effects/ therapeutic use Bone Density/physiology Bone Density Conservation Agents/ therapeutic use Diphosphonates/administratio&lt;/keyword&gt;&lt;/keywords&gt;&lt;dates&gt;&lt;year&gt;2009&lt;/year&gt;&lt;pub-dates&gt;&lt;date&gt;Jun&lt;/date&gt;&lt;/pub-dates&gt;&lt;/dates&gt;&lt;isbn&gt;1873-2763 (Electronic)&lt;/isbn&gt;&lt;accession-num&gt;19264155&lt;/accession-num&gt;&lt;urls&gt;&lt;/urls&gt;&lt;custom1&gt; PubMed. Specific bisphosphonates. &lt;/custom1&gt;&lt;custom2&gt;CC.AD.&lt;/custom2&gt;&lt;custom6&gt;Include&lt;/custom6&gt;&lt;language&gt;eng&lt;/language&gt;&lt;/record&gt;&lt;/Cite&gt;&lt;/EndNote&gt;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487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Alendronate (Fosamax)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Alendronate 5 mg vs Minodronate 1 mg: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Any adverse event: 84.4%(114/135) vs 88.8%(119/134)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Abnormal lab data: 21.5%(29/135) vs 29.1%(39/134)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Drug related GI AE: 9.6%(13/135) vs 14.2%(19/134)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Gastrointestinal adverse event: 37.0%(50/135) vs 39.6%(53/134)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Serious adverse event: 2.2%(3/135) vs 4.5%(6/134)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Withdrawals: 10.4%(14/135) vs 8.2%(11/134)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Heckbert et al., 2008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ExcludeYear="1"&gt;&lt;RecNum&gt;7015&lt;/RecNum&gt;&lt;DisplayText&gt;&lt;style face="superscript"&gt;488&lt;/style&gt;&lt;/DisplayText&gt;&lt;record&gt;&lt;rec-number&gt;7015&lt;/rec-number&gt;&lt;foreign-keys&gt;&lt;key app="EN" db-id="29ezzfre25wfzbe5ttpvt0wkar525pde22z5"&gt;7015&lt;/key&gt;&lt;/foreign-keys&gt;&lt;ref-type name="Journal Article"&gt;17&lt;/ref-type&gt;&lt;contributors&gt;&lt;authors&gt;&lt;author&gt;Heckbert, S. R. &lt;/author&gt;&lt;author&gt;Li, G. &lt;/author&gt;&lt;author&gt;Cummings, S. R. &lt;/author&gt;&lt;author&gt;Smith, N. L. &lt;/author&gt;&lt;author&gt;Psaty, B. M.&lt;/author&gt;&lt;/authors&gt;&lt;/contributors&gt;&lt;auth-address&gt;Cardiovascular Health Research Unit, University of Washington, 1730 Minor Ave, Ste 1360, Seattle, WA 98101-1448, USA. heckbert@u.washington.edu&lt;/auth-address&gt;&lt;titles&gt;&lt;title&gt;Use of alendronate and risk of incident atrial fibrillation in women&lt;/title&gt;&lt;secondary-title&gt;Arch Intern Med&lt;/secondary-title&gt;&lt;/titles&gt;&lt;periodical&gt;&lt;full-title&gt;Arch Intern Med&lt;/full-title&gt;&lt;/periodical&gt;&lt;pages&gt;826-31&lt;/pages&gt;&lt;volume&gt;168&lt;/volume&gt;&lt;number&gt;8&lt;/number&gt;&lt;edition&gt;2008/04/30&lt;/edition&gt;&lt;keywords&gt;&lt;keyword&gt;Aged Aged, 80 and over Alendronate/*adverse effects Atrial Fibrillation/*chemically induced Bone Density Conservation Agents/*adverse effects Case-Control Studies Diabetes Mellitus/epidemiology Female Humans Hydroxymethylglutaryl-CoA Reductase Inhibitor&lt;/keyword&gt;&lt;/keywords&gt;&lt;dates&gt;&lt;year&gt;2008&lt;/year&gt;&lt;pub-dates&gt;&lt;date&gt;Apr 28&lt;/date&gt;&lt;/pub-dates&gt;&lt;/dates&gt;&lt;isbn&gt;1538-3679 (Electronic)&lt;/isbn&gt;&lt;accession-num&gt;18443257&lt;/accession-num&gt;&lt;urls&gt;&lt;related-urls&gt;&lt;url&gt;http://www.ncbi.nlm.nih.gov/entrez/query.fcgi?cmd=Retrieve&amp;amp;db=PubMed&amp;amp;dopt=Citation&amp;amp;list_uids=18443257&lt;/url&gt;&lt;/related-urls&gt;&lt;/urls&gt;&lt;custom5&gt;From &amp;apos;09 CER update report&lt;/custom5&gt;&lt;custom6&gt;Include&lt;/custom6&gt;&lt;electronic-resource-num&gt;168/8/826 [pii] 10.1001/archinte.168.8.826&lt;/electronic-resource-num&gt;&lt;research-notes&gt;CER 12&lt;/research-notes&gt;&lt;language&gt;eng&lt;/language&gt;&lt;/record&gt;&lt;/Cite&gt;&lt;/EndNote&gt;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488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Alendronate (Fosamax)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Alendronate (current user) vs No alendronate: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Atrial fibrillation: all: 47.4%(27/57) vs 42.1%(672/1,598)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lastRenderedPageBreak/>
              <w:t>Lems et al., 2006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ExcludeYear="1"&gt;&lt;RecNum&gt;8644&lt;/RecNum&gt;&lt;DisplayText&gt;&lt;style face="superscript"&gt;489&lt;/style&gt;&lt;/DisplayText&gt;&lt;record&gt;&lt;rec-number&gt;8644&lt;/rec-number&gt;&lt;foreign-keys&gt;&lt;key app="EN" db-id="29ezzfre25wfzbe5ttpvt0wkar525pde22z5"&gt;8644&lt;/key&gt;&lt;/foreign-keys&gt;&lt;ref-type name="Journal Article"&gt;17&lt;/ref-type&gt;&lt;contributors&gt;&lt;authors&gt;&lt;author&gt;Lems, W. F. &lt;/author&gt;&lt;author&gt;Lodder, M. C. &lt;/author&gt;&lt;author&gt;Lips, P. &lt;/author&gt;&lt;author&gt;Bijlsma, J. W. &lt;/author&gt;&lt;author&gt;Geusens, P. &lt;/author&gt;&lt;author&gt;Schrameijer, N. &lt;/author&gt;&lt;author&gt;van de Ven, C. M. &lt;/author&gt;&lt;author&gt;Dijkmans, B. A.&lt;/author&gt;&lt;/authors&gt;&lt;/contributors&gt;&lt;auth-address&gt;VU University Medical Centre, Department of Rheumatology, 4A 42, P.O. Box 7057, 1007 MB, and Slotervaart Hospital, Department of Rheumatology, Amsterdam, The Netherlands. wf.lems@vumc.nl&lt;/auth-address&gt;&lt;titles&gt;&lt;title&gt;Positive effect of alendronate on bone mineral density and markers of bone turnover in patients with rheumatoid arthritis on chronic treatment with low-dose prednisone: a randomized, double-blind, placebo-controlled trial&lt;/title&gt;&lt;secondary-title&gt;Osteoporos Int&lt;/secondary-title&gt;&lt;/titles&gt;&lt;periodical&gt;&lt;full-title&gt;Osteoporos Int&lt;/full-title&gt;&lt;/periodical&gt;&lt;pages&gt;716-23&lt;/pages&gt;&lt;volume&gt;17&lt;/volume&gt;&lt;number&gt;5&lt;/number&gt;&lt;edition&gt;2006/02/08&lt;/edition&gt;&lt;keywords&gt;&lt;keyword&gt;Absorptiometry, Photon Alendronate/ therapeutic use Alkaline Phosphatase/blood Analysis of Variance Arthritis, Rheumatoid/drug therapy Bone Density/ drug effects Bone Density Conservation Agents/ therapeutic use Bone Remodeling/ drug effects Collagen Ty&lt;/keyword&gt;&lt;/keywords&gt;&lt;dates&gt;&lt;year&gt;2006&lt;/year&gt;&lt;/dates&gt;&lt;isbn&gt;0937-941X (Print)&lt;/isbn&gt;&lt;accession-num&gt;16463007&lt;/accession-num&gt;&lt;urls&gt;&lt;/urls&gt;&lt;custom1&gt; PubMed. Monitoring - Bell related articles. &lt;/custom1&gt;&lt;custom4&gt;Full-text&lt;/custom4&gt;&lt;custom6&gt;Include&lt;/custom6&gt;&lt;electronic-resource-num&gt;10.1007/s00198-005-0037-2 [doi]&lt;/electronic-resource-num&gt;&lt;remote-database-provider&gt;Nlm&lt;/remote-database-provider&gt;&lt;language&gt;eng&lt;/language&gt;&lt;/record&gt;&lt;/Cite&gt;&lt;/EndNote&gt;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489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Alendronate (Fosamax)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Alendronate 5 mg/day + Calcium 1000 mg/day + Vitamin D 400 mg/day vs Placebo + Calcium 1000 mg/day + Vitamin D 400 mg/day: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Any adverse event: 68.1%(64/94) vs 72.5%(50/69)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Any serious adverse event: 12.8%(12/94) vs 17.4%(12/69)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Cardiovascular disease: 4.3%(4/94) vs 8.7%(6/69)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Dyspepsia: 18.1%(17/94) vs 14.5%(10/69)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Gastroenteritis: 1.1%(1/94) vs 2.9%(2/69)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Infection: 2.1%(2/94) vs 0.0%(0/69)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Malignancy: 0.0%(0/94) vs 1.4%(1/69)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New incident vertebral deformities: 9.6%(9/94) vs 2.9%(2/69)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Other: 11.7%(11/94) vs 17.4%(12/69)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Patients with upper GI effects: 17.0%(16/94) vs 17.4%(12/69)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Stomatitis: 1.1%(1/94) vs 1.4%(1/69)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Ulcer: 3.2%(3/94) vs 2.9%(2/69)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Upper GI symptoms: 2.1%(2/94) vs 1.4%(1/69)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Withdrawals: 16.0%(15/94) vs 24.6%(17/69)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 due to adverse events: 16.0%(15/94) vs 21.7%(15/69)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Papaioannou et al., 2008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ExcludeYear="1"&gt;&lt;RecNum&gt;8174&lt;/RecNum&gt;&lt;DisplayText&gt;&lt;style face="superscript"&gt;55&lt;/style&gt;&lt;/DisplayText&gt;&lt;record&gt;&lt;rec-number&gt;8174&lt;/rec-number&gt;&lt;foreign-keys&gt;&lt;key app="EN" db-id="29ezzfre25wfzbe5ttpvt0wkar525pde22z5"&gt;8174&lt;/key&gt;&lt;/foreign-keys&gt;&lt;ref-type name="Journal Article"&gt;17&lt;/ref-type&gt;&lt;contributors&gt;&lt;authors&gt;&lt;author&gt;Papaioannou, A. &lt;/author&gt;&lt;author&gt;Kennedy, C. C. &lt;/author&gt;&lt;author&gt;Freitag, A. &lt;/author&gt;&lt;author&gt;Ioannidis, G. &lt;/author&gt;&lt;author&gt;O&amp;apos;Neill, J. &lt;/author&gt;&lt;author&gt;Webber, C. &lt;/author&gt;&lt;author&gt;Pui, M. &lt;/author&gt;&lt;author&gt;Berthiaume, Y. &lt;/author&gt;&lt;author&gt;Rabin, H. R. &lt;/author&gt;&lt;author&gt;Paterson, N. &lt;/author&gt;&lt;author&gt;Jeanneret, A. &lt;/author&gt;&lt;author&gt;Matouk, E. &lt;/author&gt;&lt;author&gt;Villeneuve, J. &lt;/author&gt;&lt;author&gt;Nixon, M. &lt;/author&gt;&lt;author&gt;Adachi, J. D.&lt;/author&gt;&lt;/authors&gt;&lt;/contributors&gt;&lt;auth-address&gt;Department of Medicine, McMaster University, Hamilton Health Sciences, Chedoke Site, Building 74, 1200 Main St West, Hamilton, ON, Canada L8N 3Z5. papaioannou@hhsc.ca&lt;/auth-address&gt;&lt;titles&gt;&lt;title&gt;Alendronate once weekly for the prevention and treatment of bone loss in Canadian adult cystic fibrosis patients (CFOS trial)&lt;/title&gt;&lt;secondary-title&gt;Chest&lt;/secondary-title&gt;&lt;/titles&gt;&lt;periodical&gt;&lt;full-title&gt;Chest&lt;/full-title&gt;&lt;/periodical&gt;&lt;pages&gt;794-800&lt;/pages&gt;&lt;volume&gt;134&lt;/volume&gt;&lt;number&gt;4&lt;/number&gt;&lt;keywords&gt;&lt;keyword&gt;Journal Article Multicenter Study Randomized Controlled Trial Research Support, Non-U.S. Gov&amp;apos;t Administration, Oral Adult Alendronate/ administration &amp;amp; dosage Bone Density Bone Density Conservation Agents/ administration &amp;amp; dosage Canada Cohort Studies C&lt;/keyword&gt;&lt;/keywords&gt;&lt;dates&gt;&lt;year&gt;2008&lt;/year&gt;&lt;pub-dates&gt;&lt;date&gt;Oct&lt;/date&gt;&lt;/pub-dates&gt;&lt;/dates&gt;&lt;isbn&gt;0012-3692 (Print)&lt;/isbn&gt;&lt;accession-num&gt;18641106&lt;/accession-num&gt;&lt;urls&gt;&lt;/urls&gt;&lt;custom1&gt; PubMed. Specific bisphosphonates. &lt;/custom1&gt;&lt;custom2&gt;YW.AD.&lt;/custom2&gt;&lt;custom6&gt;Include&lt;/custom6&gt;&lt;language&gt;eng&lt;/language&gt;&lt;/record&gt;&lt;/Cite&gt;&lt;/EndNote&gt;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55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Alendronate (Fosamax)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Trial: CFOS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Alendronate 70 mg/week + Calcium 1000 mg + Vitamin D 800 IU vs Placebo 70 mg/week + Calcium 1000 mg + Vitamin D 800 IU: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Any adverse event: 55.6%(15/27) vs 65.5%(19/29)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Any serious adverse event: 25.9%(7/27) vs 10.3%(3/29)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Bronchial superinfection: 3.7%(1/27) vs 0.0%(0/29)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Constipation: 3.7%(1/27) vs 3.4%(1/29)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Difficulty swallowing: 3.7%(1/27) vs 0.0%(0/29)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Esophagitis: 3.7%(1/27) vs 0.0%(0/29)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Exacerbation of cystic fibrosis: 11.1%(3/27) vs 10.3%(3/29)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GI upset: 3.7%(1/27) vs 0.0%(0/29)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Hypoglycemic seizure: 3.7%(1/27) vs 0.0%(0/29)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Intestinal obstruction: 3.7%(1/27) vs 3.4%(1/29)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Nausea and/or vomiting: 11.1%(3/27) vs 13.8%(4/29)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Reflux: 3.7%(1/27) vs 0.0%(0/29)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Stomach pain/burn: 3.7%(1/27) vs 3.4%(1/29)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Withdrawals: 14.8%(4/27) vs 17.2%(5/29)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Yan et al., 2009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ExcludeYear="1"&gt;&lt;RecNum&gt;8475&lt;/RecNum&gt;&lt;DisplayText&gt;&lt;style face="superscript"&gt;490&lt;/style&gt;&lt;/DisplayText&gt;&lt;record&gt;&lt;rec-number&gt;8475&lt;/rec-number&gt;&lt;foreign-keys&gt;&lt;key app="EN" db-id="29ezzfre25wfzbe5ttpvt0wkar525pde22z5"&gt;8475&lt;/key&gt;&lt;/foreign-keys&gt;&lt;ref-type name="Journal Article"&gt;17&lt;/ref-type&gt;&lt;contributors&gt;&lt;authors&gt;&lt;author&gt;Yan, Y. &lt;/author&gt;&lt;author&gt;Wang, W. &lt;/author&gt;&lt;author&gt;Zhu, H. &lt;/author&gt;&lt;author&gt;Li, M. &lt;/author&gt;&lt;author&gt;Liu, J. &lt;/author&gt;&lt;author&gt;Luo, B. &lt;/author&gt;&lt;author&gt;Xie, H. &lt;/author&gt;&lt;author&gt;Zhang, G. &lt;/author&gt;&lt;author&gt;Li, F.&lt;/author&gt;&lt;/authors&gt;&lt;/contributors&gt;&lt;auth-address&gt;Department of Epidemiology and Biostatistics, School of Public Health and Family Medicine, Capital Medical University, 100069, Beijing, China. yanyxepi@ccmu.edu.cn&lt;/auth-address&gt;&lt;titles&gt;&lt;title&gt;The efficacy and tolerability of once-weekly alendronate 70 mg on bone mineral density and bone turnover markers in postmenopausal Chinese women with osteoporosis&lt;/title&gt;&lt;secondary-title&gt;J Bone Miner Metab&lt;/secondary-title&gt;&lt;/titles&gt;&lt;periodical&gt;&lt;full-title&gt;J Bone Miner Metab&lt;/full-title&gt;&lt;/periodical&gt;&lt;pages&gt;471-8&lt;/pages&gt;&lt;volume&gt;27&lt;/volume&gt;&lt;number&gt;4&lt;/number&gt;&lt;keywords&gt;&lt;keyword&gt;Journal Article Multicenter Study Randomized Controlled Trial Research Support, Non-U.S. Gov&amp;apos;t Aged Alendronate/ administration &amp;amp; dosage/adverse effects/pharmacology/ therapeutic use Alkaline Phosphatase/blood Bone Density/ drug effects Bone and Bones/ &lt;/keyword&gt;&lt;/keywords&gt;&lt;dates&gt;&lt;year&gt;2009&lt;/year&gt;&lt;/dates&gt;&lt;isbn&gt;0914-8779 (Print)&lt;/isbn&gt;&lt;accession-num&gt;19343272&lt;/accession-num&gt;&lt;urls&gt;&lt;/urls&gt;&lt;custom1&gt; PubMed. Specific bisphosphonates. &lt;/custom1&gt;&lt;custom2&gt;YW.CC.AD.&lt;/custom2&gt;&lt;custom5&gt; &lt;/custom5&gt;&lt;custom6&gt;Include&lt;/custom6&gt;&lt;language&gt;eng&lt;/language&gt;&lt;/record&gt;&lt;/Cite&gt;&lt;/EndNote&gt;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490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Alendronate (Fosamax)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Alendronate 70 mg/week + Calcium 500 mg/day + Vitamin D 200 IU/day vs Placebo week + Calcium 500 mg/day + Vitamin D 200 IU/day: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Any adverse event: 43.2%(121/280) vs 36.8%(103/280)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Abdominal distention: 2.5%(7/280) vs 0.7%(2/280)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Abdominal pain: 6.8%(19/280) vs 4.6%(13/280)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Acid regurgitation: 1.8%(5/280) vs 3.6%(10/280)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Dyspepsia: 1.1%(3/280) vs 2.9%(8/280)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Nausea: 4.3%(12/280) vs 2.9%(8/280)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Upper GI event: 16.8%(47/280) vs 15.4%(43/280)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Vomiting: 0.4%(1/280) vs 0.7%(2/280)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lastRenderedPageBreak/>
              <w:t>Bunch et al., 2009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ExcludeYear="1"&gt;&lt;RecNum&gt;7626&lt;/RecNum&gt;&lt;DisplayText&gt;&lt;style face="superscript"&gt;491&lt;/style&gt;&lt;/DisplayText&gt;&lt;record&gt;&lt;rec-number&gt;7626&lt;/rec-number&gt;&lt;foreign-keys&gt;&lt;key app="EN" db-id="29ezzfre25wfzbe5ttpvt0wkar525pde22z5"&gt;7626&lt;/key&gt;&lt;/foreign-keys&gt;&lt;ref-type name="Journal Article"&gt;17&lt;/ref-type&gt;&lt;contributors&gt;&lt;authors&gt;&lt;author&gt;Bunch, T. J. &lt;/author&gt;&lt;author&gt;Anderson, J. L. &lt;/author&gt;&lt;author&gt;May, H. T. &lt;/author&gt;&lt;author&gt;Muhlestein, J. B. &lt;/author&gt;&lt;author&gt;Horne, B. D. &lt;/author&gt;&lt;author&gt;Crandall, B. G. &lt;/author&gt;&lt;author&gt;Weiss, J. P. &lt;/author&gt;&lt;author&gt;Lappe, D. L. &lt;/author&gt;&lt;author&gt;Osborn, J. S. &lt;/author&gt;&lt;author&gt;Day, J. D.&lt;/author&gt;&lt;/authors&gt;&lt;/contributors&gt;&lt;auth-address&gt;Intermountain Heart Rhythm Specialists, Intermountain Medical Center, Murray, UT, USA. Thomas.Bunch@imail.org&lt;/auth-address&gt;&lt;titles&gt;&lt;title&gt;Relation of bisphosphonate therapies and risk of developing atrial fibrillation&lt;/title&gt;&lt;secondary-title&gt;Am J Cardiol&lt;/secondary-title&gt;&lt;/titles&gt;&lt;periodical&gt;&lt;full-title&gt;Am J Cardiol&lt;/full-title&gt;&lt;/periodical&gt;&lt;pages&gt;824-8&lt;/pages&gt;&lt;volume&gt;103&lt;/volume&gt;&lt;number&gt;6&lt;/number&gt;&lt;keywords&gt;&lt;keyword&gt;Journal Article Adult Aged Atrial Fibrillation/ chemically induced Bone Density Conservation Agents/ adverse effects Diphosphonates/ adverse effects Female Humans Male Middle Aged Osteoporosis/drug therapy Treatment Outcome&lt;/keyword&gt;&lt;/keywords&gt;&lt;dates&gt;&lt;year&gt;2009&lt;/year&gt;&lt;pub-dates&gt;&lt;date&gt;Mar 15&lt;/date&gt;&lt;/pub-dates&gt;&lt;/dates&gt;&lt;isbn&gt;1879-1913 (Electronic)&lt;/isbn&gt;&lt;accession-num&gt;19268739&lt;/accession-num&gt;&lt;urls&gt;&lt;/urls&gt;&lt;custom1&gt; PubMed. &amp;quot;Bisphosphonate&amp;quot;&lt;/custom1&gt;&lt;custom2&gt;YW.CC.AD.&lt;/custom2&gt;&lt;custom6&gt;Include&lt;/custom6&gt;&lt;language&gt;eng&lt;/language&gt;&lt;/record&gt;&lt;/Cite&gt;&lt;/EndNote&gt;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491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Bisphosphonates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Bisphosphonate (angiographic database) vs Bisphosphonate (health plan database) vs No bisphosphonate (angiographic database) vs No bisphosphonate (health plan database):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Atrial Fibrillation: 10.2%(10/98) vs 2.9%(220/7,489) vs 10.1%(964/9,525) vs 2.6%(792/29,996)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Death: 32.7%(32/98) vs 1.8%(134/7,489) vs 18.8%(1,791/9,525) vs 2.0%(606/29,996)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Myocardial infarction: 10.2%(10/98) vs 0.9%(68/7,489) vs 7.8%(739/9,525) vs 1.1%(343/29,996)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Cardwell et al., 2010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ExcludeYear="1"&gt;&lt;RecNum&gt;9665&lt;/RecNum&gt;&lt;DisplayText&gt;&lt;style face="superscript"&gt;363&lt;/style&gt;&lt;/DisplayText&gt;&lt;record&gt;&lt;rec-number&gt;9665&lt;/rec-number&gt;&lt;foreign-keys&gt;&lt;key app="EN" db-id="29ezzfre25wfzbe5ttpvt0wkar525pde22z5"&gt;9665&lt;/key&gt;&lt;/foreign-keys&gt;&lt;ref-type name="Journal Article"&gt;17&lt;/ref-type&gt;&lt;contributors&gt;&lt;authors&gt;&lt;author&gt;Cardwell, C. R. &lt;/author&gt;&lt;author&gt;Abnet, C. C. &lt;/author&gt;&lt;author&gt;Cantwell, M. M. &lt;/author&gt;&lt;author&gt;Murray, L. J.&lt;/author&gt;&lt;/authors&gt;&lt;/contributors&gt;&lt;auth-address&gt;Centre for Public Health, Queen&amp;apos;s University Belfast, Grosvenor Rd, Belfast BT12 6BJ, United Kingdom. c.cardwell@qub.ac.uk&lt;/auth-address&gt;&lt;titles&gt;&lt;title&gt;Exposure to oral bisphosphonates and risk of esophageal cancer&lt;/title&gt;&lt;secondary-title&gt;JAMA&lt;/secondary-title&gt;&lt;/titles&gt;&lt;periodical&gt;&lt;full-title&gt;JAMA&lt;/full-title&gt;&lt;/periodical&gt;&lt;pages&gt;657-63&lt;/pages&gt;&lt;volume&gt;304&lt;/volume&gt;&lt;number&gt;6&lt;/number&gt;&lt;edition&gt;2010/08/12&lt;/edition&gt;&lt;keywords&gt;&lt;keyword&gt;Administration, Oral Aged Aged, 80 and over Case-Control Studies Cohort Studies Databases, Factual Diphosphonates/administration &amp;amp; dosage/*adverse effects Esophageal Neoplasms/*epidemiology/etiology Female Great Britain/epidemiology Humans Incidence Mal&lt;/keyword&gt;&lt;/keywords&gt;&lt;dates&gt;&lt;year&gt;2010&lt;/year&gt;&lt;pub-dates&gt;&lt;date&gt;Aug 11&lt;/date&gt;&lt;/pub-dates&gt;&lt;/dates&gt;&lt;isbn&gt;1538-3598 (Electronic) 0098-7484 (Linking)&lt;/isbn&gt;&lt;accession-num&gt;20699457&lt;/accession-num&gt;&lt;urls&gt;&lt;related-urls&gt;&lt;url&gt;http://www.ncbi.nlm.nih.gov/entrez/query.fcgi?cmd=Retrieve&amp;amp;db=PubMed&amp;amp;dopt=Citation&amp;amp;list_uids=20699457&lt;/url&gt;&lt;/related-urls&gt;&lt;/urls&gt;&lt;custom6&gt;Include&lt;/custom6&gt;&lt;electronic-resource-num&gt;304/6/657 [pii] 10.1001/jama.2010.1098&lt;/electronic-resource-num&gt;&lt;language&gt;eng&lt;/language&gt;&lt;/record&gt;&lt;/Cite&gt;&lt;/EndNote&gt;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363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Bisphosphonates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Bisphosphonates vs Control: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Esophageal cancer: 0.2%(79/41,826) vs 0.2%(72/41,826)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Gastric cancer: 0.1%(37/41,826) vs 0.1%(43/41,826)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Cartsos et al., 2008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ExcludeYear="1"&gt;&lt;RecNum&gt;7642&lt;/RecNum&gt;&lt;DisplayText&gt;&lt;style face="superscript"&gt;492&lt;/style&gt;&lt;/DisplayText&gt;&lt;record&gt;&lt;rec-number&gt;7642&lt;/rec-number&gt;&lt;foreign-keys&gt;&lt;key app="EN" db-id="29ezzfre25wfzbe5ttpvt0wkar525pde22z5"&gt;7642&lt;/key&gt;&lt;/foreign-keys&gt;&lt;ref-type name="Journal Article"&gt;17&lt;/ref-type&gt;&lt;contributors&gt;&lt;authors&gt;&lt;author&gt;Cartsos, V. M. &lt;/author&gt;&lt;author&gt;Zhu, S. &lt;/author&gt;&lt;author&gt;Zavras, A. I.&lt;/author&gt;&lt;/authors&gt;&lt;/contributors&gt;&lt;auth-address&gt;Department of Orthodontics, Tufts University, Boston, USA.&lt;/auth-address&gt;&lt;titles&gt;&lt;title&gt;Bisphosphonate use and the risk of adverse jaw outcomes: a medical claims study of 714,217 people&lt;/title&gt;&lt;secondary-title&gt;J Am Dent Assoc&lt;/secondary-title&gt;&lt;/titles&gt;&lt;periodical&gt;&lt;full-title&gt;J Am Dent Assoc&lt;/full-title&gt;&lt;/periodical&gt;&lt;pages&gt;23-30&lt;/pages&gt;&lt;volume&gt;139&lt;/volume&gt;&lt;number&gt;1&lt;/number&gt;&lt;keywords&gt;&lt;keyword&gt;Journal Article Research Support, N.I.H., Extramural Bone Density Conservation Agents/administration &amp;amp; dosage/ adverse effects Confidence Intervals Diphosphonates/administration &amp;amp; dosage/ adverse effects Female Humans Insurance Claim Reporting/statistic&lt;/keyword&gt;&lt;/keywords&gt;&lt;dates&gt;&lt;year&gt;2008&lt;/year&gt;&lt;pub-dates&gt;&lt;date&gt;Jan&lt;/date&gt;&lt;/pub-dates&gt;&lt;/dates&gt;&lt;isbn&gt;0002-8177 (Print)&lt;/isbn&gt;&lt;accession-num&gt;18167381&lt;/accession-num&gt;&lt;urls&gt;&lt;/urls&gt;&lt;custom1&gt; PubMed. &amp;quot;Bisphosphonate&amp;quot;&lt;/custom1&gt;&lt;custom2&gt;YW.CC.AD.&lt;/custom2&gt;&lt;custom6&gt;Include&lt;/custom6&gt;&lt;language&gt;eng&lt;/language&gt;&lt;/record&gt;&lt;/Cite&gt;&lt;/EndNote&gt;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492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Bisphosphonates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Intravenous bisphosphonate: Cancer Group vs Intravenous bisphosphonate: Osteoporosis group vs No bisphosphonate: Cancer Group vs No bisphosphonate: Osteoporosis group vs Oral bisphosphonate: Cancer Group vs Oral bisphosphonate: Osteoporosis group: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Inflammatory necrosis of jaw: 0.5%(39/8,207) vs 0.5%(9/1,751) vs 0.1%(251/235,553) vs 0.1%(339/263,352) vs 0.1%(31/24,579) vs 0.1%(150/176,889)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Surgery: Cancer Process: 0.1%(6/8,533) vs 0.0%(0/1,853) vs 0.1%(161/235,553) vs 0.0%(105/263,352) vs 0.0%(11/25,025) vs 0.0%(58/179,827)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Surgery: Necrotic Process: 0.2%(20/8,533) vs 0.2%(4/1,853) vs 0.0%(81/235,553) vs 0.0%(73/263,352) vs 0.0%(7/25,025) vs 0.0%(43/179,827)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Green et al., 2010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ExcludeYear="1"&gt;&lt;RecNum&gt;9668&lt;/RecNum&gt;&lt;DisplayText&gt;&lt;style face="superscript"&gt;362&lt;/style&gt;&lt;/DisplayText&gt;&lt;record&gt;&lt;rec-number&gt;9668&lt;/rec-number&gt;&lt;foreign-keys&gt;&lt;key app="EN" db-id="29ezzfre25wfzbe5ttpvt0wkar525pde22z5"&gt;9668&lt;/key&gt;&lt;/foreign-keys&gt;&lt;ref-type name="Journal Article"&gt;17&lt;/ref-type&gt;&lt;contributors&gt;&lt;authors&gt;&lt;author&gt;Green, J. &lt;/author&gt;&lt;author&gt;Czanner, G. &lt;/author&gt;&lt;author&gt;Reeves, G. &lt;/author&gt;&lt;author&gt;Watson, J. &lt;/author&gt;&lt;author&gt;Wise, L. &lt;/author&gt;&lt;author&gt;Beral, V.&lt;/author&gt;&lt;/authors&gt;&lt;/contributors&gt;&lt;auth-address&gt;Cancer Epidemiology Unit, University of Oxford, Oxford OX3 7LF.&lt;/auth-address&gt;&lt;titles&gt;&lt;title&gt;Oral bisphosphonates and risk of cancer of oesophagus, stomach, and colorectum: case-control analysis within a UK primary care cohort&lt;/title&gt;&lt;secondary-title&gt;BMJ&lt;/secondary-title&gt;&lt;/titles&gt;&lt;periodical&gt;&lt;full-title&gt;BMJ&lt;/full-title&gt;&lt;/periodical&gt;&lt;pages&gt;c4444&lt;/pages&gt;&lt;volume&gt;341&lt;/volume&gt;&lt;edition&gt;2010/09/04&lt;/edition&gt;&lt;dates&gt;&lt;year&gt;2010&lt;/year&gt;&lt;/dates&gt;&lt;isbn&gt;1468-5833 (Electronic) 0959-535X (Linking)&lt;/isbn&gt;&lt;accession-num&gt;20813820&lt;/accession-num&gt;&lt;urls&gt;&lt;related-urls&gt;&lt;url&gt;http://www.ncbi.nlm.nih.gov/entrez/query.fcgi?cmd=Retrieve&amp;amp;db=PubMed&amp;amp;dopt=Citation&amp;amp;list_uids=20813820&lt;/url&gt;&lt;/related-urls&gt;&lt;/urls&gt;&lt;custom6&gt;Include&lt;/custom6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362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Bisphosphonates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Bisphosphonates vs Control: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Colorectal cancer: 15.1%(276/1,831) vs 16.8%(10365/61,832)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Esophageal cancer: 20.7%(90/435) vs 16.6%(2,864/17,240)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Stomach cancer: 15.4%(49/319) vs 16.8%(1,969/11,706)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McHorney et al., 2007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ExcludeYear="1"&gt;&lt;RecNum&gt;8084&lt;/RecNum&gt;&lt;DisplayText&gt;&lt;style face="superscript"&gt;298&lt;/style&gt;&lt;/DisplayText&gt;&lt;record&gt;&lt;rec-number&gt;8084&lt;/rec-number&gt;&lt;foreign-keys&gt;&lt;key app="EN" db-id="29ezzfre25wfzbe5ttpvt0wkar525pde22z5"&gt;8084&lt;/key&gt;&lt;/foreign-keys&gt;&lt;ref-type name="Journal Article"&gt;17&lt;/ref-type&gt;&lt;contributors&gt;&lt;authors&gt;&lt;author&gt;McHorney, C. A. &lt;/author&gt;&lt;author&gt;Schousboe, J. T. &lt;/author&gt;&lt;author&gt;Cline, R. R. &lt;/author&gt;&lt;author&gt;Weiss, T. W.&lt;/author&gt;&lt;/authors&gt;&lt;/contributors&gt;&lt;auth-address&gt;U.S. Outcomes Research, Merck &amp;amp; Co., Inc., West Point, PA 19486-0004, USA. colleen_mchorney@merck.com&lt;/auth-address&gt;&lt;titles&gt;&lt;title&gt;The impact of osteoporosis medication beliefs and side-effect experiences on non-adherence to oral bisphosphonates&lt;/title&gt;&lt;secondary-title&gt;Curr Med Res Opin&lt;/secondary-title&gt;&lt;/titles&gt;&lt;periodical&gt;&lt;full-title&gt;Curr Med Res Opin&lt;/full-title&gt;&lt;/periodical&gt;&lt;pages&gt;3137-52&lt;/pages&gt;&lt;volume&gt;23&lt;/volume&gt;&lt;number&gt;12&lt;/number&gt;&lt;keywords&gt;&lt;keyword&gt;Journal Article Research Support, Non-U.S. Gov&amp;apos;t Bone Density Conservation Agents/adverse effects/ therapeutic use Diphosphonates/adverse effects/ therapeutic use Female Humans Interviews as Topic Middle Aged Osteoporosis, Postmenopausal/ drug therapy P&lt;/keyword&gt;&lt;/keywords&gt;&lt;dates&gt;&lt;year&gt;2007&lt;/year&gt;&lt;pub-dates&gt;&lt;date&gt;Dec&lt;/date&gt;&lt;/pub-dates&gt;&lt;/dates&gt;&lt;isbn&gt;1473-4877 (Electronic)&lt;/isbn&gt;&lt;accession-num&gt;17988435&lt;/accession-num&gt;&lt;urls&gt;&lt;/urls&gt;&lt;custom1&gt; PubMed. &amp;quot;Bisphosphonate&amp;quot;&lt;/custom1&gt;&lt;custom2&gt;YW.AD.&lt;/custom2&gt;&lt;custom6&gt;Include&lt;/custom6&gt;&lt;language&gt;eng&lt;/language&gt;&lt;/record&gt;&lt;/Cite&gt;&lt;/EndNote&gt;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298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Bisphosphonates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Bisphosphonates: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Non-adherence: 44.6%(453/1,015)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Non-adherence due to adverse events: 6.6%(67/1,015)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Payer et al., 2009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ExcludeYear="1"&gt;&lt;RecNum&gt;9390&lt;/RecNum&gt;&lt;DisplayText&gt;&lt;style face="superscript"&gt;493&lt;/style&gt;&lt;/DisplayText&gt;&lt;record&gt;&lt;rec-number&gt;9390&lt;/rec-number&gt;&lt;foreign-keys&gt;&lt;key app="EN" db-id="29ezzfre25wfzbe5ttpvt0wkar525pde22z5"&gt;9390&lt;/key&gt;&lt;/foreign-keys&gt;&lt;ref-type name="Journal Article"&gt;17&lt;/ref-type&gt;&lt;contributors&gt;&lt;authors&gt;&lt;author&gt;Payer, J. &lt;/author&gt;&lt;author&gt;Cierny, D. &lt;/author&gt;&lt;author&gt;Killinger, Z. &lt;/author&gt;&lt;author&gt;Sulkova, I. &lt;/author&gt;&lt;author&gt;Behuliak, M. &lt;/author&gt;&lt;author&gt;Celec, P.&lt;/author&gt;&lt;/authors&gt;&lt;/contributors&gt;&lt;auth-address&gt;Fifth Department of Internal Medicine, Faculty Hospital, Comenius University, Bratislava, Slovakia.&lt;/auth-address&gt;&lt;titles&gt;&lt;title&gt;Preferences of patients with post-menopausal osteoporosis treated with bisphosphonates--the VIVA II study&lt;/title&gt;&lt;secondary-title&gt;J Int Med Res&lt;/secondary-title&gt;&lt;/titles&gt;&lt;periodical&gt;&lt;full-title&gt;J Int Med Res&lt;/full-title&gt;&lt;/periodical&gt;&lt;pages&gt;1225-9&lt;/pages&gt;&lt;volume&gt;37&lt;/volume&gt;&lt;number&gt;4&lt;/number&gt;&lt;edition&gt;2009/09/19&lt;/edition&gt;&lt;dates&gt;&lt;year&gt;2009&lt;/year&gt;&lt;pub-dates&gt;&lt;date&gt;Jul-Aug&lt;/date&gt;&lt;/pub-dates&gt;&lt;/dates&gt;&lt;isbn&gt;0300-0605 (Print)&lt;/isbn&gt;&lt;accession-num&gt;19761708&lt;/accession-num&gt;&lt;urls&gt;&lt;/urls&gt;&lt;custom1&gt; PubMed. Compliance2. &lt;/custom1&gt;&lt;custom2&gt;SN.&lt;/custom2&gt;&lt;custom6&gt;Include&lt;/custom6&gt;&lt;remote-database-provider&gt;Nlm&lt;/remote-database-provider&gt;&lt;language&gt;eng&lt;/language&gt;&lt;/record&gt;&lt;/Cite&gt;&lt;/EndNote&gt;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493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Bisphosphonates, None of the interventions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Bisphosphonates: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GI and muscular AE: 33.0%(672/2,035)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Gastrointestinal symptoms: 28.0%(570/2,035)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Muscular side effects: 32.0%(651/2,035)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Symptoms of Reflux: 37.0%(753/2,035)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 due to adverse events: 0.0%(0/2,035)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lastRenderedPageBreak/>
              <w:t>Eisman et al., 2008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ExcludeYear="1"&gt;&lt;RecNum&gt;7762&lt;/RecNum&gt;&lt;DisplayText&gt;&lt;style face="superscript"&gt;494&lt;/style&gt;&lt;/DisplayText&gt;&lt;record&gt;&lt;rec-number&gt;7762&lt;/rec-number&gt;&lt;foreign-keys&gt;&lt;key app="EN" db-id="29ezzfre25wfzbe5ttpvt0wkar525pde22z5"&gt;7762&lt;/key&gt;&lt;/foreign-keys&gt;&lt;ref-type name="Journal Article"&gt;17&lt;/ref-type&gt;&lt;contributors&gt;&lt;authors&gt;&lt;author&gt;Eisman, J. A. &lt;/author&gt;&lt;author&gt;Civitelli, R. &lt;/author&gt;&lt;author&gt;Adami, S. &lt;/author&gt;&lt;author&gt;Czerwinski, E. &lt;/author&gt;&lt;author&gt;Recknor, C. &lt;/author&gt;&lt;author&gt;Prince, R. &lt;/author&gt;&lt;author&gt;Reginster, J. Y. &lt;/author&gt;&lt;author&gt;Zaidi, M. &lt;/author&gt;&lt;author&gt;Felsenberg, D. &lt;/author&gt;&lt;author&gt;Hughes, C. &lt;/author&gt;&lt;author&gt;Mairon, N. &lt;/author&gt;&lt;author&gt;Masanauskaite, D. &lt;/author&gt;&lt;author&gt;Reid, D. M. &lt;/author&gt;&lt;author&gt;Delmas, P. D. &lt;/author&gt;&lt;author&gt;Recker, R. R.&lt;/author&gt;&lt;/authors&gt;&lt;/contributors&gt;&lt;auth-address&gt;Garvan Institute of Medical Research, St. Vincent&amp;apos;s Campus and University of New South Wales, Sydney, Australia. j.eisman@garvan.org.au&lt;/auth-address&gt;&lt;titles&gt;&lt;title&gt;Efficacy and tolerability of intravenous ibandronate injections in postmenopausal osteoporosis: 2-year results from the DIVA study&lt;/title&gt;&lt;secondary-title&gt;J Rheumatol&lt;/secondary-title&gt;&lt;/titles&gt;&lt;periodical&gt;&lt;full-title&gt;J Rheumatol&lt;/full-title&gt;&lt;/periodical&gt;&lt;pages&gt;488-97&lt;/pages&gt;&lt;volume&gt;35&lt;/volume&gt;&lt;number&gt;3&lt;/number&gt;&lt;keywords&gt;&lt;keyword&gt;Journal Article Multicenter Study Randomized Controlled Trial Research Support, Non-U.S. Gov&amp;apos;t Administration, Oral Aged Bone Density/ drug effects Bone Density Conservation Agents/ administration &amp;amp; dosage/adverse effects Diphosphonates/ administration &lt;/keyword&gt;&lt;/keywords&gt;&lt;dates&gt;&lt;year&gt;2008&lt;/year&gt;&lt;pub-dates&gt;&lt;date&gt;Mar&lt;/date&gt;&lt;/pub-dates&gt;&lt;/dates&gt;&lt;isbn&gt;0315-162X (Print)&lt;/isbn&gt;&lt;accession-num&gt;18260172&lt;/accession-num&gt;&lt;urls&gt;&lt;/urls&gt;&lt;custom1&gt; PubMed. Specific bisphosphonates. &lt;/custom1&gt;&lt;custom2&gt;YW.CC.AD.&lt;/custom2&gt;&lt;custom6&gt;Include&lt;/custom6&gt;&lt;language&gt;eng&lt;/language&gt;&lt;/record&gt;&lt;/Cite&gt;&lt;/EndNote&gt;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494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Ibandronate (Boniva)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Trial: DIVA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Intravenous ibandronate 2 mg every 2mo plus oral placebo + Calcium 500 mg + Vitamin D 400 IU vs Intravenous ibandronate 3 mg every 3mo plus oral placebo + Calcium 500 mg + Vitamin D 400 IU vs Intravenous placebo plus 2.5 mg daily oral ibandronate + Calcium 500 mg + Vitamin D 400 IU: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Any adverse event: 88.6%(397/448) vs 85.3%(400/469) vs 87.7%(408/465)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Anemia: 0.2%(1/448) vs 0.0%(0/469) vs 0.0%(0/465)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Any serious adverse event: 16.3%(73/448) vs 13.2%(62/469) vs 14.4%(67/465)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 due to acute pancreatitis: 0.2%(1/448) vs 0.0%(0/469) vs 0.0%(0/465)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 due to gallbladder cancer: 0.0%(0/448) vs 0.0%(0/469) vs 0.2%(1/465)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 due to myocardial infarction: 0.2%(1/448) vs 0.4%(2/469) vs 0.0%(0/465)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 due to pulmonary edema: 0.0%(0/448) vs 0.0%(0/469) vs 0.2%(1/465)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 due to pulmonary embolism: 0.2%(1/448) vs 0.0%(0/469) vs 0.0%(0/465)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 due to ventricular arrhythmia and aortic dissection: 0.0%(0/448) vs 0.0%(0/469) vs 0.2%(1/465)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Drug hypersensitivity: 0.0%(0/448) vs 0.2%(1/469) vs 0.0%(0/465)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Esophageal ulcer: 0.0%(0/448) vs 0.2%(1/469) vs 0.0%(0/465)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Gastric ulcer: 0.2%(1/448) vs 0.0%(0/469) vs 0.0%(0/465)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Gastritis: 0.0%(0/448) vs 0.4%(2/469) vs 0.0%(0/465)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Gastrointestinal ulcer: 0.2%(1/448) vs 0.0%(0/469) vs 0.0%(0/465)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General flu-like symptoms: 1.6%(7/448) vs 4.5%(21/469) vs 18.9%(88/465)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Increased hepatic enzyme: 0.2%(1/448) vs 0.0%(0/469) vs 0.0%(0/465)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Influenza-like illness / acute-phase reaction: 5.6%(25/448) vs 4.9%(23/469) vs 1.5%(7/465)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Melena: 0.0%(0/448) vs 0.2%(1/469) vs 0.0%(0/465)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Myocardial infarction: 0.0%(0/448) vs 0.4%(2/469) vs 0.0%(0/465)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Osteonecrosis of jaw: 0.0%(0/448) vs 0.0%(0/469) vs 0.0%(0/465)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Polymyalgia rheumatica: 0.2%(1/448) vs 0.0%(0/469) vs 0.0%(0/465)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Renal adverse event: 4.5%(20/448) vs 3.2%(15/469) vs 3.9%(18/465)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Temporal arteritis: 0.0%(0/448) vs 0.2%(1/469) vs 0.0%(0/465)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Withdrawals: 19.4%(87/448) vs 20.7%(97/469) vs 17.4%(81/465)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Lewiecki et al., 2010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ExcludeYear="1"&gt;&lt;RecNum&gt;9655&lt;/RecNum&gt;&lt;DisplayText&gt;&lt;style face="superscript"&gt;354&lt;/style&gt;&lt;/DisplayText&gt;&lt;record&gt;&lt;rec-number&gt;9655&lt;/rec-number&gt;&lt;foreign-keys&gt;&lt;key app="EN" db-id="29ezzfre25wfzbe5ttpvt0wkar525pde22z5"&gt;9655&lt;/key&gt;&lt;/foreign-keys&gt;&lt;ref-type name="Journal Article"&gt;17&lt;/ref-type&gt;&lt;contributors&gt;&lt;authors&gt;&lt;author&gt;Lewiecki, E. M. &lt;/author&gt;&lt;author&gt;Cooper, C. &lt;/author&gt;&lt;author&gt;Thompson, E. &lt;/author&gt;&lt;author&gt;Hartl, F. &lt;/author&gt;&lt;author&gt;Mehta, D. &lt;/author&gt;&lt;author&gt;Papapoulos, S. E.&lt;/author&gt;&lt;/authors&gt;&lt;/contributors&gt;&lt;auth-address&gt;New Mexico Clinical Research &amp;amp; Osteoporosis Center, Albuquerque, NM, USA.&lt;/auth-address&gt;&lt;titles&gt;&lt;title&gt;Ibandronate does not increase risk of atrial fibrillation in analysis of pivotal clinical trials&lt;/title&gt;&lt;secondary-title&gt;Int J Clin Pract&lt;/secondary-title&gt;&lt;/titles&gt;&lt;periodical&gt;&lt;full-title&gt;Int J Clin Pract&lt;/full-title&gt;&lt;/periodical&gt;&lt;pages&gt;821-6&lt;/pages&gt;&lt;volume&gt;64&lt;/volume&gt;&lt;number&gt;6&lt;/number&gt;&lt;edition&gt;2010/03/27&lt;/edition&gt;&lt;dates&gt;&lt;year&gt;2010&lt;/year&gt;&lt;pub-dates&gt;&lt;date&gt;May&lt;/date&gt;&lt;/pub-dates&gt;&lt;/dates&gt;&lt;isbn&gt;1742-1241 (Electronic) 1368-5031 (Linking)&lt;/isbn&gt;&lt;accession-num&gt;20337751&lt;/accession-num&gt;&lt;urls&gt;&lt;related-urls&gt;&lt;url&gt;http://www.ncbi.nlm.nih.gov/entrez/query.fcgi?cmd=Retrieve&amp;amp;db=PubMed&amp;amp;dopt=Citation&amp;amp;list_uids=20337751&lt;/url&gt;&lt;/related-urls&gt;&lt;/urls&gt;&lt;custom6&gt;Include&lt;/custom6&gt;&lt;electronic-resource-num&gt;IJCP2335 [pii] 10.1111/j.1742-1241.2010.02335.x&lt;/electronic-resource-num&gt;&lt;language&gt;eng&lt;/language&gt;&lt;/record&gt;&lt;/Cite&gt;&lt;/EndNote&gt;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354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Ibandronate (Boniva)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 xml:space="preserve">Trial: BONE, </w:t>
            </w:r>
            <w:smartTag w:uri="urn:schemas-microsoft-com:office:smarttags" w:element="place">
              <w:smartTag w:uri="urn:schemas-microsoft-com:office:smarttags" w:element="City">
                <w:r>
                  <w:rPr>
                    <w:rFonts w:cs="Times"/>
                    <w:color w:val="000000"/>
                    <w:sz w:val="18"/>
                    <w:szCs w:val="18"/>
                  </w:rPr>
                  <w:t>MOBILE</w:t>
                </w:r>
              </w:smartTag>
            </w:smartTag>
            <w:r>
              <w:rPr>
                <w:rFonts w:cs="Times"/>
                <w:color w:val="000000"/>
                <w:sz w:val="18"/>
                <w:szCs w:val="18"/>
              </w:rPr>
              <w:t>, DIVA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Ibandronate vs Placebo: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Non-serious atrial fibrillation: 0.4%(29/6,830) vs 0.5%(10/1,924)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Serious atrial fibrillation: 0.4%(28/6,830) vs 0.4%(8/1,924)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lastRenderedPageBreak/>
              <w:t>McClung et al., 2009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ExcludeYear="1"&gt;&lt;RecNum&gt;8081&lt;/RecNum&gt;&lt;DisplayText&gt;&lt;style face="superscript"&gt;495&lt;/style&gt;&lt;/DisplayText&gt;&lt;record&gt;&lt;rec-number&gt;8081&lt;/rec-number&gt;&lt;foreign-keys&gt;&lt;key app="EN" db-id="29ezzfre25wfzbe5ttpvt0wkar525pde22z5"&gt;8081&lt;/key&gt;&lt;/foreign-keys&gt;&lt;ref-type name="Journal Article"&gt;17&lt;/ref-type&gt;&lt;contributors&gt;&lt;authors&gt;&lt;author&gt;McClung, M. R. &lt;/author&gt;&lt;author&gt;Bolognese, M. A. &lt;/author&gt;&lt;author&gt;Sedarati, F. &lt;/author&gt;&lt;author&gt;Recker, R. R. &lt;/author&gt;&lt;author&gt;Miller, P. D.&lt;/author&gt;&lt;/authors&gt;&lt;/contributors&gt;&lt;auth-address&gt;Oregon Osteoporosis Center, Portland, OR 97213, USA. mmcclung@orost.com&lt;/auth-address&gt;&lt;titles&gt;&lt;title&gt;Efficacy and safety of monthly oral ibandronate in the prevention of postmenopausal bone loss&lt;/title&gt;&lt;secondary-title&gt;Bone&lt;/secondary-title&gt;&lt;/titles&gt;&lt;periodical&gt;&lt;full-title&gt;Bone&lt;/full-title&gt;&lt;/periodical&gt;&lt;pages&gt;418-22&lt;/pages&gt;&lt;volume&gt;44&lt;/volume&gt;&lt;number&gt;3&lt;/number&gt;&lt;keywords&gt;&lt;keyword&gt;Journal Article Randomized Controlled Trial Research Support, Non-U.S. Gov&amp;apos;t Administration, Oral Bone Density Bone Density Conservation Agents/ therapeutic use Diphosphonates/ therapeutic use Double-Blind Method Drug Administration Schedule Female Huma&lt;/keyword&gt;&lt;/keywords&gt;&lt;dates&gt;&lt;year&gt;2009&lt;/year&gt;&lt;pub-dates&gt;&lt;date&gt;Mar&lt;/date&gt;&lt;/pub-dates&gt;&lt;/dates&gt;&lt;isbn&gt;1873-2763 (Electronic)&lt;/isbn&gt;&lt;accession-num&gt;18950736&lt;/accession-num&gt;&lt;urls&gt;&lt;/urls&gt;&lt;custom1&gt; PubMed. Specific bisphosphonates. &lt;/custom1&gt;&lt;custom2&gt;YW.CC.AD.&lt;/custom2&gt;&lt;custom6&gt;Include&lt;/custom6&gt;&lt;language&gt;eng&lt;/language&gt;&lt;/record&gt;&lt;/Cite&gt;&lt;/EndNote&gt;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495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Ibandronate (Boniva)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Ibandronate 150 mg monthly + Calcium 500 mg/day + Vitamin D 400 IU/day vs Placebo + 150 mg monthly + Calcium 500 mg/day + Vitamin D 400 IU/day: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Any adverse event: 77.9%(60/77) vs 77.1%(64/83)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Any serious adverse event: 3.9%(3/77) vs 1.2%(1/83)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Arthralgia: 15.6%(12/77) vs 9.6%(8/83)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Bacterial infection: 1.3%(1/77) vs 1.2%(1/83)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Chest pain: 1.3%(1/77) vs 0.0%(0/83)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Death: 0.0%(0/77) vs 0.0%(0/83)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Dyspepsia: 5.2%(4/77) vs 4.8%(4/83)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GI disorder: 31.2%(24/77) vs 24.1%(20/83)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Gastroesophageal reflux disease: 5.2%(4/77) vs 3.6%(3/83)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Influenza-like illness: 5.2%(4/77) vs 0.0%(0/83)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Life-threatening adverse event: 0.0%(0/77) vs 0.0%(0/83)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Myalgia: 6.5%(5/77) vs 2.4%(2/83)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Nausea: 6.5%(5/77) vs 3.6%(3/83)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Orwoll et al., 2010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ExcludeYear="1"&gt;&lt;RecNum&gt;9656&lt;/RecNum&gt;&lt;DisplayText&gt;&lt;style face="superscript"&gt;411&lt;/style&gt;&lt;/DisplayText&gt;&lt;record&gt;&lt;rec-number&gt;9656&lt;/rec-number&gt;&lt;foreign-keys&gt;&lt;key app="EN" db-id="29ezzfre25wfzbe5ttpvt0wkar525pde22z5"&gt;9656&lt;/key&gt;&lt;/foreign-keys&gt;&lt;ref-type name="Journal Article"&gt;17&lt;/ref-type&gt;&lt;contributors&gt;&lt;authors&gt;&lt;author&gt;Orwoll, E. S. &lt;/author&gt;&lt;author&gt;Binkley, N. C. &lt;/author&gt;&lt;author&gt;Lewiecki, E. M. &lt;/author&gt;&lt;author&gt;Gruntmanis, U. &lt;/author&gt;&lt;author&gt;Fries, M. A. &lt;/author&gt;&lt;author&gt;Dasic, G.&lt;/author&gt;&lt;/authors&gt;&lt;/contributors&gt;&lt;auth-address&gt;Oregon Health and Science University, Bone and Mineral Unit, Portland, OR 97239, USA.&lt;/auth-address&gt;&lt;titles&gt;&lt;title&gt;Efficacy and safety of monthly ibandronate in men with low bone density&lt;/title&gt;&lt;secondary-title&gt;Bone&lt;/secondary-title&gt;&lt;/titles&gt;&lt;periodical&gt;&lt;full-title&gt;Bone&lt;/full-title&gt;&lt;/periodical&gt;&lt;pages&gt;970-6&lt;/pages&gt;&lt;volume&gt;46&lt;/volume&gt;&lt;number&gt;4&lt;/number&gt;&lt;edition&gt;2010/01/12&lt;/edition&gt;&lt;dates&gt;&lt;year&gt;2010&lt;/year&gt;&lt;pub-dates&gt;&lt;date&gt;Apr&lt;/date&gt;&lt;/pub-dates&gt;&lt;/dates&gt;&lt;isbn&gt;1873-2763 (Electronic) 1873-2763 (Linking)&lt;/isbn&gt;&lt;accession-num&gt;20060082&lt;/accession-num&gt;&lt;urls&gt;&lt;related-urls&gt;&lt;url&gt;http://www.ncbi.nlm.nih.gov/entrez/query.fcgi?cmd=Retrieve&amp;amp;db=PubMed&amp;amp;dopt=Citation&amp;amp;list_uids=20060082&lt;/url&gt;&lt;/related-urls&gt;&lt;/urls&gt;&lt;custom6&gt;Include&lt;/custom6&gt;&lt;electronic-resource-num&gt;S8756-3282(09)02137-1 [pii] 10.1016/j.bone.2009.12.034&lt;/electronic-resource-num&gt;&lt;language&gt;eng&lt;/language&gt;&lt;/record&gt;&lt;/Cite&gt;&lt;/EndNote&gt;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411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Ibandronate (Boniva)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Trial: STRONG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Ibandronate vs Placebo: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Any AE: 52.9%(46/87) vs 41.7%(20/48)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Acute phase reaction: 3.4%(3/87) vs 4.2%(2/48)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Any serious AE not leading to death: 6.9%(6/87) vs 8.3%(4/48)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Arthralgia: 5.7%(5/87) vs 10.4%(5/48)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Back pain: 4.6%(4/87) vs 6.3%(3/48)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Constipation: 2.3%(2/87) vs 4.2%(2/48)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Deaths: 1.1%(1/87) vs 4.2%(2/48)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Drug-related AE: abdominal pain: 3.4%(3/87) vs 0.0%(0/48)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Nasopharyngitis: 8.0%(7/87) vs 0.0%(0/48)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Nausea: 4.6%(4/87) vs 0.0%(0/48)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New morphometric vertebral fractures: 1.1%(1/87) vs 4.2%(2/48)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Pain in extremity: 2.3%(2/87) vs 4.2%(2/48)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Upper respiratory tract infection: 3.4%(3/87) vs 2.1%(1/48)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Withdrawals: due to AE: 4.6%(4/87) vs 6.3%(3/48)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Stakkestad et al., 2008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ExcludeYear="1"&gt;&lt;RecNum&gt;8374&lt;/RecNum&gt;&lt;DisplayText&gt;&lt;style face="superscript"&gt;496&lt;/style&gt;&lt;/DisplayText&gt;&lt;record&gt;&lt;rec-number&gt;8374&lt;/rec-number&gt;&lt;foreign-keys&gt;&lt;key app="EN" db-id="29ezzfre25wfzbe5ttpvt0wkar525pde22z5"&gt;8374&lt;/key&gt;&lt;/foreign-keys&gt;&lt;ref-type name="Journal Article"&gt;17&lt;/ref-type&gt;&lt;contributors&gt;&lt;authors&gt;&lt;author&gt;Stakkestad, J. A. &lt;/author&gt;&lt;author&gt;Lakatos, P.&lt;/author&gt;&lt;author&gt; Lorenc, R. &lt;/author&gt;&lt;author&gt;Sedarati, F. &lt;/author&gt;&lt;author&gt;Neate, C. &lt;/author&gt;&lt;author&gt;Reginster, J. Y.&lt;/author&gt;&lt;/authors&gt;&lt;/contributors&gt;&lt;auth-address&gt;CECOR AS, Nygardsvegen 6, P.O. Box 1364 Gard, 5507, Haugesund, Norway. jas@cecor.no&lt;/auth-address&gt;&lt;titles&gt;&lt;title&gt;Monthly oral ibandronate is effective and well tolerated after 3 years: the MOBILE long-term extension&lt;/title&gt;&lt;secondary-title&gt;Clin Rheumatol&lt;/secondary-title&gt;&lt;/titles&gt;&lt;periodical&gt;&lt;full-title&gt;Clin Rheumatol&lt;/full-title&gt;&lt;/periodical&gt;&lt;pages&gt;955-60&lt;/pages&gt;&lt;volume&gt;27&lt;/volume&gt;&lt;number&gt;8&lt;/number&gt;&lt;keywords&gt;&lt;keyword&gt;Journal Article Randomized Controlled Trial Research Support, Non-U.S. Gov&amp;apos;t Administration, Oral Aged Bone Density Bone Density Conservation Agents/ administration &amp;amp; dosage/adverse effects Diphosphonates/ administration &amp;amp; dosage/adverse effects Double-&lt;/keyword&gt;&lt;/keywords&gt;&lt;dates&gt;&lt;year&gt;2008&lt;/year&gt;&lt;pub-dates&gt;&lt;date&gt;Aug&lt;/date&gt;&lt;/pub-dates&gt;&lt;/dates&gt;&lt;isbn&gt;0770-3198 (Print)&lt;/isbn&gt;&lt;accession-num&gt;18180976&lt;/accession-num&gt;&lt;urls&gt;&lt;/urls&gt;&lt;custom1&gt; PubMed. Specific bisphosphonates. &lt;/custom1&gt;&lt;custom2&gt;YW.CC.AD.&lt;/custom2&gt;&lt;custom6&gt;Include&lt;/custom6&gt;&lt;language&gt;eng&lt;/language&gt;&lt;/record&gt;&lt;/Cite&gt;&lt;/EndNote&gt;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496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Ibandronate (Boniva)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 xml:space="preserve">Trial: </w:t>
            </w:r>
            <w:smartTag w:uri="urn:schemas-microsoft-com:office:smarttags" w:element="place">
              <w:smartTag w:uri="urn:schemas-microsoft-com:office:smarttags" w:element="City">
                <w:r>
                  <w:rPr>
                    <w:rFonts w:cs="Times"/>
                    <w:color w:val="000000"/>
                    <w:sz w:val="18"/>
                    <w:szCs w:val="18"/>
                  </w:rPr>
                  <w:t>MOBILE</w:t>
                </w:r>
              </w:smartTag>
            </w:smartTag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Oral ibandronate 100 mg/month + Calcium 500-1500 mg/day + Vitamin D 400 IU vs Oral ibandronate 150 mg/month + Calcium 500-1500 mg/day + Vitamin D 400 IU: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Any adverse event: 56.0%(201/359) vs 53.1%(191/360)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Chest pain: 0.0%(0/359) vs 0.3%(1/360)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 from Pancreatic cancer: 0.0%(0/359) vs 0.3%(1/360)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Serious AE: 7.8%(28/359) vs 7.5%(27/360)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Serious upper GI event: 0.0%(0/359) vs 0.0%(0/360)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Upper GI event: 4.5%(16/359) vs 6.9%(25/360)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lastRenderedPageBreak/>
              <w:t>Adami et al., 2005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ExcludeYear="1"&gt;&lt;RecNum&gt;9545&lt;/RecNum&gt;&lt;DisplayText&gt;&lt;style face="superscript"&gt;497&lt;/style&gt;&lt;/DisplayText&gt;&lt;record&gt;&lt;rec-number&gt;9545&lt;/rec-number&gt;&lt;foreign-keys&gt;&lt;key app="EN" db-id="29ezzfre25wfzbe5ttpvt0wkar525pde22z5"&gt;9545&lt;/key&gt;&lt;/foreign-keys&gt;&lt;ref-type name="Journal Article"&gt;17&lt;/ref-type&gt;&lt;contributors&gt;&lt;authors&gt;&lt;author&gt;Adami, S. &lt;/author&gt;&lt;author&gt;Pavelka, K. &lt;/author&gt;&lt;author&gt;Cline, G. A. &lt;/author&gt;&lt;author&gt;Hosterman, M. A. &lt;/author&gt;&lt;author&gt;Barton, I. P. &lt;/author&gt;&lt;author&gt;Cohen, S. B. &lt;/author&gt;&lt;author&gt;Bensen, W. G.&lt;/author&gt;&lt;/authors&gt;&lt;/contributors&gt;&lt;auth-address&gt;Rheumatologic Rehabilitation Unit, University of Verona, Via Santa Maria Crocifissa di Rosa, 37067 Valeggio sul Mincio VR, Italy. silvano.adami@univr.it&lt;/auth-address&gt;&lt;titles&gt;&lt;title&gt;Upper gastrointestinal tract safety of daily oral risedronate in patients taking NSAIDs: a randomized, double-blind, placebo-controlled trial&lt;/title&gt;&lt;secondary-title&gt;Mayo Clin Proc&lt;/secondary-title&gt;&lt;/titles&gt;&lt;periodical&gt;&lt;full-title&gt;Mayo Clin Proc&lt;/full-title&gt;&lt;/periodical&gt;&lt;pages&gt;1278-85&lt;/pages&gt;&lt;volume&gt;80&lt;/volume&gt;&lt;number&gt;10&lt;/number&gt;&lt;edition&gt;2005/10/11&lt;/edition&gt;&lt;keywords&gt;&lt;keyword&gt;Adult Aged Aged, 80 and over Anti-Inflammatory Agents, Non-Steroidal/therapeutic use Calcium Channel Blockers/*administration &amp;amp; dosage/*adverse effects Double-Blind Method Endoscopy, Gastrointestinal Etidronic Acid/administration &amp;amp; dosage/adverse effect&lt;/keyword&gt;&lt;/keywords&gt;&lt;dates&gt;&lt;year&gt;2005&lt;/year&gt;&lt;pub-dates&gt;&lt;date&gt;Oct&lt;/date&gt;&lt;/pub-dates&gt;&lt;/dates&gt;&lt;isbn&gt;0025-6196 (Print) 0025-6196 (Linking)&lt;/isbn&gt;&lt;accession-num&gt;16212139&lt;/accession-num&gt;&lt;urls&gt;&lt;related-urls&gt;&lt;url&gt;http://www.ncbi.nlm.nih.gov/entrez/query.fcgi?cmd=Retrieve&amp;amp;db=PubMed&amp;amp;dopt=Citation&amp;amp;list_uids=16212139&lt;/url&gt;&lt;/related-urls&gt;&lt;/urls&gt;&lt;custom6&gt;Include&lt;/custom6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497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Risedronate (Actonel)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Risedronate 15 mg/day vs Risedronate 5 mg/day vs Placebo: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Abdominal pain: 8.0%(49/609) vs 9.1%(57/628) vs 7.2%(45/622)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Duodenal ulcer: 0.7%(4/609) vs 0.0%(0/628) vs 0.3%(2/622)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Duodenitis: 0.5%(3/609) vs 0.6%(4/628) vs 0.2%(1/622)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Dyspepsia: 5.1%(31/609) vs 6.2%(39/628) vs 5.8%(36/622)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Dysphagia: 0.5%(3/609) vs 0.6%(4/628) vs 0.6%(4/622)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Esophageal ulcer: 0.0%(0/609) vs 0.2%(1/628) vs 0.0%(0/622)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Esophagitis: 0.8%(5/609) vs 0.5%(3/628) vs 0.6%(4/622)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GI disorder: 2.8%(17/609) vs 3.8%(24/628) vs 3.5%(22/622)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GI hemorrhage: 0.2%(1/609) vs 0.0%(0/628) vs 1.0%(6/622)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Gastritis: 1.5%(9/609) vs 2.1%(13/628) vs 2.1%(13/622)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Hematemesis: 0.0%(0/609) vs 0.6%(4/628) vs 0.0%(0/622)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Melena: 0.2%(1/609) vs 0.0%(0/628) vs 0.2%(1/622)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Peptic ulcer: 0.0%(0/609) vs 0.2%(1/628) vs 0.0%(0/622)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Stomach ulcer: 0.7%(4/609) vs 0.3%(2/628) vs 0.3%(2/622)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Substernal chest pain: 0.2%(1/609) vs 0.3%(2/628) vs 0.3%(2/622)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lastRenderedPageBreak/>
              <w:t>Barrera et al., 2005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ExcludeYear="1"&gt;&lt;RecNum&gt;7538&lt;/RecNum&gt;&lt;DisplayText&gt;&lt;style face="superscript"&gt;498&lt;/style&gt;&lt;/DisplayText&gt;&lt;record&gt;&lt;rec-number&gt;7538&lt;/rec-number&gt;&lt;foreign-keys&gt;&lt;key app="EN" db-id="29ezzfre25wfzbe5ttpvt0wkar525pde22z5"&gt;7538&lt;/key&gt;&lt;/foreign-keys&gt;&lt;ref-type name="Journal Article"&gt;17&lt;/ref-type&gt;&lt;contributors&gt;&lt;authors&gt;&lt;author&gt;Barrera, B. A. &lt;/author&gt;&lt;author&gt;Wilton, L. &lt;/author&gt;&lt;author&gt;Harris, S. &lt;/author&gt;&lt;author&gt;Shakir, S. A.&lt;/author&gt;&lt;/authors&gt;&lt;/contributors&gt;&lt;auth-address&gt;Drug Safety Research Unit, Bursledon Hall, Blundell Lane, Southampton, UK.&lt;/auth-address&gt;&lt;titles&gt;&lt;title&gt;Prescription-event monitoring study on 13,164 patients prescribed risedronate in primary care in England&lt;/title&gt;&lt;secondary-title&gt;Osteoporos Int&lt;/secondary-title&gt;&lt;/titles&gt;&lt;periodical&gt;&lt;full-title&gt;Osteoporos Int&lt;/full-title&gt;&lt;/periodical&gt;&lt;pages&gt;1989-98&lt;/pages&gt;&lt;volume&gt;16&lt;/volume&gt;&lt;number&gt;12&lt;/number&gt;&lt;keywords&gt;&lt;keyword&gt;Journal Article Research Support, Non-U.S. Gov&amp;apos;t Adverse Drug Reaction Reporting Systems Aged Aged, 80 and over Bone Density Conservation Agents/ adverse effects Bone Diseases/epidemiology/ prevention &amp;amp; control Cause of Death Cohort Studies Dyspepsia/ch&lt;/keyword&gt;&lt;/keywords&gt;&lt;dates&gt;&lt;year&gt;2005&lt;/year&gt;&lt;pub-dates&gt;&lt;date&gt;Dec&lt;/date&gt;&lt;/pub-dates&gt;&lt;/dates&gt;&lt;isbn&gt;0937-941X (Print)&lt;/isbn&gt;&lt;accession-num&gt;16133643&lt;/accession-num&gt;&lt;urls&gt;&lt;/urls&gt;&lt;custom1&gt; PubMed. Specific bisphosphonates. &lt;/custom1&gt;&lt;custom2&gt;CC.AD.&lt;/custom2&gt;&lt;custom6&gt;Include&lt;/custom6&gt;&lt;language&gt;eng&lt;/language&gt;&lt;/record&gt;&lt;/Cite&gt;&lt;/EndNote&gt;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498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Risedronate (Actonel)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Trial: PEM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Risedronate 5mg/d or 30 mg/d: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AEs: all: 3.1%(405/13,180)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Allergy: 0.0%(2/13,180)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Anemia: 0.0%(1/13,180)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Conjunctivitis: 0.0%(3/13,180)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Constipation: 1.2%(153/13,180)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Deaths: cerebral vascular accident: 0.2%(28/13,180)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Deaths: chronic obstructive pulmonary disease: 0.2%(30/13,180)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Deaths: myocardial infarction: 0.3%(34/13,180)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Diarrhea: 2.3%(305/13,180)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Diplopia: 0.0%(1/13,180)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Dry eye: 0.0%(6/13,180)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Dry skin: 0.0%(1/13,180)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Duodenitis: 0.0%(1/13,180)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Dyspepsia: 6.5%(858/13,180)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Edema: 1.4%(183/13,180)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Episcleritis: 0.0%(1/13,180)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Esophageal reflux: 0.0%(1/13,180)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Facial edema: 0.0%(6/13,180)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Fluid retention: 0.0%(1/13,180)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GI unspecified: 1.6%(210/13,180)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Hair loss: 0.0%(1/13,180)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Headache/migraine: 1.6%(208/13,180)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Hematemesis: 0.0%(3/13,180)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Intolerance: 2.4%(315/13,180)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Irritation of the eye: 0.0%(1/13,180)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Jaundice: 0.0%(1/13,180)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Malaise/lassitude: 1.6%(214/13,180)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Melena: 0.0%(1/13,180)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Menorrhagia: 0.0%(1/13,180)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Mouth ulcer: 0.0%(4/13,180)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Myalgia: 1.1%(140/13,180)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Nausea/vomiting: reported in 2-6 month of treatment: 3.9%(515/13,180)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Pain abdomen: 2.2%(295/13,180)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Pain joint: 1.7%(223/13,180)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Painful eye: 0.0%(1/13,180)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lastRenderedPageBreak/>
              <w:t>Barrera et al., 2005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ExcludeYear="1"&gt;&lt;RecNum&gt;7538&lt;/RecNum&gt;&lt;DisplayText&gt;&lt;style face="superscript"&gt;498&lt;/style&gt;&lt;/DisplayText&gt;&lt;record&gt;&lt;rec-number&gt;7538&lt;/rec-number&gt;&lt;foreign-keys&gt;&lt;key app="EN" db-id="29ezzfre25wfzbe5ttpvt0wkar525pde22z5"&gt;7538&lt;/key&gt;&lt;/foreign-keys&gt;&lt;ref-type name="Journal Article"&gt;17&lt;/ref-type&gt;&lt;contributors&gt;&lt;authors&gt;&lt;author&gt;Barrera, B. A. &lt;/author&gt;&lt;author&gt;Wilton, L. &lt;/author&gt;&lt;author&gt;Harris, S. &lt;/author&gt;&lt;author&gt;Shakir, S. A.&lt;/author&gt;&lt;/authors&gt;&lt;/contributors&gt;&lt;auth-address&gt;Drug Safety Research Unit, Bursledon Hall, Blundell Lane, Southampton, UK.&lt;/auth-address&gt;&lt;titles&gt;&lt;title&gt;Prescription-event monitoring study on 13,164 patients prescribed risedronate in primary care in England&lt;/title&gt;&lt;secondary-title&gt;Osteoporos Int&lt;/secondary-title&gt;&lt;/titles&gt;&lt;periodical&gt;&lt;full-title&gt;Osteoporos Int&lt;/full-title&gt;&lt;/periodical&gt;&lt;pages&gt;1989-98&lt;/pages&gt;&lt;volume&gt;16&lt;/volume&gt;&lt;number&gt;12&lt;/number&gt;&lt;keywords&gt;&lt;keyword&gt;Journal Article Research Support, Non-U.S. Gov&amp;apos;t Adverse Drug Reaction Reporting Systems Aged Aged, 80 and over Bone Density Conservation Agents/ adverse effects Bone Diseases/epidemiology/ prevention &amp;amp; control Cause of Death Cohort Studies Dyspepsia/ch&lt;/keyword&gt;&lt;/keywords&gt;&lt;dates&gt;&lt;year&gt;2005&lt;/year&gt;&lt;pub-dates&gt;&lt;date&gt;Dec&lt;/date&gt;&lt;/pub-dates&gt;&lt;/dates&gt;&lt;isbn&gt;0937-941X (Print)&lt;/isbn&gt;&lt;accession-num&gt;16133643&lt;/accession-num&gt;&lt;urls&gt;&lt;/urls&gt;&lt;custom1&gt; PubMed. Specific bisphosphonates. &lt;/custom1&gt;&lt;custom2&gt;CC.AD.&lt;/custom2&gt;&lt;custom6&gt;Include&lt;/custom6&gt;&lt;language&gt;eng&lt;/language&gt;&lt;/record&gt;&lt;/Cite&gt;&lt;/EndNote&gt;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498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Continued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Risedronate 5mg/d or 30 mg/d: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Palpitation: 0.0%(1/13,180)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Paresthesia: 0.0%(1/13,180)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Photosensitivity: 0.0%(2/13,180)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Pruritus: 0.0%(4/13,180)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Rash: 1.3%(166/13,180)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Rectal hemorrhage: 0.0%(1/13,180)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Respiratory tract infection higher: 1.8%(243/13,180)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Respiratory tract infection lower: 3.1%(407/13,180)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Skin irritation: 0.0%(1/13,180)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Sore eye: 0.0%(5/13,180)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Sore mouth: 0.0%(2/13,180)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Stevens-Johnson syndrome: 0.0%(1/13,180)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Swollen tongue: 0.0%(1/13,180)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Ulceration of ileostomy site: 0.0%(1/13,180)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Unspecified AE: 1.2%(155/13,180)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Urticaria: 0.0%(3/13,180)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Visual disturbance: 0.0%(1/13,180)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Discontinued drug: all: 26.0%(3,423/13,180)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lastRenderedPageBreak/>
              <w:t>Boonen et al., 2009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ExcludeYear="1"&gt;&lt;RecNum&gt;7606&lt;/RecNum&gt;&lt;DisplayText&gt;&lt;style face="superscript"&gt;74&lt;/style&gt;&lt;/DisplayText&gt;&lt;record&gt;&lt;rec-number&gt;7606&lt;/rec-number&gt;&lt;foreign-keys&gt;&lt;key app="EN" db-id="29ezzfre25wfzbe5ttpvt0wkar525pde22z5"&gt;7606&lt;/key&gt;&lt;/foreign-keys&gt;&lt;ref-type name="Journal Article"&gt;17&lt;/ref-type&gt;&lt;contributors&gt;&lt;authors&gt;&lt;author&gt;Boonen, S. &lt;/author&gt;&lt;author&gt;Orwoll, E. S. &lt;/author&gt;&lt;author&gt;Wenderoth, D. &lt;/author&gt;&lt;author&gt;Stoner, K. J. &lt;/author&gt;&lt;author&gt;Eusebio, R. &lt;/author&gt;&lt;author&gt;Delmas, P. D.&lt;/author&gt;&lt;/authors&gt;&lt;/contributors&gt;&lt;auth-address&gt;Leuven University Center for Metabolic Bone Diseases, Division of Geriatric Medicine, University Hospitals Leuven, Leuven, Belgium. steven.boonen@uz.kuleuven.ac.be&lt;/auth-address&gt;&lt;titles&gt;&lt;title&gt;Once-weekly risedronate in men with osteoporosis: results of a 2-year, placebo-controlled, double-blind, multicenter study&lt;/title&gt;&lt;secondary-title&gt;J Bone Miner Res&lt;/secondary-title&gt;&lt;/titles&gt;&lt;periodical&gt;&lt;full-title&gt;J Bone Miner Res&lt;/full-title&gt;&lt;/periodical&gt;&lt;pages&gt;719-25&lt;/pages&gt;&lt;volume&gt;24&lt;/volume&gt;&lt;number&gt;4&lt;/number&gt;&lt;keywords&gt;&lt;keyword&gt;Journal Article Multicenter Study Randomized Controlled Trial Research Support, Non-U.S. Gov&amp;apos;t Adult Aged Aged, 80 and over Bone Density/drug effects/physiology Bone Density Conservation Agents/ administration &amp;amp; dosage/adverse effects/pharmacology/ ther&lt;/keyword&gt;&lt;/keywords&gt;&lt;dates&gt;&lt;year&gt;2009&lt;/year&gt;&lt;pub-dates&gt;&lt;date&gt;Apr&lt;/date&gt;&lt;/pub-dates&gt;&lt;/dates&gt;&lt;isbn&gt;1523-4681 (Electronic)&lt;/isbn&gt;&lt;accession-num&gt;19049326&lt;/accession-num&gt;&lt;urls&gt;&lt;/urls&gt;&lt;custom1&gt; PubMed. Specific bisphosphonates. &lt;/custom1&gt;&lt;custom2&gt;YW.CC.AD.&lt;/custom2&gt;&lt;custom6&gt;Include&lt;/custom6&gt;&lt;language&gt;eng&lt;/language&gt;&lt;/record&gt;&lt;/Cite&gt;&lt;/EndNote&gt;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74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Risedronate (Actonel)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Risedronate 35 mg/wk vs Placebo: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AEs: any: 70.2%(134/191) vs 73.1%(68/93)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AEs: serious: 15.2%(29/191) vs 16.1%(15/93)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Arthralgia: 5.8%(11/191) vs 8.6%(8/93)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Atrial fibrillation: 1.0%(2/191) vs 3.2%(3/93)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Back pain: 6.8%(13/191) vs 2.2%(2/93)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Benign prostatic hyperplasia: 4.7%(9/191) vs 3.2%(3/93)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Chest pain: 0.0%(0/191) vs 2.2%(2/93)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Constipation: 8.4%(16/191) vs 5.4%(5/93)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 due to lung neoplasm: 0.0%(0/191) vs 1.1%(1/93)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 due to pulmonary embolism: 0.0%(0/191) vs 1.1%(1/93)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 due to shock: 0.0%(0/191) vs 1.1%(1/93)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 due to small lung cancer: 0.5%(1/191) vs 0.0%(0/93)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 due to sudden cardiac event: 0.5%(1/191) vs 0.0%(0/93)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Headache: mild: 4.7%(9/191) vs 0.0%(0/93)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Headache: moderate: 0.5%(1/191) vs 0.0%(0/93)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Influenza: 5.8%(11/191) vs 5.4%(5/93)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Myocardial infarction: 1.0%(2/191) vs 3.2%(3/93)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Nasopharyngitis: 5.8%(11/191) vs 5.4%(5/93)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Pain in extremity: 4.7%(9/191) vs 3.2%(3/93)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Pulmonary embolism: 1.0%(2/191) vs 1.1%(1/93)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Sudden cardiac death: 0.5%(1/191) vs 0.0%(0/93)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Upper GI AEs: dyspepsia: 3.1%(6/191) vs 4.3%(4/93)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Withdrawals: due to AE: 3.7%(7/191) vs 9.7%(9/93)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Withdrawals: total: 8.4%(16/191) vs 19.4%(18/93)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Delmas et al., 2007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ExcludeYear="1"&gt;&lt;RecNum&gt;9572&lt;/RecNum&gt;&lt;DisplayText&gt;&lt;style face="superscript"&gt;267&lt;/style&gt;&lt;/DisplayText&gt;&lt;record&gt;&lt;rec-number&gt;9572&lt;/rec-number&gt;&lt;foreign-keys&gt;&lt;key app="EN" db-id="29ezzfre25wfzbe5ttpvt0wkar525pde22z5"&gt;9572&lt;/key&gt;&lt;/foreign-keys&gt;&lt;ref-type name="Journal Article"&gt;17&lt;/ref-type&gt;&lt;contributors&gt;&lt;authors&gt;&lt;author&gt;Delmas, P. D. &lt;/author&gt;&lt;author&gt;Vrijens, B. &lt;/author&gt;&lt;author&gt;Eastell, R. &lt;/author&gt;&lt;author&gt;Roux, C. &lt;/author&gt;&lt;author&gt;Pols, H. A. &lt;/author&gt;&lt;author&gt;Ringe, J. D. &lt;/author&gt;&lt;author&gt;Grauer, A. &lt;/author&gt;&lt;author&gt;Cahall, D. &lt;/author&gt;&lt;author&gt;Watts, N. B.&lt;/author&gt;&lt;/authors&gt;&lt;/contributors&gt;&lt;auth-address&gt;Institut National de la Sante et de la Recherche Medicale Research Unit 403 and University Claude Bernard, Hopital Edouard Herriot, Pavillon F, 69437 Lyon Cedex 03, France. delmas@lyon.inserm.fr&lt;/auth-address&gt;&lt;titles&gt;&lt;title&gt;Effect of monitoring bone turnover markers on persistence with risedronate treatment of postmenopausal osteoporosis&lt;/title&gt;&lt;secondary-title&gt;J Clin Endocrinol Metab&lt;/secondary-title&gt;&lt;/titles&gt;&lt;periodical&gt;&lt;full-title&gt;J Clin Endocrinol Metab&lt;/full-title&gt;&lt;/periodical&gt;&lt;pages&gt;1296-304&lt;/pages&gt;&lt;volume&gt;92&lt;/volume&gt;&lt;number&gt;4&lt;/number&gt;&lt;edition&gt;2007/01/25&lt;/edition&gt;&lt;keywords&gt;&lt;keyword&gt;Aged Aged, 80 and over Biological Markers/blood Bone Density Conservation Agents/*therapeutic use Bone and Bones/*metabolism Etidronic Acid/*analogs &amp;amp; derivatives/therapeutic use Female Humans Monitoring, Physiologic/methods Osteoporosis, Postmenopausal&lt;/keyword&gt;&lt;/keywords&gt;&lt;dates&gt;&lt;year&gt;2007&lt;/year&gt;&lt;pub-dates&gt;&lt;date&gt;Apr&lt;/date&gt;&lt;/pub-dates&gt;&lt;/dates&gt;&lt;isbn&gt;0021-972X (Print) 0021-972X (Linking)&lt;/isbn&gt;&lt;accession-num&gt;17244788&lt;/accession-num&gt;&lt;urls&gt;&lt;related-urls&gt;&lt;url&gt;http://www.ncbi.nlm.nih.gov/entrez/query.fcgi?cmd=Retrieve&amp;amp;db=PubMed&amp;amp;dopt=Citation&amp;amp;list_uids=17244788&lt;/url&gt;&lt;/related-urls&gt;&lt;/urls&gt;&lt;custom6&gt;Include&lt;/custom6&gt;&lt;electronic-resource-num&gt;jc.2006-1526 [pii] 10.1210/jc.2006-1526&lt;/electronic-resource-num&gt;&lt;language&gt;eng&lt;/language&gt;&lt;/record&gt;&lt;/Cite&gt;&lt;/EndNote&gt;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267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Risedronate (Actonel)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Trial: IMPACT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Risedronate No reinforcement vs Risedronate Reinforcement: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Death: 0.3%(3/1,154) vs 0.1%(1/1,228)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Withdrawals: Total: 13.2%(152/1,154) vs 12.1%(149/1,228)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Withdrawals: due to AE: 8.9%(103/1,154) vs 7.4%(91/1,228)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6267AB">
            <w:pPr>
              <w:adjustRightInd w:val="0"/>
              <w:spacing w:before="100" w:beforeAutospacing="1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Delmas et al., 2008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ExcludeYear="1"&gt;&lt;RecNum&gt;7009&lt;/RecNum&gt;&lt;DisplayText&gt;&lt;style face="superscript"&gt;85&lt;/style&gt;&lt;/DisplayText&gt;&lt;record&gt;&lt;rec-number&gt;7009&lt;/rec-number&gt;&lt;foreign-keys&gt;&lt;key app="EN" db-id="29ezzfre25wfzbe5ttpvt0wkar525pde22z5"&gt;7009&lt;/key&gt;&lt;/foreign-keys&gt;&lt;ref-type name="Journal Article"&gt;17&lt;/ref-type&gt;&lt;contributors&gt;&lt;authors&gt;&lt;author&gt;Delmas, P. D. &lt;/author&gt;&lt;author&gt;Benhamou, C. L. &lt;/author&gt;&lt;author&gt;Man, Z. &lt;/author&gt;&lt;author&gt;Tlustochowicz, W. &lt;/author&gt;&lt;author&gt;Matzkin, E. &lt;/author&gt;&lt;author&gt;Eusebio, R. &lt;/author&gt;&lt;author&gt;Zanchetta, J. &lt;/author&gt;&lt;author&gt;Olszynski, W. P. &lt;/author&gt;&lt;author&gt;Recker, R. R. &lt;/author&gt;&lt;author&gt;McClung, M. R.&lt;/author&gt;&lt;/authors&gt;&lt;/contributors&gt;&lt;auth-address&gt;University of Lyon and INSERM Research Unit 831, Lyon, France. delmas@lyon.inserm.fr&lt;/auth-address&gt;&lt;titles&gt;&lt;title&gt;Monthly dosing of 75 mg risedronate on 2 consecutive days a month: efficacy and safety results&lt;/title&gt;&lt;secondary-title&gt;Osteoporos Int&lt;/secondary-title&gt;&lt;/titles&gt;&lt;periodical&gt;&lt;full-title&gt;Osteoporos Int&lt;/full-title&gt;&lt;/periodical&gt;&lt;pages&gt;1039-45&lt;/pages&gt;&lt;volume&gt;19&lt;/volume&gt;&lt;number&gt;7&lt;/number&gt;&lt;edition&gt;2007/12/19&lt;/edition&gt;&lt;dates&gt;&lt;year&gt;2008&lt;/year&gt;&lt;pub-dates&gt;&lt;date&gt;Jul&lt;/date&gt;&lt;/pub-dates&gt;&lt;/dates&gt;&lt;isbn&gt;0937-941X (Print)&lt;/isbn&gt;&lt;accession-num&gt;18087660&lt;/accession-num&gt;&lt;urls&gt;&lt;related-urls&gt;&lt;url&gt;http://www.ncbi.nlm.nih.gov/entrez/query.fcgi?cmd=Retrieve&amp;amp;db=PubMed&amp;amp;dopt=Citation&amp;amp;list_uids=18087660&lt;/url&gt;&lt;/related-urls&gt;&lt;/urls&gt;&lt;custom5&gt;From &amp;apos;09 CER update report&lt;/custom5&gt;&lt;custom6&gt;Include&lt;/custom6&gt;&lt;electronic-resource-num&gt;10.1007/s00198-007-0531-9&lt;/electronic-resource-num&gt;&lt;research-notes&gt;CER 12&lt;/research-notes&gt;&lt;language&gt;eng&lt;/language&gt;&lt;/record&gt;&lt;/Cite&gt;&lt;/EndNote&gt;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85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Risedronate (Actonel)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6267AB">
            <w:pPr>
              <w:adjustRightInd w:val="0"/>
              <w:spacing w:before="100" w:beforeAutospacing="1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Risedronate 5mg vs Risedronate 75mg: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Arthralgia: 9.5%(58/613) vs 10.4%(64/616)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Back pain: 10.8%(66/613) vs 8.8%(54/616)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Fever or influenza-like illness: 0.0%(0/613) vs 0.6%(4/616)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Moderate to severe upper GI Treatment-emergent AE: 6.2%(38/613) vs 7.5%(46/616)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Treatment-emergent AE: all: 81.2%(498/613) vs 84.7%(522/616)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Treatment-emergent AE: possibly or probably related serious: 0.5%(3/613) vs 0.6%(4/616)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Treatment-emergent AE: resulting in death: 0.5%(3/613) vs 0.3%(2/616)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Treatment-emergent AE: serious: 4.7%(29/613) vs 7.5%(46/616)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Upper GI Treatment-emergent AE: 21.2%(130/613) vs 22.2%(137/616)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Withdrawals: total: 14.8%(91/613) vs 14.6%(90/616)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lastRenderedPageBreak/>
              <w:t>Delmas et al., 2008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ExcludeYear="1"&gt;&lt;RecNum&gt;7010&lt;/RecNum&gt;&lt;DisplayText&gt;&lt;style face="superscript"&gt;86&lt;/style&gt;&lt;/DisplayText&gt;&lt;record&gt;&lt;rec-number&gt;7010&lt;/rec-number&gt;&lt;foreign-keys&gt;&lt;key app="EN" db-id="29ezzfre25wfzbe5ttpvt0wkar525pde22z5"&gt;7010&lt;/key&gt;&lt;/foreign-keys&gt;&lt;ref-type name="Journal Article"&gt;17&lt;/ref-type&gt;&lt;contributors&gt;&lt;authors&gt;&lt;author&gt;Delmas, P. D. &lt;/author&gt;&lt;author&gt;McClung, M. R. &lt;/author&gt;&lt;author&gt;Zanchetta, J. R. &lt;/author&gt;&lt;author&gt;Racewicz, A. &lt;/author&gt;&lt;author&gt;Roux, C. &lt;/author&gt;&lt;author&gt;Benhamou, C. L. &lt;/author&gt;&lt;author&gt;Man, Z. &lt;/author&gt;&lt;author&gt;Eusebio, R. A. &lt;/author&gt;&lt;author&gt;Beary, J. F. &lt;/author&gt;&lt;author&gt;Burgio, D. E. &lt;/author&gt;&lt;author&gt;Matzkin, E. &lt;/author&gt;&lt;author&gt;Boonen, S.&lt;/author&gt;&lt;/authors&gt;&lt;/contributors&gt;&lt;auth-address&gt;INSERM Research Unit 831 and University of Lyon, Lyon, France. delmas@lyon.inserm.fr&lt;/auth-address&gt;&lt;titles&gt;&lt;title&gt;Efficacy and safety of risedronate 150 mg once a month in the treatment of postmenopausal osteoporosis&lt;/title&gt;&lt;secondary-title&gt;Bone&lt;/secondary-title&gt;&lt;/titles&gt;&lt;periodical&gt;&lt;full-title&gt;Bone&lt;/full-title&gt;&lt;/periodical&gt;&lt;pages&gt;36-42&lt;/pages&gt;&lt;volume&gt;42&lt;/volume&gt;&lt;number&gt;1&lt;/number&gt;&lt;edition&gt;2007/10/09&lt;/edition&gt;&lt;keywords&gt;&lt;keyword&gt;Bone Density/drug effects Drug Toxicity Etidronic Acid/adverse effects/*analogs &amp;amp; derivatives/therapeutic use Female Humans Middle Aged Osteoporosis, Postmenopausal/*drug therapy Time Factors&lt;/keyword&gt;&lt;/keywords&gt;&lt;dates&gt;&lt;year&gt;2008&lt;/year&gt;&lt;pub-dates&gt;&lt;date&gt;Jan&lt;/date&gt;&lt;/pub-dates&gt;&lt;/dates&gt;&lt;isbn&gt;8756-3282 (Print)&lt;/isbn&gt;&lt;accession-num&gt;17920005&lt;/accession-num&gt;&lt;urls&gt;&lt;related-urls&gt;&lt;url&gt;http://www.ncbi.nlm.nih.gov/entrez/query.fcgi?cmd=Retrieve&amp;amp;db=PubMed&amp;amp;dopt=Citation&amp;amp;list_uids=17920005&lt;/url&gt;&lt;/related-urls&gt;&lt;/urls&gt;&lt;custom5&gt;From &amp;apos;09 CER update report&lt;/custom5&gt;&lt;custom6&gt;Include&lt;/custom6&gt;&lt;electronic-resource-num&gt;S8756-3282(07)00678-3 [pii] 10.1016/j.bone.2007.09.001&lt;/electronic-resource-num&gt;&lt;research-notes&gt;CER 12&lt;/research-notes&gt;&lt;language&gt;eng&lt;/language&gt;&lt;/record&gt;&lt;/Cite&gt;&lt;/EndNote&gt;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86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Risedronate (Actonel)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Risedronate 150mg a month vs Risedronate 5mg/d: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AEs: all: 79.2%(515/650) vs 78.5%(504/642)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AE potentially associated with acute phase reaction: 1.4%(9/650) vs 0.2%(1/642)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AEs: serious AE: 6.2%(40/650) vs 4.2%(27/642)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Arthralgia: 5.5%(36/650) vs 7.3%(47/642)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Atrial fibrillation: 0.6%(4/650) vs 0.5%(3/642)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Constipation: 5.8%(38/650) vs 7.3%(47/642)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Deaths: 0.0%(0/650) vs 0.5%(3/642)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Diarrhea: 8.2%(53/650) vs 4.7%(30/642)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Influenza: 8.9%(58/650) vs 4.2%(27/642)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Osteonecrosis of the jaw: 0.0%(0/650) vs 0.0%(0/642)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Selected musculoskeletal AE: 15.5%(101/650) vs 17.1%(110/642)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Upper GI tract AE: 19.8%(129/650) vs 17.1%(110/642)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Upper abdominal pain: 8.2%(53/650) vs 6.1%(39/642)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Withdrawals: due to AE: 8.6%(56/650) vs 9.5%(61/642)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Li et al., 2005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ExcludeYear="1"&gt;&lt;RecNum&gt;8030&lt;/RecNum&gt;&lt;DisplayText&gt;&lt;style face="superscript"&gt;499&lt;/style&gt;&lt;/DisplayText&gt;&lt;record&gt;&lt;rec-number&gt;8030&lt;/rec-number&gt;&lt;foreign-keys&gt;&lt;key app="EN" db-id="29ezzfre25wfzbe5ttpvt0wkar525pde22z5"&gt;8030&lt;/key&gt;&lt;/foreign-keys&gt;&lt;ref-type name="Journal Article"&gt;17&lt;/ref-type&gt;&lt;contributors&gt;&lt;authors&gt;&lt;author&gt;Li, Y. &lt;/author&gt;&lt;author&gt;Zhang, Z. &lt;/author&gt;&lt;author&gt;Deng, X. &lt;/author&gt;&lt;author&gt;Chen, L.&lt;/author&gt;&lt;/authors&gt;&lt;/contributors&gt;&lt;auth-address&gt;Department of Endocrinology, Union Hospital, Tongji Medical College, Huazhong University of Science and Technology, Wuhan 430022, China.&lt;/auth-address&gt;&lt;titles&gt;&lt;title&gt;Efficacy and safety of risedronate sodium in treatment of postmenopausal osteoporosis&lt;/title&gt;&lt;secondary-title&gt;J Huazhong Univ Sci Technolog Med Sci&lt;/secondary-title&gt;&lt;/titles&gt;&lt;periodical&gt;&lt;full-title&gt;J Huazhong Univ Sci Technolog Med Sci&lt;/full-title&gt;&lt;/periodical&gt;&lt;pages&gt;527-9&lt;/pages&gt;&lt;volume&gt;25&lt;/volume&gt;&lt;number&gt;5&lt;/number&gt;&lt;keywords&gt;&lt;keyword&gt;Journal Article&lt;/keyword&gt;&lt;/keywords&gt;&lt;dates&gt;&lt;year&gt;2005&lt;/year&gt;&lt;/dates&gt;&lt;isbn&gt;1672-0733 (Print)&lt;/isbn&gt;&lt;accession-num&gt;16463664&lt;/accession-num&gt;&lt;urls&gt;&lt;/urls&gt;&lt;custom1&gt; PubMed. Specific bisphosphonates. &lt;/custom1&gt;&lt;custom2&gt;YW.AD.&lt;/custom2&gt;&lt;custom6&gt;Include&lt;/custom6&gt;&lt;language&gt;eng&lt;/language&gt;&lt;/record&gt;&lt;/Cite&gt;&lt;/EndNote&gt;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499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Risedronate (Actonel)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Placebo + CaltrateD 600 mg vs Risedronate Sodium 5 mg + Caltrate D 600 mg: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Withdrawals: 13.3%(4/30) vs 6.7%(2/30)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 due to adverse events: 3.3%(1/30) vs 6.7%(2/30)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Mok et al., 2008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ExcludeYear="1"&gt;&lt;RecNum&gt;8123&lt;/RecNum&gt;&lt;DisplayText&gt;&lt;style face="superscript"&gt;500&lt;/style&gt;&lt;/DisplayText&gt;&lt;record&gt;&lt;rec-number&gt;8123&lt;/rec-number&gt;&lt;foreign-keys&gt;&lt;key app="EN" db-id="29ezzfre25wfzbe5ttpvt0wkar525pde22z5"&gt;8123&lt;/key&gt;&lt;/foreign-keys&gt;&lt;ref-type name="Journal Article"&gt;17&lt;/ref-type&gt;&lt;contributors&gt;&lt;authors&gt;&lt;author&gt;Mok, C. C. &lt;/author&gt;&lt;author&gt;Tong, K. H. &lt;/author&gt;&lt;author&gt;To, C. H. &lt;/author&gt;&lt;author&gt;Siu, Y. P. &lt;/author&gt;&lt;author&gt;Ma, K. M.&lt;/author&gt;&lt;/authors&gt;&lt;/contributors&gt;&lt;auth-address&gt;Department of Medicine and Nuclear Medicine, Tuen Mun Hospital, Tuen Mun, Hong Kong, SAR, China. ccmok2005@yahoo.com&lt;/auth-address&gt;&lt;titles&gt;&lt;title&gt;Risedronate for prevention of bone mineral density loss in patients receiving high-dose glucocorticoids: a randomized double-blind placebo-controlled trial&lt;/title&gt;&lt;secondary-title&gt;Osteoporos Int&lt;/secondary-title&gt;&lt;/titles&gt;&lt;periodical&gt;&lt;full-title&gt;Osteoporos Int&lt;/full-title&gt;&lt;/periodical&gt;&lt;pages&gt;357-64&lt;/pages&gt;&lt;volume&gt;19&lt;/volume&gt;&lt;number&gt;3&lt;/number&gt;&lt;keywords&gt;&lt;keyword&gt;Journal Article Randomized Controlled Trial Adipose Tissue/drug effects Adult Aged Anti-Inflammatory Agents/administration &amp;amp; dosage/adverse effects Body Mass Index Bone Density/drug effects Bone Density Conservation Agents/adverse effects/ therapeutic u&lt;/keyword&gt;&lt;/keywords&gt;&lt;dates&gt;&lt;year&gt;2008&lt;/year&gt;&lt;pub-dates&gt;&lt;date&gt;Mar&lt;/date&gt;&lt;/pub-dates&gt;&lt;/dates&gt;&lt;isbn&gt;0937-941X (Print)&lt;/isbn&gt;&lt;accession-num&gt;18038273&lt;/accession-num&gt;&lt;urls&gt;&lt;/urls&gt;&lt;custom1&gt; PubMed. Specific bisphosphonates. &lt;/custom1&gt;&lt;custom2&gt;YW.CC.AD.&lt;/custom2&gt;&lt;custom6&gt;Include&lt;/custom6&gt;&lt;language&gt;eng&lt;/language&gt;&lt;/record&gt;&lt;/Cite&gt;&lt;/EndNote&gt;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500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Risedronate (Actonel)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Placebo + Elemental calcium 1000 mg/day vs Risedronate 5 mg/day + Elemental calcium 1000 mg/day: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Allergic skin rash: 0.0%(0/60) vs 1.7%(1/60)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Confirmed esophagitis: 0.0%(0/60) vs 0.0%(0/60)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Death: 5.0%(3/60) vs 3.3%(2/60)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Diarrhea: 0.0%(0/60) vs 5.0%(3/60)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Dizziness: 1.7%(1/60) vs 0.0%(0/60)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Dyspepsia/epigastric pain: 5.0%(3/60) vs 16.7%(10/60)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Endoscopic gastritis: 5.0%(3/60) vs 5.0%(3/60)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Heartburn: 0.0%(0/60) vs 1.7%(1/60)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Nausea: 1.7%(1/60) vs 0.0%(0/60)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Skin itching: 1.7%(1/60) vs 1.7%(1/60)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Transient urticaria: 1.7%(1/60) vs 0.0%(0/60)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Withdrawals: 13.3%(8/60) vs 15.0%(9/60)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 due to adverse events: 0.0%(0/60) vs 3.3%(2/60)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lastRenderedPageBreak/>
              <w:t>Palomba et al., 2008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ExcludeYear="1"&gt;&lt;RecNum&gt;8170&lt;/RecNum&gt;&lt;DisplayText&gt;&lt;style face="superscript"&gt;75&lt;/style&gt;&lt;/DisplayText&gt;&lt;record&gt;&lt;rec-number&gt;8170&lt;/rec-number&gt;&lt;foreign-keys&gt;&lt;key app="EN" db-id="29ezzfre25wfzbe5ttpvt0wkar525pde22z5"&gt;8170&lt;/key&gt;&lt;/foreign-keys&gt;&lt;ref-type name="Journal Article"&gt;17&lt;/ref-type&gt;&lt;contributors&gt;&lt;authors&gt;&lt;author&gt;Palomba, S. &lt;/author&gt;&lt;author&gt;Manguso, F. &lt;/author&gt;&lt;author&gt;Orio, F., Jr. &lt;/author&gt;&lt;author&gt;Russo, T. &lt;/author&gt;&lt;author&gt;Oppedisano, R. &lt;/author&gt;&lt;author&gt;Sacchinelli, A. &lt;/author&gt;&lt;author&gt;Falbo, A. &lt;/author&gt;&lt;author&gt;Tolino, A. &lt;/author&gt;&lt;author&gt;Zullo, F. &lt;/author&gt;&lt;author&gt;Mastrantonio, P.&lt;/author&gt;&lt;/authors&gt;&lt;/contributors&gt;&lt;auth-address&gt;Department of Obstetrics and Gynecology, University &amp;quot;Magna Graecia&amp;quot; of Catanzaro, Catanzaro, Italy. stefanopalomba@tin.it&lt;/auth-address&gt;&lt;titles&gt;&lt;title&gt;Effectiveness of risedronate in osteoporotic postmenopausal women with inflammatory bowel disease: a prospective, parallel, open-label, two-year extension study&lt;/title&gt;&lt;secondary-title&gt;Menopause&lt;/secondary-title&gt;&lt;/titles&gt;&lt;periodical&gt;&lt;full-title&gt;Menopause&lt;/full-title&gt;&lt;/periodical&gt;&lt;pages&gt;730-6&lt;/pages&gt;&lt;volume&gt;15&lt;/volume&gt;&lt;number&gt;4 Pt 1&lt;/number&gt;&lt;keywords&gt;&lt;keyword&gt;Journal Article Randomized Controlled Trial Bone Density/drug effects Bone Density Conservation Agents/ therapeutic use Bone Remodeling/drug effects Double-Blind Method Etidronic Acid/ analogs &amp;amp; derivatives/therapeutic use Female Fractures, Spontaneous/&lt;/keyword&gt;&lt;/keywords&gt;&lt;dates&gt;&lt;year&gt;2008&lt;/year&gt;&lt;pub-dates&gt;&lt;date&gt;Jul-Aug&lt;/date&gt;&lt;/pub-dates&gt;&lt;/dates&gt;&lt;isbn&gt;1072-3714 (Print)&lt;/isbn&gt;&lt;accession-num&gt;18698280&lt;/accession-num&gt;&lt;urls&gt;&lt;/urls&gt;&lt;custom1&gt; PubMed. Specific bisphosphonates. &lt;/custom1&gt;&lt;custom2&gt;YW.AD.&lt;/custom2&gt;&lt;custom6&gt;Include&lt;/custom6&gt;&lt;language&gt;eng&lt;/language&gt;&lt;/record&gt;&lt;/Cite&gt;&lt;/EndNote&gt;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75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Risedronate (Actonel)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Placebo + 1,500 mg/d 1,25 dihydroxyvitamin 800 UI/d vs Risedronate 35 mg/week  + 1,500 mg/d 1,25 dihydroxyvitamin 800 UI/d: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Abdominal pain: 8.9%(4/45) vs 6.7%(3/45)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Constipation: 2.2%(1/45) vs 2.2%(1/45)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 from MI: 2.2%(1/45) vs 0.0%(0/45)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Dyspepsia: 4.4%(2/45) vs 4.4%(2/45)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Dysphagia: 0.0%(0/45) vs 2.2%(1/45)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Flatulence: 6.7%(3/45) vs 4.4%(2/45)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Headache: 0.0%(0/45) vs 2.2%(1/45)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Heartburn: 2.2%(1/45) vs 6.7%(3/45)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Leg cramps: 2.2%(1/45) vs 0.0%(0/45)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Withdrawals: 8.9%(4/45) vs 11.1%(5/45)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Ringe et al., 2009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ExcludeYear="1"&gt;&lt;RecNum&gt;8266&lt;/RecNum&gt;&lt;DisplayText&gt;&lt;style face="superscript"&gt;73&lt;/style&gt;&lt;/DisplayText&gt;&lt;record&gt;&lt;rec-number&gt;8266&lt;/rec-number&gt;&lt;foreign-keys&gt;&lt;key app="EN" db-id="29ezzfre25wfzbe5ttpvt0wkar525pde22z5"&gt;8266&lt;/key&gt;&lt;/foreign-keys&gt;&lt;ref-type name="Journal Article"&gt;17&lt;/ref-type&gt;&lt;contributors&gt;&lt;authors&gt;&lt;author&gt;Ringe, J. D. &lt;/author&gt;&lt;author&gt;Farahmand, P. &lt;/author&gt;&lt;author&gt;Faber, H. &lt;/author&gt;&lt;author&gt;Dorst, A.&lt;/author&gt;&lt;/authors&gt;&lt;/contributors&gt;&lt;auth-address&gt;Medizinische Klink IV, Klinikum Leverkusen, Teaching Hospital of the University of Cologne, 51375, Leverkusen, Germany. ringe@klinikum-lev.de&lt;/auth-address&gt;&lt;titles&gt;&lt;title&gt;Sustained efficacy of risedronate in men with primary and secondary osteoporosis: results of a 2-year study&lt;/title&gt;&lt;secondary-title&gt;Rheumatol Int&lt;/secondary-title&gt;&lt;/titles&gt;&lt;periodical&gt;&lt;full-title&gt;Rheumatol Int&lt;/full-title&gt;&lt;/periodical&gt;&lt;pages&gt;311-5&lt;/pages&gt;&lt;volume&gt;29&lt;/volume&gt;&lt;number&gt;3&lt;/number&gt;&lt;keywords&gt;&lt;keyword&gt;Journal Article Randomized Controlled Trial Aged Back Pain/prevention &amp;amp; control Bone Density Conservation Agents/ therapeutic use Calcium/therapeutic use Drug Therapy, Combination Etidronic Acid/ analogs &amp;amp; derivatives/therapeutic use Fractures, Bone/pre&lt;/keyword&gt;&lt;/keywords&gt;&lt;dates&gt;&lt;year&gt;2009&lt;/year&gt;&lt;pub-dates&gt;&lt;date&gt;Jan&lt;/date&gt;&lt;/pub-dates&gt;&lt;/dates&gt;&lt;isbn&gt;0172-8172 (Print)&lt;/isbn&gt;&lt;accession-num&gt;18762944&lt;/accession-num&gt;&lt;urls&gt;&lt;/urls&gt;&lt;custom1&gt; PubMed. Specific bisphosphonates. &lt;/custom1&gt;&lt;custom2&gt;YW.CC.AD.&lt;/custom2&gt;&lt;custom6&gt;Include&lt;/custom6&gt;&lt;language&gt;eng&lt;/language&gt;&lt;/record&gt;&lt;/Cite&gt;&lt;/EndNote&gt;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73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Risedronate (Actonel)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Placebo + Calcium + Vitamin D 800 IU/day vs Risedronate 5 mg/day + Calcium + Vitamin D 800 IU/day: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Withdrawals: 6.3%(10/158) vs 3.8%(6/158)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 due to adverse events: 0.0%(0/158) vs 0.0%(0/158)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lastRenderedPageBreak/>
              <w:t>Ste-Marie et al., 2009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ExcludeYear="1"&gt;&lt;RecNum&gt;8376&lt;/RecNum&gt;&lt;DisplayText&gt;&lt;style face="superscript"&gt;501&lt;/style&gt;&lt;/DisplayText&gt;&lt;record&gt;&lt;rec-number&gt;8376&lt;/rec-number&gt;&lt;foreign-keys&gt;&lt;key app="EN" db-id="29ezzfre25wfzbe5ttpvt0wkar525pde22z5"&gt;8376&lt;/key&gt;&lt;/foreign-keys&gt;&lt;ref-type name="Journal Article"&gt;17&lt;/ref-type&gt;&lt;contributors&gt;&lt;authors&gt;&lt;author&gt;Ste-Marie, L. G. &lt;/author&gt;&lt;author&gt;Brown, J. P. &lt;/author&gt;&lt;author&gt;Beary, J. F. &lt;/author&gt;&lt;author&gt;Matzkin, E. &lt;/author&gt;&lt;author&gt;Darbie, L. M. &lt;/author&gt;&lt;author&gt;Burgio, D. E. &lt;/author&gt;&lt;author&gt;Racewicz, A. J.&lt;/author&gt;&lt;/authors&gt;&lt;/contributors&gt;&lt;auth-address&gt;Centre de Recherche du CHUM, Hopital Saint-Luc, Montreal, Quebec, Canada. smalg@sympatico.ca&lt;/auth-address&gt;&lt;titles&gt;&lt;title&gt;Comparison of the effects of once-monthly versus once-daily risedronate in postmenopausal osteoporosis: a phase II, 6-month, multicenter, randomized, double-blind, active-controlled, dose-ranging study&lt;/title&gt;&lt;secondary-title&gt;Clin Ther&lt;/secondary-title&gt;&lt;/titles&gt;&lt;periodical&gt;&lt;full-title&gt;Clin Ther&lt;/full-title&gt;&lt;/periodical&gt;&lt;pages&gt;272-85&lt;/pages&gt;&lt;volume&gt;31&lt;/volume&gt;&lt;number&gt;2&lt;/number&gt;&lt;keywords&gt;&lt;keyword&gt;Clinical Trial, Phase II Journal Article Multicenter Study Randomized Controlled Trial Research Support, Non-U.S. Gov&amp;apos;t Aged Aged, 80 and over Biological Markers/metabolism Bone Density/ drug effects Bone Density Conservation Agents/administration &amp;amp; dos&lt;/keyword&gt;&lt;/keywords&gt;&lt;dates&gt;&lt;year&gt;2009&lt;/year&gt;&lt;pub-dates&gt;&lt;date&gt;Feb&lt;/date&gt;&lt;/pub-dates&gt;&lt;/dates&gt;&lt;isbn&gt;0149-2918 (Print)&lt;/isbn&gt;&lt;accession-num&gt;19302900&lt;/accession-num&gt;&lt;urls&gt;&lt;/urls&gt;&lt;custom1&gt; PubMed. Specific bisphosphonates. &lt;/custom1&gt;&lt;custom2&gt;YW.CC.AD.&lt;/custom2&gt;&lt;custom6&gt;Include&lt;/custom6&gt;&lt;language&gt;eng&lt;/language&gt;&lt;/record&gt;&lt;/Cite&gt;&lt;/EndNote&gt;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501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Risedronate (Actonel)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Risedronate 100 mg/mo + Elemental Calcium 1000 mg/day + Vitamin D 400 IU/day vs Risedronate 150 mg/mo + Elemental Calcium 1000 mg/day + Vitamin D 400 IU/day vs Risedronate 200 mg/mo + Elemental Calcium 1000 mg/day + Vitamin D 400 IU/day vs Risedronate 5 mg/day + Elemental Calcium 1000 mg/day + Vitamin D 400 IU/day: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Any adverse event: 52.7%(48/91) vs 61.4%(54/88) vs 56.8%(50/88) vs 51.5%(53/103)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Abdominal pain: 2.2%(2/91) vs 6.8%(6/88) vs 9.1%(8/88) vs 3.9%(4/103)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Abdominal pain upper: 4.4%(4/91) vs 11.4%(10/88) vs 8.0%(7/88) vs 6.8%(7/103)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Any serious adverse event: 1.1%(1/91) vs 5.7%(5/88) vs 3.4%(3/88) vs 2.9%(3/103)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Arthralgia: 4.4%(4/91) vs 9.1%(8/88) vs 5.7%(5/88) vs 5.8%(6/103)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Back pain: 3.3%(3/91) vs 6.8%(6/88) vs 3.4%(3/88) vs 1.9%(2/103)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Cervical spine stenosis: 0.0%(0/91) vs 1.1%(1/88) vs 0.0%(0/88) vs 0.0%(0/103)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Chest pain: 0.0%(0/91) vs 0.0%(0/88) vs 0.0%(0/88) vs 1.0%(1/103)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Chronic bronchitis: 0.0%(0/91) vs 1.1%(1/88) vs 0.0%(0/88) vs 0.0%(0/103)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Coronary artery atherosclerosis: 0.0%(0/91) vs 0.0%(0/88) vs 0.0%(0/88) vs 1.0%(1/103)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Coronary artery disease: 0.0%(0/91) vs 0.0%(0/88) vs 1.1%(1/88) vs 0.0%(0/103)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Death: 0.0%(0/91) vs 0.0%(0/88) vs 0.0%(0/88) vs 0.0%(0/103)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Diarrhea: 7.7%(7/91) vs 4.5%(4/88) vs 10.2%(9/88) vs 2.9%(3/103)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Dyspepsia: 7.7%(7/91) vs 5.7%(5/88) vs 5.7%(5/88) vs 2.9%(3/103)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Erosive esophagitis: 0.0%(0/91) vs 0.0%(0/88) vs 0.0%(0/88) vs 1.0%(1/103)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Headache: 2.2%(2/91) vs 6.8%(6/88) vs 5.7%(5/88) vs 4.9%(5/103)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Hypertension: 0.0%(0/91) vs 0.0%(0/88) vs 1.1%(1/88) vs 0.0%(0/103)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Malignant lung neoplasm: 0.0%(0/91) vs 1.1%(1/88) vs 0.0%(0/88) vs 0.0%(0/103)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Moderate or severe upper GI event: 2.2%(2/91) vs 9.1%(8/88) vs 6.8%(6/88) vs 3.9%(4/103)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Myalgia: 4.4%(4/91) vs 3.4%(3/88) vs 4.5%(4/88) vs 0.0%(0/103)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Nasopharyngitis: 2.2%(2/91) vs 5.7%(5/88) vs 5.7%(5/88) vs 3.9%(4/103)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Nausea: 3.3%(3/91) vs 3.4%(3/88) vs 8.0%(7/88) vs 1.9%(2/103)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Ovarian cyst: 0.0%(0/91) vs 1.1%(1/88) vs 0.0%(0/88) vs 0.0%(0/103)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Paraparesis: 0.0%(0/91) vs 1.1%(1/88) vs 0.0%(0/88) vs 0.0%(0/103)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Pheochromocytoma: 1.1%(1/91) vs 0.0%(0/88) vs 0.0%(0/88) vs 0.0%(0/103)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Pneumonia: 0.0%(0/91) vs 1.1%(1/88) vs 0.0%(0/88) vs 0.0%(0/103)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Supraventricular tachycardia: 0.0%(0/91) vs 0.0%(0/88) vs 1.1%(1/88) vs 0.0%(0/103)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Tendon rupture: 0.0%(0/91) vs 1.1%(1/88) vs 0.0%(0/88) vs 0.0%(0/103)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Upper GI event: 13.2%(12/91) vs 22.7%(20/88) vs 19.3%(17/88) vs 18.4%(19/103)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Upper respiratory tract infection: 5.5%(5/91) vs 9.1%(8/88) vs 9.1%(8/88) vs 3.9%(4/103)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Urinary tract infection: 3.3%(3/91) vs 1.1%(1/88) vs 2.3%(2/88) vs 5.8%(6/103)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lastRenderedPageBreak/>
              <w:t>Boonen et al., 2008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ExcludeYear="1"&gt;&lt;RecNum&gt;7607&lt;/RecNum&gt;&lt;DisplayText&gt;&lt;style face="superscript"&gt;502&lt;/style&gt;&lt;/DisplayText&gt;&lt;record&gt;&lt;rec-number&gt;7607&lt;/rec-number&gt;&lt;foreign-keys&gt;&lt;key app="EN" db-id="29ezzfre25wfzbe5ttpvt0wkar525pde22z5"&gt;7607&lt;/key&gt;&lt;/foreign-keys&gt;&lt;ref-type name="Journal Article"&gt;17&lt;/ref-type&gt;&lt;contributors&gt;&lt;authors&gt;&lt;author&gt;Boonen, S. &lt;/author&gt;&lt;author&gt;Sellmeyer, D. E. &lt;/author&gt;&lt;author&gt;Lippuner, K. &lt;/author&gt;&lt;author&gt;Orlov-Morozov, A. &lt;/author&gt;&lt;author&gt;Abrams, K. &lt;/author&gt;&lt;author&gt;Mesenbrink, P. &lt;/author&gt;&lt;author&gt;Eriksen, E. F. &lt;/author&gt;&lt;author&gt;Miller, P. D.&lt;/author&gt;&lt;/authors&gt;&lt;/contributors&gt;&lt;auth-address&gt;Leuven University Center for Metabolic Bone Diseases and Division of Geriatric Medicine, Department of Internal Medicine, Katholieke Universiteit Leuven, Leuven, Belgium.&lt;/auth-address&gt;&lt;titles&gt;&lt;title&gt;Renal safety of annual zoledronic acid infusions in osteoporotic postmenopausal women&lt;/title&gt;&lt;secondary-title&gt;Kidney Int&lt;/secondary-title&gt;&lt;/titles&gt;&lt;periodical&gt;&lt;full-title&gt;Kidney Int&lt;/full-title&gt;&lt;/periodical&gt;&lt;pages&gt;641-8&lt;/pages&gt;&lt;volume&gt;74&lt;/volume&gt;&lt;number&gt;5&lt;/number&gt;&lt;keywords&gt;&lt;keyword&gt;Journal Article Multicenter Study Randomized Controlled Trial Research Support, Non-U.S. Gov&amp;apos;t Aged Aged, 80 and over Bone Density Conservation Agents/ administration &amp;amp; dosage/ adverse effects Cohort Studies Creatinine/blood Diphosphonates/ administrati&lt;/keyword&gt;&lt;/keywords&gt;&lt;dates&gt;&lt;year&gt;2008&lt;/year&gt;&lt;pub-dates&gt;&lt;date&gt;Sep&lt;/date&gt;&lt;/pub-dates&gt;&lt;/dates&gt;&lt;isbn&gt;1523-1755 (Electronic)&lt;/isbn&gt;&lt;accession-num&gt;18509324&lt;/accession-num&gt;&lt;urls&gt;&lt;/urls&gt;&lt;custom1&gt; PubMed. Specific bisphosphonates. &lt;/custom1&gt;&lt;custom2&gt;CC.AD.&lt;/custom2&gt;&lt;custom6&gt;Include&lt;/custom6&gt;&lt;language&gt;eng&lt;/language&gt;&lt;/record&gt;&lt;/Cite&gt;&lt;/EndNote&gt;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502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Zoledronic acid (Zometa)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Placebo + Calcium + Vitamin D vs Zoledronic Acid 5 mg + Calcium + Vitamin D: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AEs: all: 93.9%(3,618/3,852) vs 95.5%(3,687/3,862)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AEs: deaths: 2.9%(112/3,852) vs 3.4%(131/3,862)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AEs: serious AE: 30.1%(1,160/3,852) vs 29.2%(1,127/3,862)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Apical granuloma: 0.0%(1/3,852) vs 0.0%(0/3,862)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Bone fistula: 0.0%(1/3,852) vs 0.0%(0/3,862)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Bone infarction: 0.0%(0/3,852) vs 0.0%(1/3,862)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Bone lesion: 0.0%(0/3,852) vs 0.0%(1/3,862)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Bone lesion excision: 0.0%(1/3,852) vs 0.0%(0/3,862)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Dental Caries: 0.6%(23/3,852) vs 0.5%(18/3,862)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Dental alveolar anomaly: 0.0%(1/3,852) vs 0.0%(0/3,862)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Dental necrosis: 0.1%(3/3,852) vs 0.0%(0/3,862)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Dry socket: 0.1%(3/3,852) vs 0.0%(0/3,862)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Estimated creatinine clearance &lt; 30 ml/min: overall: 4.2%(152/3,658) vs 4.4%(160/3,621)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 xml:space="preserve">Estimated creatinine clearance decreased by </w:t>
            </w:r>
            <w:r>
              <w:rPr>
                <w:color w:val="000000"/>
                <w:sz w:val="18"/>
                <w:szCs w:val="18"/>
              </w:rPr>
              <w:t>≥ 30%: ml/min: overall: 4.8%(177/3,658) vs 5.0%(182/3,621)</w:t>
            </w:r>
            <w:r>
              <w:rPr>
                <w:color w:val="000000"/>
                <w:sz w:val="18"/>
                <w:szCs w:val="18"/>
              </w:rPr>
              <w:br/>
              <w:t>Exostosis: 0.5%(19/3,852) vs 0.4%(17/3,862)</w:t>
            </w:r>
            <w:r>
              <w:rPr>
                <w:color w:val="000000"/>
                <w:sz w:val="18"/>
                <w:szCs w:val="18"/>
              </w:rPr>
              <w:br/>
              <w:t>Increase in serum creatinine &gt; 0.5 mg/100ml: overall: 2.0%(77/3,767) vs 2.8%(104/3,752)</w:t>
            </w:r>
            <w:r>
              <w:rPr>
                <w:color w:val="000000"/>
                <w:sz w:val="18"/>
                <w:szCs w:val="18"/>
              </w:rPr>
              <w:br/>
              <w:t>Mouth ulceration: 0.3%(10/3,852) vs 0.3%(11/3,862)</w:t>
            </w:r>
            <w:r>
              <w:rPr>
                <w:color w:val="000000"/>
                <w:sz w:val="18"/>
                <w:szCs w:val="18"/>
              </w:rPr>
              <w:br/>
              <w:t>Osteitis: 0.2%(7/3,852) vs 0.2%(7/3,862)</w:t>
            </w:r>
            <w:r>
              <w:rPr>
                <w:color w:val="000000"/>
                <w:sz w:val="18"/>
                <w:szCs w:val="18"/>
              </w:rPr>
              <w:br/>
              <w:t>Osteitis deformans: 0.0%(1/3,852) vs 0.0%(1/3,862)</w:t>
            </w:r>
            <w:r>
              <w:rPr>
                <w:color w:val="000000"/>
                <w:sz w:val="18"/>
                <w:szCs w:val="18"/>
              </w:rPr>
              <w:br/>
              <w:t>Osteolysis: 0.0%(0/3,852) vs 0.0%(1/3,862)</w:t>
            </w:r>
            <w:r>
              <w:rPr>
                <w:color w:val="000000"/>
                <w:sz w:val="18"/>
                <w:szCs w:val="18"/>
              </w:rPr>
              <w:br/>
              <w:t>Osteomyelitis: 0.0%(0/3,852) vs 0.1%(2/3,862)</w:t>
            </w:r>
            <w:r>
              <w:rPr>
                <w:color w:val="000000"/>
                <w:sz w:val="18"/>
                <w:szCs w:val="18"/>
              </w:rPr>
              <w:br/>
              <w:t>Osteomyelitis chronic: 0.0%(0/3,852) vs 0.0%(1/3,862)</w:t>
            </w:r>
            <w:r>
              <w:rPr>
                <w:color w:val="000000"/>
                <w:sz w:val="18"/>
                <w:szCs w:val="18"/>
              </w:rPr>
              <w:br/>
              <w:t>Osteonecrosis of jaw: 0.0%(1/3,852) vs 0.0%(1/3,862)</w:t>
            </w:r>
            <w:r>
              <w:rPr>
                <w:color w:val="000000"/>
                <w:sz w:val="18"/>
                <w:szCs w:val="18"/>
              </w:rPr>
              <w:br/>
              <w:t>Osteonecrosis of the hip: 0.1%(2/3,852) vs 0.1%(5/3,862)</w:t>
            </w:r>
            <w:r>
              <w:rPr>
                <w:color w:val="000000"/>
                <w:sz w:val="18"/>
                <w:szCs w:val="18"/>
              </w:rPr>
              <w:br/>
              <w:t>Periodontitis: 0.3%(12/3,852) vs 0.2%(7/3,862)</w:t>
            </w:r>
            <w:r>
              <w:rPr>
                <w:color w:val="000000"/>
                <w:sz w:val="18"/>
                <w:szCs w:val="18"/>
              </w:rPr>
              <w:br/>
              <w:t>Periostitis: 0.1%(2/3,852) vs 0.0%(0/3,862)</w:t>
            </w:r>
            <w:r>
              <w:rPr>
                <w:color w:val="000000"/>
                <w:sz w:val="18"/>
                <w:szCs w:val="18"/>
              </w:rPr>
              <w:br/>
              <w:t>Sinusitis: 2.7%(103/3,852) vs 2.2%(86/3,862)</w:t>
            </w:r>
            <w:r>
              <w:rPr>
                <w:color w:val="000000"/>
                <w:sz w:val="18"/>
                <w:szCs w:val="18"/>
              </w:rPr>
              <w:br/>
              <w:t>Sinusitis bacterial: 0.0%(1/3,852) vs 0.0%(1/3,862)</w:t>
            </w:r>
            <w:r>
              <w:rPr>
                <w:color w:val="000000"/>
                <w:sz w:val="18"/>
                <w:szCs w:val="18"/>
              </w:rPr>
              <w:br/>
              <w:t>Sinusitis fungal: 0.0%(0/3,852) vs 0.0%(1/3,862)</w:t>
            </w:r>
            <w:r>
              <w:rPr>
                <w:color w:val="000000"/>
                <w:sz w:val="18"/>
                <w:szCs w:val="18"/>
              </w:rPr>
              <w:br/>
              <w:t>Soft tissue inflammation: 0.0%(0/3,852) vs 0.0%(1/3,862)</w:t>
            </w:r>
            <w:r>
              <w:rPr>
                <w:color w:val="000000"/>
                <w:sz w:val="18"/>
                <w:szCs w:val="18"/>
              </w:rPr>
              <w:br/>
              <w:t>Soft tissue injury: 0.3%(12/3,852) vs 0.3%(11/3,862)</w:t>
            </w:r>
            <w:r>
              <w:rPr>
                <w:color w:val="000000"/>
                <w:sz w:val="18"/>
                <w:szCs w:val="18"/>
              </w:rPr>
              <w:br/>
              <w:t>Soft-tissue disorder: 0.0%(1/3,852) vs 0.0%(0/3,862)</w:t>
            </w:r>
            <w:r>
              <w:rPr>
                <w:color w:val="000000"/>
                <w:sz w:val="18"/>
                <w:szCs w:val="18"/>
              </w:rPr>
              <w:br/>
              <w:t>Soft-tissue infection: 0.0%(1/3,852) vs 0.0%(0/3,862)</w:t>
            </w:r>
            <w:r>
              <w:rPr>
                <w:color w:val="000000"/>
                <w:sz w:val="18"/>
                <w:szCs w:val="18"/>
              </w:rPr>
              <w:br/>
              <w:t>Tooth abscess: 0.5%(18/3,852) vs 0.6%(23/3,862)</w:t>
            </w:r>
            <w:r>
              <w:rPr>
                <w:color w:val="000000"/>
                <w:sz w:val="18"/>
                <w:szCs w:val="18"/>
              </w:rPr>
              <w:br/>
              <w:t>Urinary protein level &gt; 2+: overall: 0.5%(19/3,758) vs 0.5%(19/3,749)</w:t>
            </w:r>
            <w:r>
              <w:rPr>
                <w:color w:val="000000"/>
                <w:sz w:val="18"/>
                <w:szCs w:val="18"/>
              </w:rPr>
              <w:br/>
              <w:t>Discontinuation: due to AE: 1.8%(69/3,852) vs 2.1%(81/3,862)</w:t>
            </w:r>
            <w:r>
              <w:rPr>
                <w:color w:val="000000"/>
                <w:sz w:val="18"/>
                <w:szCs w:val="18"/>
              </w:rPr>
              <w:br/>
              <w:t>Discontinuation: total: 15.3%(590/3,852) vs 16.2%(625/3,862)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lastRenderedPageBreak/>
              <w:t>Chapman et al., 2009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ExcludeYear="1"&gt;&lt;RecNum&gt;9659&lt;/RecNum&gt;&lt;DisplayText&gt;&lt;style face="superscript"&gt;114&lt;/style&gt;&lt;/DisplayText&gt;&lt;record&gt;&lt;rec-number&gt;9659&lt;/rec-number&gt;&lt;foreign-keys&gt;&lt;key app="EN" db-id="29ezzfre25wfzbe5ttpvt0wkar525pde22z5"&gt;9659&lt;/key&gt;&lt;/foreign-keys&gt;&lt;ref-type name="Journal Article"&gt;17&lt;/ref-type&gt;&lt;contributors&gt;&lt;authors&gt;&lt;author&gt;Chapman, I. &lt;/author&gt;&lt;author&gt;Greville, H. &lt;/author&gt;&lt;author&gt;Ebeling, P. R. &lt;/author&gt;&lt;author&gt;King, S. J. &lt;/author&gt;&lt;author&gt;Kotsimbos, T. &lt;/author&gt;&lt;author&gt;Nugent, P. &lt;/author&gt;&lt;author&gt;Player, R. &lt;/author&gt;&lt;author&gt;Topliss, D. J. &lt;/author&gt;&lt;author&gt;Warner, J. &lt;/author&gt;&lt;author&gt;Wilson, J. W.&lt;/author&gt;&lt;/authors&gt;&lt;/contributors&gt;&lt;auth-address&gt;Endocrinology Department, Royal Adelaide Hospital, North Terrace, Adelaide, Australia.&lt;/auth-address&gt;&lt;titles&gt;&lt;title&gt;Intravenous zoledronate improves bone density in adults with cystic fibrosis (CF)&lt;/title&gt;&lt;secondary-title&gt;Clin Endocrinol (Oxf)&lt;/secondary-title&gt;&lt;/titles&gt;&lt;periodical&gt;&lt;full-title&gt;Clin Endocrinol (Oxf)&lt;/full-title&gt;&lt;/periodical&gt;&lt;pages&gt;838-46&lt;/pages&gt;&lt;volume&gt;70&lt;/volume&gt;&lt;number&gt;6&lt;/number&gt;&lt;edition&gt;2008/10/01&lt;/edition&gt;&lt;keywords&gt;&lt;keyword&gt;Adult Bone Density/*drug effects Bone Density Conservation Agents/*therapeutic use Cystic Fibrosis/*complications/drug therapy Diphosphonates/*therapeutic use Double-Blind Method Female Humans Imidazoles/*therapeutic use Male Osteoporosis/*drug therapy/&lt;/keyword&gt;&lt;/keywords&gt;&lt;dates&gt;&lt;year&gt;2009&lt;/year&gt;&lt;pub-dates&gt;&lt;date&gt;Jun&lt;/date&gt;&lt;/pub-dates&gt;&lt;/dates&gt;&lt;isbn&gt;1365-2265 (Electronic) 0300-0664 (Linking)&lt;/isbn&gt;&lt;accession-num&gt;18823395&lt;/accession-num&gt;&lt;urls&gt;&lt;related-urls&gt;&lt;url&gt;http://www.ncbi.nlm.nih.gov/entrez/query.fcgi?cmd=Retrieve&amp;amp;db=PubMed&amp;amp;dopt=Citation&amp;amp;list_uids=18823395&lt;/url&gt;&lt;/related-urls&gt;&lt;/urls&gt;&lt;custom6&gt;Include&lt;/custom6&gt;&lt;electronic-resource-num&gt;CEN3434 [pii] 10.1111/j.1365-2265.2008.03434.x&lt;/electronic-resource-num&gt;&lt;language&gt;eng&lt;/language&gt;&lt;/record&gt;&lt;/Cite&gt;&lt;/EndNote&gt;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114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Zoledronic acid (Zometa)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Zoledronic acid IV 2mg vs Placebo: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Fever, rigor, bone pain in legs and chest: 10.0%(1/10) vs 0.0%(0/12)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Flu-like illness: 80.0%(8/10) vs 8.3%(1/12)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Musculoskeletal pain: 40.0%(4/10) vs 16.7%(2/12)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Severe pain restricting movement requiring hospitalization: 10.0%(1/10) vs 0.0%(0/12)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Grey et al., 2010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ExcludeYear="1"&gt;&lt;RecNum&gt;9858&lt;/RecNum&gt;&lt;DisplayText&gt;&lt;style face="superscript"&gt;418&lt;/style&gt;&lt;/DisplayText&gt;&lt;record&gt;&lt;rec-number&gt;9858&lt;/rec-number&gt;&lt;foreign-keys&gt;&lt;key app="EN" db-id="29ezzfre25wfzbe5ttpvt0wkar525pde22z5"&gt;9858&lt;/key&gt;&lt;/foreign-keys&gt;&lt;ref-type name="Journal Article"&gt;17&lt;/ref-type&gt;&lt;contributors&gt;&lt;authors&gt;&lt;author&gt;Grey, A. &lt;/author&gt;&lt;author&gt;Bolland, M. &lt;/author&gt;&lt;author&gt;Wattie, D. &lt;/author&gt;&lt;author&gt;Horne, A. &lt;/author&gt;&lt;author&gt;Gamble, G. &lt;/author&gt;&lt;author&gt;Reid, I. R.&lt;/author&gt;&lt;/authors&gt;&lt;/contributors&gt;&lt;auth-address&gt;Grey, A., Department of Medicine, University of Auckland, Auckland, New Zealand&lt;/auth-address&gt;&lt;titles&gt;&lt;title&gt;Prolonged antiresorptive activity of zoledronate: A randomized, controlled trial&lt;/title&gt;&lt;secondary-title&gt;Journal of Bone and Mineral Research&lt;/secondary-title&gt;&lt;/titles&gt;&lt;periodical&gt;&lt;full-title&gt;Journal of Bone and Mineral Research&lt;/full-title&gt;&lt;/periodical&gt;&lt;pages&gt;2251-2255&lt;/pages&gt;&lt;volume&gt;25&lt;/volume&gt;&lt;number&gt;10&lt;/number&gt;&lt;keywords&gt;&lt;keyword&gt;calcium carboxy terminal telopeptide colecalciferol collagen type 1 estradiol placebo procollagen type 1 amino terminal propeptide unclassified drug zoledronic acid adult article bone density bone turnover clinical article clinical trial controlled clin&lt;/keyword&gt;&lt;/keywords&gt;&lt;dates&gt;&lt;year&gt;2010&lt;/year&gt;&lt;/dates&gt;&lt;urls&gt;&lt;related-urls&gt;&lt;url&gt;http://onlinelibrary.wiley.com/doi/10.1002/jbmr.103/pdf&lt;/url&gt;&lt;url&gt;http://onlinelibrary.wiley.com/doi/10.1002/jbmr.103/abstract&lt;/url&gt;&lt;/related-urls&gt;&lt;/urls&gt;&lt;custom1&gt; Embase. Bisphosphonates. 2010 update.&lt;/custom1&gt;&lt;custom4&gt;Paul&lt;/custom4&gt;&lt;custom6&gt;Include&lt;/custom6&gt;&lt;/record&gt;&lt;/Cite&gt;&lt;/EndNote&gt;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418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Zoledronic acid (Zometa)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Zoledronic acid vs Placebo: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Atrial fibrillation: 0.0%(0/25) vs 0.0%(0/25)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Ocular inflammation: 0.0%(0/25) vs 0.0%(0/25)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Osteonecrosis of the jaw: 0.0%(0/25) vs 0.0%(0/25)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Other fracture: 16.0%(4/25) vs 8.0%(2/25)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Symptomatic hypocalcemia: 0.0%(0/25) vs 0.0%(0/25)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Lyles et al., 2007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>
                <w:fldData xml:space="preserve">PEVuZE5vdGU+PENpdGUgRXhjbHVkZUF1dGg9IjEiIEV4Y2x1ZGVZZWFyPSIxIj48UmVjTnVtPjcw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</w:fldData>
              </w:fldChar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>
                <w:fldData xml:space="preserve">PEVuZE5vdGU+PENpdGUgRXhjbHVkZUF1dGg9IjEiIEV4Y2x1ZGVZZWFyPSIxIj48UmVjTnVtPjcw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</w:fldData>
              </w:fldChar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EN.CITE.DATA 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 w:rsidR="005F6BCB">
              <w:rPr>
                <w:rFonts w:cs="Times"/>
                <w:color w:val="000000"/>
                <w:sz w:val="18"/>
                <w:szCs w:val="18"/>
              </w:rPr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113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Zoledronic acid (Zometa)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Zoledronic acid vs Placebo: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Any AE: 82.3%(867/1,054) vs 80.6%(852/1,057)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Adjudicated hypocalcemia: 0.3%(3/1,054) vs 0.0%(0/1,057)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Any serious AE: 38.3%(404/1,054) vs 41.2%(436/1,057)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Arrhythmia: 2.3%(24/1,054) vs 3.7%(39/1,057)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Arthralgia: 3.1%(33/1,054) vs 2.2%(23/1,057)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Atrial fibrillation: any event: 2.8%(29/1,054) vs 2.6%(27/1,057)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Bone pain: 3.2%(34/1,054) vs 1.0%(11/1,057)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Death: 9.6%(101/1,054) vs 13.3%(141/1,057)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 from cardiovascular causes: 3.4%(36/1,054) vs 4.9%(52/1,057)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 from cardiovascular disease: 1.0%(11/1,054) vs 1.7%(18/1,057)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 from cerebrovascular disease: 0.7%(7/1,054) vs 0.7%(7/1,057)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Falls: 9.7%(102/1,054) vs 11.4%(120/1,057)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Headache: 1.5%(16/1,054) vs 0.9%(9/1,057)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Influenza-like symptoms: 0.6%(6/1,054) vs 0.3%(3/1,057)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Musculoskeletal pain: 3.1%(33/1,054) vs 1.2%(13/1,057)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Myalgia: 4.9%(52/1,054) vs 2.7%(29/1,057)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Myocardial infarction: 1.2%(13/1,054) vs 1.6%(17/1,057)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Ocular events possibly related to a study drug: 0.4%(4/1,054) vs 0.1%(1/1,057)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Pyrexia: 8.7%(92/1,054) vs 3.1%(33/1,057)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Renal event: increase in serum creatinine&gt;0.5 mg/dl: 6.2%(55/886) vs 5.6%(50/900)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Stroke: fatal event: 0.9%(9/1,054) vs 0.6%(6/1,057)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Stroke: serious adverse event: 4.4%(46/1,054) vs 3.6%(38/1,057)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Withdrawals: due to AE: 2.0%(21/1,054) vs 1.7%(18/1,057)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Withdrawals: total: 18.3%(193/1,054) vs 29.9%(316/1,057)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lastRenderedPageBreak/>
              <w:t>McClung et al., 2007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ExcludeYear="1"&gt;&lt;RecNum&gt;7025&lt;/RecNum&gt;&lt;DisplayText&gt;&lt;style face="superscript"&gt;503&lt;/style&gt;&lt;/DisplayText&gt;&lt;record&gt;&lt;rec-number&gt;7025&lt;/rec-number&gt;&lt;foreign-keys&gt;&lt;key app="EN" db-id="29ezzfre25wfzbe5ttpvt0wkar525pde22z5"&gt;7025&lt;/key&gt;&lt;/foreign-keys&gt;&lt;ref-type name="Journal Article"&gt;17&lt;/ref-type&gt;&lt;contributors&gt;&lt;authors&gt;&lt;author&gt;McClung, M. &lt;/author&gt;&lt;author&gt;Recker, R. &lt;/author&gt;&lt;author&gt;Miller, P. &lt;/author&gt;&lt;author&gt;Fiske, D. &lt;/author&gt;&lt;author&gt;Minkoff, J. &lt;/author&gt;&lt;author&gt;Kriegman, A. &lt;/author&gt;&lt;author&gt;Zhou, W. &lt;/author&gt;&lt;author&gt;Adera, M. &lt;/author&gt;&lt;author&gt;Davis, J.&lt;/author&gt;&lt;/authors&gt;&lt;/contributors&gt;&lt;auth-address&gt;Oregon Osteoporosis Center, 5050 NE, Hoyt Street, Ste 651, Portland, OR 97213-2954, USA. mmcclung@orost.com&lt;/auth-address&gt;&lt;titles&gt;&lt;title&gt;Intravenous zoledronic acid 5 mg in the treatment of postmenopausal women with low bone density previously treated with alendronate&lt;/title&gt;&lt;secondary-title&gt;Bone&lt;/secondary-title&gt;&lt;/titles&gt;&lt;periodical&gt;&lt;full-title&gt;Bone&lt;/full-title&gt;&lt;/periodical&gt;&lt;pages&gt;122-8&lt;/pages&gt;&lt;volume&gt;41&lt;/volume&gt;&lt;number&gt;1&lt;/number&gt;&lt;edition&gt;2007/05/01&lt;/edition&gt;&lt;keywords&gt;&lt;keyword&gt;Administration, Oral Alendronate/administration &amp;amp; dosage/adverse effects/*therapeutic use Alkaline Phosphatase/blood Bone Density/drug effects Bone Density Conservation Agents/*administration &amp;amp; dosage/adverse effects/therapeutic use Collagen Type I/bloo&lt;/keyword&gt;&lt;/keywords&gt;&lt;dates&gt;&lt;year&gt;2007&lt;/year&gt;&lt;pub-dates&gt;&lt;date&gt;Jul&lt;/date&gt;&lt;/pub-dates&gt;&lt;/dates&gt;&lt;isbn&gt;8756-3282 (Print)&lt;/isbn&gt;&lt;accession-num&gt;17468062&lt;/accession-num&gt;&lt;urls&gt;&lt;related-urls&gt;&lt;url&gt;http://www.ncbi.nlm.nih.gov/entrez/query.fcgi?cmd=Retrieve&amp;amp;db=PubMed&amp;amp;dopt=Citation&amp;amp;list_uids=17468062&lt;/url&gt;&lt;/related-urls&gt;&lt;/urls&gt;&lt;custom5&gt;From &amp;apos;09 CER update report&lt;/custom5&gt;&lt;custom6&gt;Include&lt;/custom6&gt;&lt;electronic-resource-num&gt;S8756-3282(07)00120-2 [pii] 10.1016/j.bone.2007.03.011&lt;/electronic-resource-num&gt;&lt;research-notes&gt;CER 12&lt;/research-notes&gt;&lt;language&gt;eng&lt;/language&gt;&lt;/record&gt;&lt;/Cite&gt;&lt;/EndNote&gt;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503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Zoledronic acid (Zometa)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Alendronate 70 mg/wk vs Zoledronic acid 5mg/wk: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AEs: any: 95.5%(107/112) vs 114.2%(129/113)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AEs: serious AE: 9.8%(11/112) vs 10.6%(12/113)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Arthralgia: 10.7%(12/112) vs 17.7%(20/113)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Back pain: 11.6%(13/112) vs 7.1%(8/113)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Bronchitis: 1.8%(2/112) vs 5.3%(6/113)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Cough: 5.4%(6/112) vs 2.7%(3/113)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Death: 0.0%(0/112) vs 0.0%(0/113)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Diarrhea: 1.8%(2/112) vs 5.3%(6/113)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Fatigue: 1.8%(2/112) vs 9.7%(11/113)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Headache: 13.4%(15/112) vs 16.8%(19/113)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Hypocalcemia: 0.0%(0/112) vs 0.0%(0/113)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Lab renal abnormality: 0.0%(0/112) vs 1.8%(2/113)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Pain: 2.7%(3/112) vs 6.2%(7/113)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Pain in extremity: 5.4%(6/112) vs 7.1%(8/113)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Sinusitis: 4.5%(5/112) vs 6.2%(7/113)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Upper respiratory tract infection: 12.5%(14/112) vs 8.0%(9/113)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Urinary tract infection: 6.3%(7/112) vs 8.0%(9/113)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Withdrawals: due to AE: 0.9%(1/112) vs 3.5%(4/113)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lastRenderedPageBreak/>
              <w:t>McClung et al., 2009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ExcludeYear="1"&gt;&lt;RecNum&gt;9845&lt;/RecNum&gt;&lt;DisplayText&gt;&lt;style face="superscript"&gt;421&lt;/style&gt;&lt;/DisplayText&gt;&lt;record&gt;&lt;rec-number&gt;9845&lt;/rec-number&gt;&lt;foreign-keys&gt;&lt;key app="EN" db-id="29ezzfre25wfzbe5ttpvt0wkar525pde22z5"&gt;9845&lt;/key&gt;&lt;/foreign-keys&gt;&lt;ref-type name="Journal Article"&gt;17&lt;/ref-type&gt;&lt;contributors&gt;&lt;authors&gt;&lt;author&gt;McClung, M. &lt;/author&gt;&lt;author&gt;Miller, P. &lt;/author&gt;&lt;author&gt;Recknor, C. &lt;/author&gt;&lt;author&gt;Mesenbrink, P. &lt;/author&gt;&lt;author&gt;Bucci-Rechtweg, C. &lt;/author&gt;&lt;author&gt;Benhamou, C. L.&lt;/author&gt;&lt;/authors&gt;&lt;/contributors&gt;&lt;auth-address&gt;Oregon Osteoporosis Center, Portland, Oregon, USA. mmcclung@orost.com&lt;/auth-address&gt;&lt;titles&gt;&lt;title&gt;Zoledronic acid for the prevention of bone loss in postmenopausal women with low bone mass: a randomized controlled trial&lt;/title&gt;&lt;secondary-title&gt;Obstet Gynecol&lt;/secondary-title&gt;&lt;/titles&gt;&lt;periodical&gt;&lt;full-title&gt;Obstet Gynecol&lt;/full-title&gt;&lt;/periodical&gt;&lt;pages&gt;999-1007&lt;/pages&gt;&lt;volume&gt;114&lt;/volume&gt;&lt;number&gt;5&lt;/number&gt;&lt;edition&gt;2010/02/20&lt;/edition&gt;&lt;keywords&gt;&lt;keyword&gt;Absorptiometry, Photon Alkaline Phosphatase/blood Bone Density Bone Density Conservation Agents/ administration &amp;amp; dosage Bone Remodeling Bone and Bones/enzymology Calcium/administration &amp;amp; dosage Diphosphonates/ administration &amp;amp; dosage/adverse effects Do&lt;/keyword&gt;&lt;/keywords&gt;&lt;dates&gt;&lt;year&gt;2009&lt;/year&gt;&lt;pub-dates&gt;&lt;date&gt;Nov&lt;/date&gt;&lt;/pub-dates&gt;&lt;/dates&gt;&lt;isbn&gt;1873-233X (Electronic) 0029-7844 (Linking)&lt;/isbn&gt;&lt;accession-num&gt;20168099&lt;/accession-num&gt;&lt;urls&gt;&lt;/urls&gt;&lt;custom1&gt; PubMed. Bisphsophonates. 2010 update&lt;/custom1&gt;&lt;custom4&gt;Paul&lt;/custom4&gt;&lt;custom6&gt;Include&lt;/custom6&gt;&lt;electronic-resource-num&gt;10.1097/AOG.0b013e3181bdce0a [doi] 00006250-200911000-00007 [pii]&lt;/electronic-resource-num&gt;&lt;remote-database-provider&gt;Nlm&lt;/remote-database-provider&gt;&lt;language&gt;eng&lt;/language&gt;&lt;/record&gt;&lt;/Cite&gt;&lt;/EndNote&gt;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421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Zoledronic acid (Zometa)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Placebo at randomization and at month 24 vs Zoledronic acid 5 mg at randomization and at month 24 vs Zoledronic acid 5 mg at randomization and placebo at month 24: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Arthralgia: 19.3%(39/202) vs 27.3%(54/198) vs 18.8%(34/181)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Atrial fibrillation: 0.0%(0/202) vs 0.0%(0/198) vs 0.0%(0/181)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Back pain: 11.9%(24/202) vs 18.2%(36/198) vs 16.6%(30/181)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Chills: 3.0%(6/202) vs 18.2%(36/198) vs 18.2%(33/181)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Chills 3 or &lt; days after an infusion: 1.5%(3/202) vs 16.7%(33/198) vs 18.2%(33/181)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Chills &gt;3 days after an infusion: 1.5%(3/202) vs 1.5%(3/198) vs 1.1%(2/181)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 due to sepsis: 0.0%(0/202) vs 0.5%(1/198) vs 0.0%(0/181)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Fatigue: 4.0%(8/202) vs 14.6%(29/198) vs 9.9%(18/181)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Headache: 11.4%(23/202) vs 14.6%(29/198) vs 20.4%(37/181)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Long-term effects on renal function: 0.0%(0/202) vs 0.0%(0/198) vs 0.0%(0/181)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Myalgia: 6.9%(14/202) vs 19.2%(38/198) vs 22.7%(41/181)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Myalgia 3 or &lt; days after an infusion: 2.0%(4/202) vs 15.7%(31/198) vs 20.4%(37/181)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Myalgia &gt;3 days after an infusion: 5.4%(11/202) vs 4.5%(9/198) vs 4.4%(8/181)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Nasopharyngitis: 11.4%(23/202) vs 13.6%(27/198) vs 9.4%(17/181)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Nausea: 7.9%(16/202) vs 17.7%(35/198) vs 11.6%(21/181)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Nausea 3 or &lt; days after an infusion: 2.0%(4/202) vs 12.1%(24/198) vs 8.8%(16/181)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Nausea &gt;3 days after an infusion: 5.9%(12/202) vs 6.6%(13/198) vs 3.9%(7/181)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Osteonecrosis of the jaw: 0.0%(0/202) vs 0.0%(0/198) vs 0.0%(0/181)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Pain: 3.5%(7/202) vs 24.2%(48/198) vs 14.9%(27/181)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Pain 3 or &lt; days after an infusion: 2.0%(4/202) vs 19.7%(39/198) vs 13.8%(25/181)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Pain &gt;3 days after an infusion: 1.5%(3/202) vs 6.1%(12/198) vs 1.1%(2/181)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Pain in extremity: 9.9%(20/202) vs 11.1%(22/198) vs 16.0%(29/181)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Pyrexia: 4.5%(9/202) vs 21.7%(43/198) vs 21.0%(38/181)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Pyrexia 3 or &lt; days after an infusion: 1.5%(3/202) vs 17.2%(34/198) vs 19.3%(35/181)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Pyrexia &gt;3 days after an infusion: 3.0%(6/202) vs 5.1%(10/198) vs 4.4%(8/181)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Serious adverse event: 11.4%(23/202) vs 8.6%(17/198) vs 11.6%(21/181)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Total number of participants with an AE: 92.1%(186/202) vs 93.9%(186/198) vs 95.6%(173/181)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Total number of participants with an AE 3 or &lt; days after an infusion: 24.8%(50/202) vs 61.6%(122/198) vs 63.0%(114/181)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Total number of participants with an AE &gt;3 days after an infusion: 91.6%(185/202) vs 90.9%(180/198) vs 89.5%(162/181)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Upper respiratory tract infection: 11.4%(23/202) vs 13.6%(27/198) vs 10.5%(19/181)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Urinary tract infection: 12.4%(25/202) vs 11.1%(22/198) vs 8.8%(16/181)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Etminan et al., 2008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ExcludeYear="1"&gt;&lt;RecNum&gt;7774&lt;/RecNum&gt;&lt;DisplayText&gt;&lt;style face="superscript"&gt;504&lt;/style&gt;&lt;/DisplayText&gt;&lt;record&gt;&lt;rec-number&gt;7774&lt;/rec-number&gt;&lt;foreign-keys&gt;&lt;key app="EN" db-id="29ezzfre25wfzbe5ttpvt0wkar525pde22z5"&gt;7774&lt;/key&gt;&lt;/foreign-keys&gt;&lt;ref-type name="Journal Article"&gt;17&lt;/ref-type&gt;&lt;contributors&gt;&lt;authors&gt;&lt;author&gt;Etminan, M. &lt;/author&gt;&lt;author&gt;Aminzadeh, K. &lt;/author&gt;&lt;author&gt;Matthew, I. R. &lt;/author&gt;&lt;author&gt;Brophy, J. M.&lt;/author&gt;&lt;/authors&gt;&lt;/contributors&gt;&lt;auth-address&gt;Center for Clinical Epidemiology and Evaluation, Vancouver General Hospital, Vancouver, BC, Canada. metminan@shaw.ca&lt;/auth-address&gt;&lt;titles&gt;&lt;title&gt;Use of oral bisphosphonates and the risk of aseptic osteonecrosis: a nested case-control study&lt;/title&gt;&lt;secondary-title&gt;J Rheumatol&lt;/secondary-title&gt;&lt;/titles&gt;&lt;periodical&gt;&lt;full-title&gt;J Rheumatol&lt;/full-title&gt;&lt;/periodical&gt;&lt;pages&gt;691-5&lt;/pages&gt;&lt;volume&gt;35&lt;/volume&gt;&lt;number&gt;4&lt;/number&gt;&lt;keywords&gt;&lt;keyword&gt;Journal Article Aged Bone Density Conservation Agents/ adverse effects Case-Control Studies Diphosphonates/ adverse effects Dose-Response Relationship, Drug Female Humans Jaw/pathology Jaw Diseases/ chemically induced/pathology/physiopathology Male Odds&lt;/keyword&gt;&lt;/keywords&gt;&lt;dates&gt;&lt;year&gt;2008&lt;/year&gt;&lt;pub-dates&gt;&lt;date&gt;Apr&lt;/date&gt;&lt;/pub-dates&gt;&lt;/dates&gt;&lt;isbn&gt;0315-162X (Print)&lt;/isbn&gt;&lt;accession-num&gt;18203310&lt;/accession-num&gt;&lt;urls&gt;&lt;/urls&gt;&lt;custom1&gt; PubMed. Specific bisphosphonates. &lt;/custom1&gt;&lt;custom2&gt;CC.AD.&lt;/custom2&gt;&lt;custom6&gt;Include&lt;/custom6&gt;&lt;language&gt;eng&lt;/language&gt;&lt;/record&gt;&lt;/Cite&gt;&lt;/EndNote&gt;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504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Alendronate (Fosamax), Etidronate (Didronel)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Oral Bisphosphonate: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Aseptic osteonecrosis: 28.3%(58/205)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lastRenderedPageBreak/>
              <w:t>Emkey et al., 2009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ExcludeYear="1"&gt;&lt;RecNum&gt;7764&lt;/RecNum&gt;&lt;DisplayText&gt;&lt;style face="superscript"&gt;505&lt;/style&gt;&lt;/DisplayText&gt;&lt;record&gt;&lt;rec-number&gt;7764&lt;/rec-number&gt;&lt;foreign-keys&gt;&lt;key app="EN" db-id="29ezzfre25wfzbe5ttpvt0wkar525pde22z5"&gt;7764&lt;/key&gt;&lt;/foreign-keys&gt;&lt;ref-type name="Journal Article"&gt;17&lt;/ref-type&gt;&lt;contributors&gt;&lt;authors&gt;&lt;author&gt;Emkey, R. &lt;/author&gt;&lt;author&gt;Delmas, P. D. &lt;/author&gt;&lt;author&gt;Bolognese, M. &lt;/author&gt;&lt;author&gt;Borges, J. L. &lt;/author&gt;&lt;author&gt;Cosman, F. &lt;/author&gt;&lt;author&gt;Ragi-Eis, S. &lt;/author&gt;&lt;author&gt;Recknor, C. &lt;/author&gt;&lt;author&gt;Zerbini, C. A. &lt;/author&gt;&lt;author&gt;Neate, C. &lt;/author&gt;&lt;author&gt;Sedarati, F. &lt;/author&gt;&lt;author&gt;Epstein, S.&lt;/author&gt;&lt;/authors&gt;&lt;/contributors&gt;&lt;auth-address&gt;Radiant Research, Wyomissing, Pennsylvania 19610, USA. bonedocron@yahoo.com&lt;/auth-address&gt;&lt;titles&gt;&lt;title&gt;Efficacy and tolerability of once-monthly oral ibandronate (150 mg) and once-weekly oral alendronate (70 mg): additional results from the Monthly Oral Therapy With Ibandronate For Osteoporosis Intervention (MOTION) study&lt;/title&gt;&lt;secondary-title&gt;Clin Ther&lt;/secondary-title&gt;&lt;/titles&gt;&lt;periodical&gt;&lt;full-title&gt;Clin Ther&lt;/full-title&gt;&lt;/periodical&gt;&lt;pages&gt;751-61&lt;/pages&gt;&lt;volume&gt;31&lt;/volume&gt;&lt;number&gt;4&lt;/number&gt;&lt;keywords&gt;&lt;keyword&gt;Comparative Study Journal Article Randomized Controlled Trial Research Support, Non-U.S. Gov&amp;apos;t Aged Aged, 80 and over Alendronate/administration &amp;amp; dosage/adverse effects/ therapeutic use Bone Density/drug effects Bone Density Conservation Agents/adminis&lt;/keyword&gt;&lt;/keywords&gt;&lt;dates&gt;&lt;year&gt;2009&lt;/year&gt;&lt;pub-dates&gt;&lt;date&gt;Apr&lt;/date&gt;&lt;/pub-dates&gt;&lt;/dates&gt;&lt;isbn&gt;0149-2918 (Print)&lt;/isbn&gt;&lt;accession-num&gt;19446148&lt;/accession-num&gt;&lt;urls&gt;&lt;/urls&gt;&lt;custom1&gt; PubMed. Specific bisphosphonates. &lt;/custom1&gt;&lt;custom2&gt;YW.CC.AD.&lt;/custom2&gt;&lt;custom6&gt;Include&lt;/custom6&gt;&lt;language&gt;eng&lt;/language&gt;&lt;/record&gt;&lt;/Cite&gt;&lt;/EndNote&gt;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505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Alendronate (Fosamax), Ibandronate (Boniva)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Trial: MOTION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Alendronate 70 mg weekly + Calcium 500 mg + Vitamin D 400 IU vs Ibandronate 150 mg monthly + Calcium 500 mg + Vitamin D 400 IU: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Any adverse event: 73.6%(632/859) vs 75.4%(659/874)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All GI adverse events: 28.9%(248/859) vs 30.3%(265/874)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Arthralgia: 5.7%(49/859) vs 5.4%(47/874)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Back pain: 5.2%(45/859) vs 6.9%(60/874)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Death: 0.5%(4/859) vs 0.2%(2/874)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Duodenal ulcer: 0.1%(1/859) vs 0.0%(0/874)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Dyspepsia: 5.6%(48/859) vs 6.9%(60/874)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Erosive duodenitis: 0.1%(1/859) vs 0.0%(0/874)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Esophagitis ulcerative: 0.1%(1/859) vs 0.0%(0/874)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GI hemorrhagic: 0.1%(1/859) vs 0.0%(0/874)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Gastric ulcer: 0.2%(2/859) vs 0.1%(1/874)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Gastritis erosive: 0.2%(2/859) vs 0.1%(1/874)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Gastritis hemorrhagic: 0.1%(1/859) vs 0.0%(0/874)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Hypertension: 5.9%(51/859) vs 7.8%(68/874)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Influenza: 4.2%(36/859) vs 5.6%(49/874)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Intestinal hemorrhagic: 0.1%(1/859) vs 0.0%(0/874)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Musculoskeletal and general disorders: 3.0%(26/859) vs 6.8%(59/874)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Nasopharyngitis: 4.8%(41/859) vs 5.8%(51/874)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Perforations, ulcers and bleeding: 0.9%(8/859) vs 0.5%(4/874)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Rectal hemorrhage: 0.1%(1/859) vs 0.2%(2/874)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Serious adverse event: 6.4%(55/859) vs 4.5%(39/874)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Upper-GI adverse event: 17.2%(148/859) vs 17.5%(153/874)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Upper-GI hemorrhage: 0.1%(1/859) vs 0.0%(0/874)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Hadji et al., 2008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ExcludeYear="1"&gt;&lt;RecNum&gt;7859&lt;/RecNum&gt;&lt;DisplayText&gt;&lt;style face="superscript"&gt;506&lt;/style&gt;&lt;/DisplayText&gt;&lt;record&gt;&lt;rec-number&gt;7859&lt;/rec-number&gt;&lt;foreign-keys&gt;&lt;key app="EN" db-id="29ezzfre25wfzbe5ttpvt0wkar525pde22z5"&gt;7859&lt;/key&gt;&lt;/foreign-keys&gt;&lt;ref-type name="Journal Article"&gt;17&lt;/ref-type&gt;&lt;contributors&gt;&lt;authors&gt;&lt;author&gt;Hadji, P. &lt;/author&gt;&lt;author&gt;Minne, H. &lt;/author&gt;&lt;author&gt;Pfeifer, M. &lt;/author&gt;&lt;author&gt;Bourgeois, P. &lt;/author&gt;&lt;author&gt;Fardellone, P. &lt;/author&gt;&lt;author&gt;Licata, A. &lt;/author&gt;&lt;author&gt;Devas, V. &lt;/author&gt;&lt;author&gt;Masanauskaite, D. &lt;/author&gt;&lt;author&gt;Barrett-Connor, E.&lt;/author&gt;&lt;/authors&gt;&lt;/contributors&gt;&lt;auth-address&gt;Philipps-University of Marburg, Department of Endocrinology, Reproductive Medicine and Osteoporosis, Baldingerstrasse, 35033 Marburg, Germany. hadji@med.uni-marburg.de&lt;/auth-address&gt;&lt;titles&gt;&lt;title&gt;Treatment preference for monthly oral ibandronate and weekly oral alendronate in women with postmenopausal osteoporosis: A randomized, crossover study (BALTO II)&lt;/title&gt;&lt;secondary-title&gt;Joint Bone Spine&lt;/secondary-title&gt;&lt;/titles&gt;&lt;periodical&gt;&lt;full-title&gt;Joint Bone Spine&lt;/full-title&gt;&lt;/periodical&gt;&lt;pages&gt;303-10&lt;/pages&gt;&lt;volume&gt;75&lt;/volume&gt;&lt;number&gt;3&lt;/number&gt;&lt;keywords&gt;&lt;keyword&gt;Journal Article Multicenter Study Randomized Controlled Trial Research Support, Non-U.S. Gov&amp;apos;t Administration, Oral Adult Aged Aged, 80 and over Alendronate/ administration &amp;amp; dosage Bone Density Conservation Agents/ administration &amp;amp; dosage Cross-Over St&lt;/keyword&gt;&lt;/keywords&gt;&lt;dates&gt;&lt;year&gt;2008&lt;/year&gt;&lt;pub-dates&gt;&lt;date&gt;May&lt;/date&gt;&lt;/pub-dates&gt;&lt;/dates&gt;&lt;isbn&gt;1778-7254 (Electronic)&lt;/isbn&gt;&lt;accession-num&gt;18069036&lt;/accession-num&gt;&lt;urls&gt;&lt;/urls&gt;&lt;custom1&gt; PubMed. Specific bisphosphonates. &lt;/custom1&gt;&lt;custom2&gt;YW.CC.AD.&lt;/custom2&gt;&lt;custom6&gt;Include&lt;/custom6&gt;&lt;language&gt;eng&lt;/language&gt;&lt;/record&gt;&lt;/Cite&gt;&lt;/EndNote&gt;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506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Alendronate (Fosamax), Ibandronate (Boniva)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Trial: BALTTO II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Alendronate 70 mg weekly + Calcium + Vitamin D vs Ibandronate 150 mg monthly + Calcium + Vitamin D: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Any adverse event: 34.6%(117/338) vs 37.5%(126/336)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Constipation: 1.2%(4/338) vs 3.0%(10/336)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Death: 0.0%(0/338) vs 0.0%(0/336)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Diarrhea: 3.3%(11/338) vs 1.5%(5/336)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Dyspepsia: 1.8%(6/338) vs 0.9%(3/336)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GI disorder: 8.6%(29/338) vs 8.3%(28/336)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Gastro-esophageal reflux disease: 0.6%(2/338) vs 1.2%(4/336)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General disorders: 2.1%(7/338) vs 1.5%(5/336)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Infections and infestations: 1.2%(4/338) vs 2.1%(7/336)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Musculoskeletal and connective tissue disorder: 4.7%(16/338) vs 3.3%(11/336)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Nervous system disorders: 1.2%(4/338) vs 2.1%(7/336)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Serious AE: 1.8%(6/338) vs 2.4%(8/336)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Severe GI events: 2.7%(9/338) vs 0.3%(1/336)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Upper GI event: 7.1%(24/338) vs 5.7%(19/336)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 due to AE: 0.9%(3/338) vs 0.3%(1/336)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lastRenderedPageBreak/>
              <w:t>Li et al., 2009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ExcludeYear="1"&gt;&lt;RecNum&gt;9177&lt;/RecNum&gt;&lt;DisplayText&gt;&lt;style face="superscript"&gt;507&lt;/style&gt;&lt;/DisplayText&gt;&lt;record&gt;&lt;rec-number&gt;9177&lt;/rec-number&gt;&lt;foreign-keys&gt;&lt;key app="EN" db-id="29ezzfre25wfzbe5ttpvt0wkar525pde22z5"&gt;9177&lt;/key&gt;&lt;/foreign-keys&gt;&lt;ref-type name="Journal Article"&gt;17&lt;/ref-type&gt;&lt;contributors&gt;&lt;authors&gt;&lt;author&gt;Li, M. &lt;/author&gt;&lt;author&gt;Xing, X. P. &lt;/author&gt;&lt;author&gt;Zhang, Z. L. &lt;/author&gt;&lt;author&gt;Liu, J. L. &lt;/author&gt;&lt;author&gt;Liu, D. G. &lt;/author&gt;&lt;author&gt;Xia, W. B.&lt;/author&gt;&lt;author&gt; Meng, X. W.&lt;/author&gt;&lt;/authors&gt;&lt;/contributors&gt;&lt;auth-address&gt;Department of Endocrinology, Endocrine Key Lab of the Health Ministry of China, Peking Union Medical College Hospital, Peking Union Medical College, Chinese Academy of Medical Sciences, Beijing, China, limeilzh@yahoo.com.&lt;/auth-address&gt;&lt;titles&gt;&lt;title&gt;Infusion of ibandronate once every 3 months effectively decreases bone resorption markers and increases bone mineral density in Chinese postmenopausal osteoporotic women: a 1-year study&lt;/title&gt;&lt;secondary-title&gt;J Bone Miner Metab&lt;/secondary-title&gt;&lt;/titles&gt;&lt;periodical&gt;&lt;full-title&gt;J Bone Miner Metab&lt;/full-title&gt;&lt;/periodical&gt;&lt;edition&gt;2009/10/27&lt;/edition&gt;&lt;dates&gt;&lt;year&gt;2009&lt;/year&gt;&lt;pub-dates&gt;&lt;date&gt;Oct 24&lt;/date&gt;&lt;/pub-dates&gt;&lt;/dates&gt;&lt;isbn&gt;1435-5604 (Electronic)&lt;/isbn&gt;&lt;accession-num&gt;19855926&lt;/accession-num&gt;&lt;urls&gt;&lt;/urls&gt;&lt;custom1&gt; PubMed. Adverse effects revision 20091203. &lt;/custom1&gt;&lt;custom4&gt;Full-text&lt;/custom4&gt;&lt;custom6&gt;Include&lt;/custom6&gt;&lt;electronic-resource-num&gt;10.1007/s00774-009-0126-y [doi]&lt;/electronic-resource-num&gt;&lt;remote-database-provider&gt;Nlm&lt;/remote-database-provider&gt;&lt;language&gt;Eng&lt;/language&gt;&lt;/record&gt;&lt;/Cite&gt;&lt;/EndNote&gt;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507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Alendronate (Fosamax), Ibandronate (Boniva)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Alendronate 70 mg/week + Calcium 500 mg/day + Vitamin D 200 IU/day vs Intravenous ibandronate 2 mg every 3mo + Calcium 500 mg/day + Vitamin D 200 IU/day: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Acute renal failure: 0.0%(0/79) vs 0.0%(0/79)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Bone pain after 1 month: 3.8%(3/79) vs 2.5%(2/79)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Bone pain after 2-12 months: 0.0%(0/79) vs 0.0%(0/79)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Fever after 1 month: 1.3%(1/79) vs 3.8%(3/79)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Fever after 2-12 months: 0.0%(0/79) vs 0.0%(0/79)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Influenza-like symptoms after 1 month: 7.6%(6/79) vs 12.7%(10/79)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Influenza-like symptoms after 2-12 months: 3.8%(3/79) vs 0.0%(0/79)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Muscle pain after 1 month: 5.1%(4/79) vs 29.1%(23/79)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Muscle pain after 2-12 months: 3.8%(3/79) vs 0.0%(0/79)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Osteonecrosis of jaw after 1 month: 0.0%(0/79) vs 0.0%(0/79)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Osteonecrosis of jaw after 2-12 months: 0.0%(0/79) vs 0.0%(0/79)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Other after 1 month: 0.0%(0/79) vs 3.8%(3/79)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Other after 2-12 months: 0.0%(0/79) vs 0.0%(0/79)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Peptic side effects after 1 month: 3.8%(3/79) vs 1.3%(1/79)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Peptic side effects after 2-12 months: 2.5%(2/79) vs 0.0%(0/79)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Withdrawals: 3.8%(3/79) vs 5.1%(4/79)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 due to adverse events: 1.3%(1/79) vs 2.5%(2/79)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Cadarette et al., 2009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ExcludeYear="1"&gt;&lt;RecNum&gt;7073&lt;/RecNum&gt;&lt;DisplayText&gt;&lt;style face="superscript"&gt;508&lt;/style&gt;&lt;/DisplayText&gt;&lt;record&gt;&lt;rec-number&gt;7073&lt;/rec-number&gt;&lt;foreign-keys&gt;&lt;key app="EN" db-id="29ezzfre25wfzbe5ttpvt0wkar525pde22z5"&gt;7073&lt;/key&gt;&lt;/foreign-keys&gt;&lt;ref-type name="Journal Article"&gt;17&lt;/ref-type&gt;&lt;contributors&gt;&lt;authors&gt;&lt;author&gt;Cadarette, S. M. &lt;/author&gt;&lt;author&gt;Katz, J. N. &lt;/author&gt;&lt;author&gt;Brookhart, M. A. &lt;/author&gt;&lt;author&gt;Sturmer, T. &lt;/author&gt;&lt;author&gt;Stedman, M. R. &lt;/author&gt;&lt;author&gt;Levin, R. &lt;/author&gt;&lt;author&gt;Solomon, D. H.&lt;/author&gt;&lt;/authors&gt;&lt;/contributors&gt;&lt;auth-address&gt;Division of Pharmacoepidemiology and Pharmacoeconomics, Brigham and Women&amp;apos;s Hospital, Harvard Medical School, Boston, MA, USA. s.cadarette@utoronto.ca&lt;/auth-address&gt;&lt;titles&gt;&lt;title&gt;Comparative gastrointestinal safety of weekly oral bisphosphonates&lt;/title&gt;&lt;secondary-title&gt;Osteoporos Int&lt;/secondary-title&gt;&lt;/titles&gt;&lt;periodical&gt;&lt;full-title&gt;Osteoporos Int&lt;/full-title&gt;&lt;/periodical&gt;&lt;pages&gt;1735-47&lt;/pages&gt;&lt;volume&gt;20&lt;/volume&gt;&lt;number&gt;10&lt;/number&gt;&lt;edition&gt;2009/03/07&lt;/edition&gt;&lt;dates&gt;&lt;year&gt;2009&lt;/year&gt;&lt;pub-dates&gt;&lt;date&gt;Oct&lt;/date&gt;&lt;/pub-dates&gt;&lt;/dates&gt;&lt;isbn&gt;1433-2965 (Electronic)&lt;/isbn&gt;&lt;accession-num&gt;19266138&lt;/accession-num&gt;&lt;urls&gt;&lt;related-urls&gt;&lt;url&gt;http://www.ncbi.nlm.nih.gov/entrez/query.fcgi?cmd=Retrieve&amp;amp;db=PubMed&amp;amp;dopt=Citation&amp;amp;list_uids=19266138&lt;/url&gt;&lt;/related-urls&gt;&lt;/urls&gt;&lt;custom5&gt;Google scholar forward search on AHRQ publication &amp;quot;Comparative Effectiveness of Treatments to prevent fractures in men and women with Low Bone Density or Osteoporosis&amp;quot;&lt;/custom5&gt;&lt;custom6&gt;Include&lt;/custom6&gt;&lt;electronic-resource-num&gt;10.1007/s00198-009-0871-8&lt;/electronic-resource-num&gt;&lt;language&gt;eng&lt;/language&gt;&lt;/record&gt;&lt;/Cite&gt;&lt;/EndNote&gt;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508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Alendronate (Fosamax), Risedronate (Actonel)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Alendronate vs Risedronate: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Any upper GI diagnosis or procedure: 18.2%(1,058/5,818) vs 18.8%(867/4,602)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Gastroprotective treatment: 31.7%(1,843/5,818) vs 34.5%(1,588/4,602)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Hospitalization for upper GI bleed: 0.3%(16/5,818) vs 0.3%(15/4,602)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Switched between therapies: 1.9%(111/5,818) vs 1.3%(60/4,602)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Upper GI disease: 10.5%(612/5,818) vs 11.0%(508/4,602)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Upper GI endoscopy: 2.3%(134/5,818) vs 2.0%(90/4,602)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Upper GI symptom: 11.4%(662/5,818) vs 11.2%(516/4,602)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Reid et al., 2006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ExcludeYear="1"&gt;&lt;RecNum&gt;8243&lt;/RecNum&gt;&lt;DisplayText&gt;&lt;style face="superscript"&gt;509&lt;/style&gt;&lt;/DisplayText&gt;&lt;record&gt;&lt;rec-number&gt;8243&lt;/rec-number&gt;&lt;foreign-keys&gt;&lt;key app="EN" db-id="29ezzfre25wfzbe5ttpvt0wkar525pde22z5"&gt;8243&lt;/key&gt;&lt;/foreign-keys&gt;&lt;ref-type name="Journal Article"&gt;17&lt;/ref-type&gt;&lt;contributors&gt;&lt;authors&gt;&lt;author&gt;Reid, D. M. &lt;/author&gt;&lt;author&gt;Hosking, D. &lt;/author&gt;&lt;author&gt;Kendler, D. &lt;/author&gt;&lt;author&gt;Brandi, M. L. &lt;/author&gt;&lt;author&gt;Wark, J. D. &lt;/author&gt;&lt;author&gt;Weryha, G. &lt;/author&gt;&lt;author&gt;Marques-Neto, J. F. &lt;/author&gt;&lt;author&gt;Gaines, K. A. &lt;/author&gt;&lt;author&gt;Verbruggen, N. &lt;/author&gt;&lt;author&gt;Melton, M. E.&lt;/author&gt;&lt;/authors&gt;&lt;/contributors&gt;&lt;auth-address&gt;Department of Medicine and Therapeutics, University of Aberdeen, Aberdeen, UK. d.m.reid@abdn.ac.uk&lt;/auth-address&gt;&lt;titles&gt;&lt;title&gt;Alendronic acid produces greater effects than risedronic acid on bone density and turnover in postmenopausal women with osteoporosis : results of FACTS -international&lt;/title&gt;&lt;secondary-title&gt;Clin Drug Investig&lt;/secondary-title&gt;&lt;/titles&gt;&lt;periodical&gt;&lt;full-title&gt;Clin Drug Investig&lt;/full-title&gt;&lt;/periodical&gt;&lt;pages&gt;63-74&lt;/pages&gt;&lt;volume&gt;26&lt;/volume&gt;&lt;number&gt;2&lt;/number&gt;&lt;keywords&gt;&lt;keyword&gt;Journal Article Multicenter Study Randomized Controlled Trial Research Support, Non-U.S. Gov&amp;apos;t Aged Alendronate/adverse effects/ therapeutic use Bone Density/ drug effects Bone Remodeling/ drug effects Double-Blind Method Etidronic Acid/adverse effects/&lt;/keyword&gt;&lt;/keywords&gt;&lt;dates&gt;&lt;year&gt;2006&lt;/year&gt;&lt;/dates&gt;&lt;isbn&gt;1173-2563 (Print)&lt;/isbn&gt;&lt;accession-num&gt;17163237&lt;/accession-num&gt;&lt;urls&gt;&lt;/urls&gt;&lt;custom1&gt; PubMed. Specific bisphosphonates. &lt;/custom1&gt;&lt;custom2&gt;YW.CC.AD.&lt;/custom2&gt;&lt;custom6&gt;Include&lt;/custom6&gt;&lt;language&gt;eng&lt;/language&gt;&lt;/record&gt;&lt;/Cite&gt;&lt;/EndNote&gt;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509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Alendronate (Fosamax), Risedronate (Actonel)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Trial: FACTS-INT'L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Alendronic acid 10 mg/day + Elemental calcium 1000 mg + Vitamin D 400 IU vs Risedronic acid 5mg/day + Elemental calcium 1000 mg + Vitamin D 400 IU: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Any adverse event: 65.4%(306/468) vs 67.1%(314/468)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Any serious adverse event: 5.1%(24/468) vs 10.0%(47/468)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Death: 0.4%(2/468) vs 0.9%(4/468)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Serious upper GI event: 0.4%(2/468) vs 0.9%(4/468)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Upper GI event: 20.3%(95/468) vs 20.1%(94/468)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Withdrawals: 8.1%(38/468) vs 9.4%(44/468)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Breart et al., 2009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ExcludeYear="1"&gt;&lt;RecNum&gt;8675&lt;/RecNum&gt;&lt;DisplayText&gt;&lt;style face="superscript"&gt;510&lt;/style&gt;&lt;/DisplayText&gt;&lt;record&gt;&lt;rec-number&gt;8675&lt;/rec-number&gt;&lt;foreign-keys&gt;&lt;key app="EN" db-id="29ezzfre25wfzbe5ttpvt0wkar525pde22z5"&gt;8675&lt;/key&gt;&lt;/foreign-keys&gt;&lt;ref-type name="Journal Article"&gt;17&lt;/ref-type&gt;&lt;contributors&gt;&lt;authors&gt;&lt;author&gt;Breart, G. &lt;/author&gt;&lt;author&gt;Cooper, C. &lt;/author&gt;&lt;author&gt;Meyer, O. &lt;/author&gt;&lt;author&gt;Speirs, C. &lt;/author&gt;&lt;author&gt;Deltour, N. &lt;/author&gt;&lt;author&gt;Reginster, J. Y.&lt;/author&gt;&lt;/authors&gt;&lt;/contributors&gt;&lt;auth-address&gt;INSERM U 953, Hopital Tenon, 4 rue de la Chine, 75020, Paris, France, gerard.breart@inserm.fr.&lt;/auth-address&gt;&lt;titles&gt;&lt;title&gt;Osteoporosis and venous thromboembolism: a retrospective cohort study in the UK General Practice Research Database&lt;/title&gt;&lt;secondary-title&gt;Osteoporos Int&lt;/secondary-title&gt;&lt;/titles&gt;&lt;periodical&gt;&lt;full-title&gt;Osteoporos Int&lt;/full-title&gt;&lt;/periodical&gt;&lt;edition&gt;2009/10/07&lt;/edition&gt;&lt;dates&gt;&lt;year&gt;2009&lt;/year&gt;&lt;pub-dates&gt;&lt;date&gt;Oct 6&lt;/date&gt;&lt;/pub-dates&gt;&lt;/dates&gt;&lt;isbn&gt;1433-2965 (Electronic)&lt;/isbn&gt;&lt;accession-num&gt;19806285&lt;/accession-num&gt;&lt;urls&gt;&lt;/urls&gt;&lt;custom1&gt; PubMed. Adverse effects revision 20091203. &lt;/custom1&gt;&lt;custom2&gt;AD.YL.&lt;/custom2&gt;&lt;custom6&gt;Include&lt;/custom6&gt;&lt;electronic-resource-num&gt;10.1007/s00198-009-1050-7 [doi]&lt;/electronic-resource-num&gt;&lt;remote-database-provider&gt;Nlm&lt;/remote-database-provider&gt;&lt;language&gt;Eng&lt;/language&gt;&lt;/record&gt;&lt;/Cite&gt;&lt;/EndNote&gt;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510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Alendronate (Fosamax), Strontium ranelate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Alendronate sodium vs Control: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Venous thromboembolism: 0.7%(140/20,084) vs 0.5%(61/11,546)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lastRenderedPageBreak/>
              <w:t>Saag et al., 2007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ExcludeYear="1"&gt;&lt;RecNum&gt;9629&lt;/RecNum&gt;&lt;DisplayText&gt;&lt;style face="superscript"&gt;511&lt;/style&gt;&lt;/DisplayText&gt;&lt;record&gt;&lt;rec-number&gt;9629&lt;/rec-number&gt;&lt;foreign-keys&gt;&lt;key app="EN" db-id="29ezzfre25wfzbe5ttpvt0wkar525pde22z5"&gt;9629&lt;/key&gt;&lt;/foreign-keys&gt;&lt;ref-type name="Journal Article"&gt;17&lt;/ref-type&gt;&lt;contributors&gt;&lt;authors&gt;&lt;author&gt;Saag, K. &lt;/author&gt;&lt;author&gt;Lindsay, R. &lt;/author&gt;&lt;author&gt;Kriegman, A. &lt;/author&gt;&lt;author&gt;Beamer, E. &lt;/author&gt;&lt;author&gt;Zhou, W.&lt;/author&gt;&lt;/authors&gt;&lt;/contributors&gt;&lt;auth-address&gt;University of Alabama School of Medicine, 1530 3rd Avenue South, FOT 820D, Birmingham, AL 35294-3408, USA. kenneth.saag@ccc.uab.edu&lt;/auth-address&gt;&lt;titles&gt;&lt;title&gt;A single zoledronic acid infusion reduces bone resorption markers more rapidly than weekly oral alendronate in postmenopausal women with low bone mineral density&lt;/title&gt;&lt;secondary-title&gt;Bone&lt;/secondary-title&gt;&lt;/titles&gt;&lt;periodical&gt;&lt;full-title&gt;Bone&lt;/full-title&gt;&lt;/periodical&gt;&lt;pages&gt;1238-43&lt;/pages&gt;&lt;volume&gt;40&lt;/volume&gt;&lt;number&gt;5&lt;/number&gt;&lt;edition&gt;2007/03/10&lt;/edition&gt;&lt;keywords&gt;&lt;keyword&gt;Administration, Oral Aged Alendronate/administration &amp;amp; dosage/adverse effects/*therapeutic use Alkaline Phosphatase/urine Biological Markers/blood/urine Bone Density/*drug effects Bone Resorption/*drug therapy/*urine Collagen Type I/urine Diphosphonates&lt;/keyword&gt;&lt;/keywords&gt;&lt;dates&gt;&lt;year&gt;2007&lt;/year&gt;&lt;pub-dates&gt;&lt;date&gt;May&lt;/date&gt;&lt;/pub-dates&gt;&lt;/dates&gt;&lt;isbn&gt;8756-3282 (Print) 1873-2763 (Linking)&lt;/isbn&gt;&lt;accession-num&gt;17347063&lt;/accession-num&gt;&lt;urls&gt;&lt;related-urls&gt;&lt;url&gt;http://www.ncbi.nlm.nih.gov/entrez/query.fcgi?cmd=Retrieve&amp;amp;db=PubMed&amp;amp;dopt=Citation&amp;amp;list_uids=17347063&lt;/url&gt;&lt;/related-urls&gt;&lt;/urls&gt;&lt;custom6&gt;Include&lt;/custom6&gt;&lt;electronic-resource-num&gt;S8756-3282(07)00046-4 [pii] 10.1016/j.bone.2007.01.016&lt;/electronic-resource-num&gt;&lt;language&gt;eng&lt;/language&gt;&lt;/record&gt;&lt;/Cite&gt;&lt;/EndNote&gt;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511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Alendronate (Fosamax), Zoledronic acid (Zometa)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Alendronate vs Zoledronic acid: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Any AE: 78.0%(46/59) vs 79.7%(55/69)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Abdominal distension: 6.8%(4/59) vs 2.9%(2/69)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Abdominal pain: 5.1%(3/59) vs 1.4%(1/69)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Arthralgia: 10.2%(6/59) vs 5.8%(4/69)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Back pain: 0.0%(0/59) vs 5.8%(4/69)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Chest pain: 1.7%(1/59) vs 1.4%(1/69)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Chills: 1.7%(1/59) vs 1.4%(1/69)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Clinical remarkable changes in vital signs: 0.0%(0/59) vs 0.0%(0/69)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Constipation: 5.1%(3/59) vs 1.4%(1/69)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Death: 0.0%(0/59) vs 0.0%(0/69)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Diarrhea: 0.0%(0/59) vs 2.9%(2/69)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Dizziness: 5.1%(3/59) vs 0.0%(0/69)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Dyspepsia: 5.1%(3/59) vs 10.1%(7/69)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Elevation in alanine aminotransferase (ALT): 3.4%(2/59) vs 18.8%(13/69)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Eructation: 5.1%(3/59) vs 1.4%(1/69)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Fatigue: 5.1%(3/59) vs 2.9%(2/69)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Flatulence: 3.4%(2/59) vs 1.4%(1/69)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Headache: 15.3%(9/59) vs 8.7%(6/69)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Hypocalcemia: 0.0%(0/59) vs 0.0%(0/69)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Influenza-like illness: 1.7%(1/59) vs 1.4%(1/69)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Low calcium levels: 0.0%(0/59) vs 0.0%(0/69)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Muscle spasms: 6.8%(4/59) vs 4.3%(3/69)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Myalgia: 3.4%(2/59) vs 7.2%(5/69)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Nasopharyngitis: 3.4%(2/59) vs 10.1%(7/69)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Nausea: 6.8%(4/59) vs 1.4%(1/69)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Osteoarthritis: 5.1%(3/59) vs 5.8%(4/69)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Pain: 0.0%(0/59) vs 0.0%(0/69)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Pain in extremity: 6.8%(4/59) vs 2.9%(2/69)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Pyrexia: 1.7%(1/59) vs 0.0%(0/69)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Rash: 1.7%(1/59) vs 1.4%(1/69)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Serious AE: 5.1%(3/59) vs 2.9%(2/69)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Shoulder pain: 5.1%(3/59) vs 0.0%(0/69)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Sinusitis: 5.1%(3/59) vs 4.3%(3/69)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Upper respiratory tract infection: 11.9%(7/59) vs 7.2%(5/69)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Withdrawals: 8.5%(5/59) vs 8.7%(6/69)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lastRenderedPageBreak/>
              <w:t>Reid et al., 2009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ExcludeYear="1"&gt;&lt;RecNum&gt;8242&lt;/RecNum&gt;&lt;DisplayText&gt;&lt;style face="superscript"&gt;512&lt;/style&gt;&lt;/DisplayText&gt;&lt;record&gt;&lt;rec-number&gt;8242&lt;/rec-number&gt;&lt;foreign-keys&gt;&lt;key app="EN" db-id="29ezzfre25wfzbe5ttpvt0wkar525pde22z5"&gt;8242&lt;/key&gt;&lt;/foreign-keys&gt;&lt;ref-type name="Journal Article"&gt;17&lt;/ref-type&gt;&lt;contributors&gt;&lt;authors&gt;&lt;author&gt;Reid, D. M. &lt;/author&gt;&lt;author&gt;Devogelaer, J. P. &lt;/author&gt;&lt;author&gt;Saag, K. &lt;/author&gt;&lt;author&gt;Roux, C. &lt;/author&gt;&lt;author&gt;Lau, C. S. &lt;/author&gt;&lt;author&gt;Reginster, J. Y. &lt;/author&gt;&lt;author&gt;Papanastasiou, P. &lt;/author&gt;&lt;author&gt;Ferreira, A. &lt;/author&gt;&lt;author&gt;Hartl, F. &lt;/author&gt;&lt;author&gt;Fashola, T. &lt;/author&gt;&lt;author&gt;Mesenbrink, P. &lt;/author&gt;&lt;author&gt;Sambrook, P. N.&lt;/author&gt;&lt;/authors&gt;&lt;/contributors&gt;&lt;auth-address&gt;University of Aberdeen, Aberdeen, UK.&lt;/auth-address&gt;&lt;titles&gt;&lt;title&gt;Zoledronic acid and risedronate in the prevention and treatment of glucocorticoid-induced osteoporosis (HORIZON): a multicentre, double-blind, double-dummy, randomised controlled trial&lt;/title&gt;&lt;secondary-title&gt;Lancet&lt;/secondary-title&gt;&lt;/titles&gt;&lt;periodical&gt;&lt;full-title&gt;Lancet&lt;/full-title&gt;&lt;/periodical&gt;&lt;pages&gt;1253-63&lt;/pages&gt;&lt;volume&gt;373&lt;/volume&gt;&lt;number&gt;9671&lt;/number&gt;&lt;keywords&gt;&lt;keyword&gt;Comparative Study Journal Article Multicenter Study Randomized Controlled Trial Research Support, Non-U.S. Gov&amp;apos;t Administration, Oral Adolescent Adult Aged Aged, 80 and over Analysis of Variance Bone Density/drug effects Bone Density Conservation Agents&lt;/keyword&gt;&lt;/keywords&gt;&lt;dates&gt;&lt;year&gt;2009&lt;/year&gt;&lt;pub-dates&gt;&lt;date&gt;Apr 11&lt;/date&gt;&lt;/pub-dates&gt;&lt;/dates&gt;&lt;isbn&gt;1474-547X (Electronic)&lt;/isbn&gt;&lt;accession-num&gt;19362675&lt;/accession-num&gt;&lt;urls&gt;&lt;/urls&gt;&lt;custom1&gt; PubMed. Specific bisphosphonates. &lt;/custom1&gt;&lt;custom2&gt;YW.CC.AD.&lt;/custom2&gt;&lt;custom6&gt;Include&lt;/custom6&gt;&lt;language&gt;eng&lt;/language&gt;&lt;/record&gt;&lt;/Cite&gt;&lt;/EndNote&gt;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512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Risedronate (Actonel), Zoledronic acid (Zometa)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Intravenous Zoledronic acid 5 mg + 1 g Calcium + Vitamin D 400-1200 IU/day + oral placebo vs Oral risedronate 5 mg/day  + 1 g Calcium + Vitamin D 400-1200 IU/day + Intravenous placebo: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Any adverse event: 77.4%(322/416) vs 66.9%(279/417)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Abdominal pain: 2.4%(10/416) vs 1.9%(8/417)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Acute renal failure: 0.2%(1/416) vs 0.5%(2/417)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Allergic dermatitis: 0.5%(2/416) vs 1.9%(8/417)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Anemia: 2.4%(10/416) vs 2.9%(12/417)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Anxiety: 1.0%(4/416) vs 1.2%(5/417)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Any serious adverse event: 18.3%(76/416) vs 18.5%(77/417)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Arthralgia: 9.9%(41/416) vs 7.4%(31/417)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Asthenia: 3.8%(16/416) vs 3.6%(15/417)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Asymptomatic hypocalcemia: 0.2%(1/416) vs 0.0%(0/417)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Atrial fibrillation: 0.7%(3/416) vs 0.0%(0/417)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Back pain: 4.3%(18/416) vs 6.2%(26/417)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Baseline creatinine clearance &lt;/= 30% after given drug: 0.2%(1/416) vs 0.5%(2/417)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 xml:space="preserve">Baseline creatinine clearance </w:t>
            </w:r>
            <w:r>
              <w:rPr>
                <w:color w:val="000000"/>
                <w:sz w:val="18"/>
                <w:szCs w:val="18"/>
              </w:rPr>
              <w:t>≤ 60ml/min and ≥ 30% after given drug: 0.2%(1/416) vs 0.5%(2/417)</w:t>
            </w:r>
            <w:r>
              <w:rPr>
                <w:color w:val="000000"/>
                <w:sz w:val="18"/>
                <w:szCs w:val="18"/>
              </w:rPr>
              <w:br/>
              <w:t>Blepharitis: 0.2%(1/416) vs 0.0%(0/417)</w:t>
            </w:r>
            <w:r>
              <w:rPr>
                <w:color w:val="000000"/>
                <w:sz w:val="18"/>
                <w:szCs w:val="18"/>
              </w:rPr>
              <w:br/>
              <w:t>Blurred vision: 0.0%(0/416) vs 0.5%(2/417)</w:t>
            </w:r>
            <w:r>
              <w:rPr>
                <w:color w:val="000000"/>
                <w:sz w:val="18"/>
                <w:szCs w:val="18"/>
              </w:rPr>
              <w:br/>
              <w:t>Bone pain: 3.1%(13/416) vs 2.2%(9/417)</w:t>
            </w:r>
            <w:r>
              <w:rPr>
                <w:color w:val="000000"/>
                <w:sz w:val="18"/>
                <w:szCs w:val="18"/>
              </w:rPr>
              <w:br/>
              <w:t>Bronchitis: 1.2%(5/416) vs 1.4%(6/417)</w:t>
            </w:r>
            <w:r>
              <w:rPr>
                <w:color w:val="000000"/>
                <w:sz w:val="18"/>
                <w:szCs w:val="18"/>
              </w:rPr>
              <w:br/>
              <w:t>Cataract: 1.7%(7/416) vs 1.7%(7/417)</w:t>
            </w:r>
            <w:r>
              <w:rPr>
                <w:color w:val="000000"/>
                <w:sz w:val="18"/>
                <w:szCs w:val="18"/>
              </w:rPr>
              <w:br/>
              <w:t>Chest pain: 0.5%(2/416) vs 0.7%(3/417)</w:t>
            </w:r>
            <w:r>
              <w:rPr>
                <w:color w:val="000000"/>
                <w:sz w:val="18"/>
                <w:szCs w:val="18"/>
              </w:rPr>
              <w:br/>
              <w:t>Chills: 3.4%(14/416) vs 0.7%(3/417)</w:t>
            </w:r>
            <w:r>
              <w:rPr>
                <w:color w:val="000000"/>
                <w:sz w:val="18"/>
                <w:szCs w:val="18"/>
              </w:rPr>
              <w:br/>
              <w:t>Conjunctivitis: 1.2%(5/416) vs 0.2%(1/417)</w:t>
            </w:r>
            <w:r>
              <w:rPr>
                <w:color w:val="000000"/>
                <w:sz w:val="18"/>
                <w:szCs w:val="18"/>
              </w:rPr>
              <w:br/>
              <w:t>Constipation: 2.2%(9/416) vs 2.4%(10/417)</w:t>
            </w:r>
            <w:r>
              <w:rPr>
                <w:color w:val="000000"/>
                <w:sz w:val="18"/>
                <w:szCs w:val="18"/>
              </w:rPr>
              <w:br/>
              <w:t>Contusion: 1.9%(8/416) vs 0.5%(2/417)</w:t>
            </w:r>
            <w:r>
              <w:rPr>
                <w:color w:val="000000"/>
                <w:sz w:val="18"/>
                <w:szCs w:val="18"/>
              </w:rPr>
              <w:br/>
              <w:t>Creatinine clearance &lt; 30 mL/min after given drug: 1.0%(4/416) vs 1.0%(4/417)</w:t>
            </w:r>
            <w:r>
              <w:rPr>
                <w:color w:val="000000"/>
                <w:sz w:val="18"/>
                <w:szCs w:val="18"/>
              </w:rPr>
              <w:br/>
              <w:t>Death: 1.0%(4/416) vs 0.7%(3/417)</w:t>
            </w:r>
            <w:r>
              <w:rPr>
                <w:color w:val="000000"/>
                <w:sz w:val="18"/>
                <w:szCs w:val="18"/>
              </w:rPr>
              <w:br/>
              <w:t>Depression: 1.7%(7/416) vs 1.7%(7/417)</w:t>
            </w:r>
            <w:r>
              <w:rPr>
                <w:color w:val="000000"/>
                <w:sz w:val="18"/>
                <w:szCs w:val="18"/>
              </w:rPr>
              <w:br/>
              <w:t>Diarrhea: 3.6%(15/416) vs 2.4%(10/417)</w:t>
            </w:r>
            <w:r>
              <w:rPr>
                <w:color w:val="000000"/>
                <w:sz w:val="18"/>
                <w:szCs w:val="18"/>
              </w:rPr>
              <w:br/>
              <w:t>Diplopia: 0.0%(0/416) vs 0.2%(1/417)</w:t>
            </w:r>
            <w:r>
              <w:rPr>
                <w:color w:val="000000"/>
                <w:sz w:val="18"/>
                <w:szCs w:val="18"/>
              </w:rPr>
              <w:br/>
              <w:t>Dizziness: 2.4%(10/416) vs 1.0%(4/417)</w:t>
            </w:r>
            <w:r>
              <w:rPr>
                <w:color w:val="000000"/>
                <w:sz w:val="18"/>
                <w:szCs w:val="18"/>
              </w:rPr>
              <w:br/>
              <w:t>Dyspepsia: 5.5%(23/416) vs 4.3%(18/417)</w:t>
            </w:r>
            <w:r>
              <w:rPr>
                <w:color w:val="000000"/>
                <w:sz w:val="18"/>
                <w:szCs w:val="18"/>
              </w:rPr>
              <w:br/>
              <w:t>Episcleritis: 0.0%(0/416) vs 0.2%(1/417)</w:t>
            </w:r>
            <w:r>
              <w:rPr>
                <w:color w:val="000000"/>
                <w:sz w:val="18"/>
                <w:szCs w:val="18"/>
              </w:rPr>
              <w:br/>
              <w:t>Fall: 1.7%(7/416) vs 1.0%(4/417)</w:t>
            </w:r>
            <w:r>
              <w:rPr>
                <w:color w:val="000000"/>
                <w:sz w:val="18"/>
                <w:szCs w:val="18"/>
              </w:rPr>
              <w:br/>
              <w:t>Fatigue: 3.1%(13/416) vs 1.4%(6/417)</w:t>
            </w:r>
            <w:r>
              <w:rPr>
                <w:color w:val="000000"/>
                <w:sz w:val="18"/>
                <w:szCs w:val="18"/>
              </w:rPr>
              <w:br/>
              <w:t>Gastritis: 1.2%(5/416) vs 1.4%(6/417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206ED5">
            <w:pPr>
              <w:adjustRightInd w:val="0"/>
              <w:spacing w:before="60" w:after="100" w:afterAutospacing="1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lastRenderedPageBreak/>
              <w:t>Reid et al., 2009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ExcludeYear="1"&gt;&lt;RecNum&gt;8242&lt;/RecNum&gt;&lt;DisplayText&gt;&lt;style face="superscript"&gt;512&lt;/style&gt;&lt;/DisplayText&gt;&lt;record&gt;&lt;rec-number&gt;8242&lt;/rec-number&gt;&lt;foreign-keys&gt;&lt;key app="EN" db-id="29ezzfre25wfzbe5ttpvt0wkar525pde22z5"&gt;8242&lt;/key&gt;&lt;/foreign-keys&gt;&lt;ref-type name="Journal Article"&gt;17&lt;/ref-type&gt;&lt;contributors&gt;&lt;authors&gt;&lt;author&gt;Reid, D. M. &lt;/author&gt;&lt;author&gt;Devogelaer, J. P. &lt;/author&gt;&lt;author&gt;Saag, K. &lt;/author&gt;&lt;author&gt;Roux, C. &lt;/author&gt;&lt;author&gt;Lau, C. S. &lt;/author&gt;&lt;author&gt;Reginster, J. Y. &lt;/author&gt;&lt;author&gt;Papanastasiou, P. &lt;/author&gt;&lt;author&gt;Ferreira, A. &lt;/author&gt;&lt;author&gt;Hartl, F. &lt;/author&gt;&lt;author&gt;Fashola, T. &lt;/author&gt;&lt;author&gt;Mesenbrink, P. &lt;/author&gt;&lt;author&gt;Sambrook, P. N.&lt;/author&gt;&lt;/authors&gt;&lt;/contributors&gt;&lt;auth-address&gt;University of Aberdeen, Aberdeen, UK.&lt;/auth-address&gt;&lt;titles&gt;&lt;title&gt;Zoledronic acid and risedronate in the prevention and treatment of glucocorticoid-induced osteoporosis (HORIZON): a multicentre, double-blind, double-dummy, randomised controlled trial&lt;/title&gt;&lt;secondary-title&gt;Lancet&lt;/secondary-title&gt;&lt;/titles&gt;&lt;periodical&gt;&lt;full-title&gt;Lancet&lt;/full-title&gt;&lt;/periodical&gt;&lt;pages&gt;1253-63&lt;/pages&gt;&lt;volume&gt;373&lt;/volume&gt;&lt;number&gt;9671&lt;/number&gt;&lt;keywords&gt;&lt;keyword&gt;Comparative Study Journal Article Multicenter Study Randomized Controlled Trial Research Support, Non-U.S. Gov&amp;apos;t Administration, Oral Adolescent Adult Aged Aged, 80 and over Analysis of Variance Bone Density/drug effects Bone Density Conservation Agents&lt;/keyword&gt;&lt;/keywords&gt;&lt;dates&gt;&lt;year&gt;2009&lt;/year&gt;&lt;pub-dates&gt;&lt;date&gt;Apr 11&lt;/date&gt;&lt;/pub-dates&gt;&lt;/dates&gt;&lt;isbn&gt;1474-547X (Electronic)&lt;/isbn&gt;&lt;accession-num&gt;19362675&lt;/accession-num&gt;&lt;urls&gt;&lt;/urls&gt;&lt;custom1&gt; PubMed. Specific bisphosphonates. &lt;/custom1&gt;&lt;custom2&gt;YW.CC.AD.&lt;/custom2&gt;&lt;custom6&gt;Include&lt;/custom6&gt;&lt;language&gt;eng&lt;/language&gt;&lt;/record&gt;&lt;/Cite&gt;&lt;/EndNote&gt;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512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Continued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206ED5">
            <w:pPr>
              <w:adjustRightInd w:val="0"/>
              <w:spacing w:before="60" w:after="100" w:afterAutospacing="1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Intravenous Zoledronic acid 5 mg + 1 g Calcium + Vitamin D 400-1200 IU/day + oral placebo vs Oral risedronate 5 mg/day  + 1 g Calcium + Vitamin D 400-1200 IU/day + Intravenous placebo: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Gastro-esophageal reflux: 1.2%(5/416) vs 1.4%(6/417)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Headache: 5.3%(22/416) vs 2.4%(10/417)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Hypertension: 4.3%(18/416) vs 4.1%(17/417)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Increase of lacrimation: 0.0%(0/416) vs 0.2%(1/417)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Influenza: 3.4%(14/416) vs 1.9%(8/417)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Influenza-like illness: 6.0%(25/416) vs 1.0%(4/417)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Insomnia: 1.9%(8/416) vs 1.4%(6/417)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Joint swelling: 1.0%(4/416) vs 0.5%(2/417)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Keratoconjunctivitis sicca: 0.7%(3/416) vs 0.0%(0/417)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Musculoskeletal chest pain: 1.9%(8/416) vs 0.0%(0/417)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Musculoskeletal pain: 1.4%(6/416) vs 1.7%(7/417)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Musculoskeletal stiffness: 1.2%(5/416) vs 0.2%(1/417)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Myalgia: 9.1%(38/416) vs 3.4%(14/417)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Nasopharyngitis: 2.9%(12/416) vs 2.6%(11/417)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Nausea: 9.6%(40/416) vs 8.4%(35/417)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Edema peripheral: 2.9%(12/416) vs 2.2%(9/417)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Osteonecrosis of long bones: 0.2%(1/416) vs 0.0%(0/417)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Osteonecrosis of the jaw: 0.0%(0/416) vs 0.0%(0/417)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Pain in limbs: 3.1%(13/416) vs 1.2%(5/417)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Palpitations: 1.0%(4/416) vs 0.7%(3/417)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Paresthesia: 1.4%(6/416) vs 0.5%(2/417)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Pneumonia: 1.4%(6/416) vs 1.9%(8/417)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Proteinuria: 1.0%(4/416) vs 0.7%(3/417)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Pyrexia: 12.7%(53/416) vs 3.6%(15/417)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Rash: 0.7%(3/416) vs 1.9%(8/417)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Rectal Haemorrhage: 1.0%(4/416) vs 0.0%(0/417)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Sciatica: 2.4%(10/416) vs 0.2%(1/417)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Serum creatinine increase by &gt;44 umol/L: 1.9%(8/416) vs 1.4%(6/417)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Sinusitis: 1.2%(5/416) vs 2.2%(9/417)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Supraventricular tachycardia: 0.2%(1/416) vs 0.0%(0/417)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Upper abdominal pain: 5.0%(21/416) vs 3.1%(13/417)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Upper respiratory tract infection: 2.4%(10/416) vs 1.9%(8/417)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Urinary tract infection: 5.0%(21/416) vs 4.1%(17/417)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Vertigo: 1.9%(8/416) vs 1.2%(5/417)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Vomiting: 4.8%(20/416) vs 2.4%(10/41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206ED5">
            <w:pPr>
              <w:adjustRightInd w:val="0"/>
              <w:spacing w:before="100" w:beforeAutospacing="1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Grosso et al., 2009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ExcludeYear="1"&gt;&lt;RecNum&gt;7852&lt;/RecNum&gt;&lt;DisplayText&gt;&lt;style face="superscript"&gt;513&lt;/style&gt;&lt;/DisplayText&gt;&lt;record&gt;&lt;rec-number&gt;7852&lt;/rec-number&gt;&lt;foreign-keys&gt;&lt;key app="EN" db-id="29ezzfre25wfzbe5ttpvt0wkar525pde22z5"&gt;7852&lt;/key&gt;&lt;/foreign-keys&gt;&lt;ref-type name="Journal Article"&gt;17&lt;/ref-type&gt;&lt;contributors&gt;&lt;authors&gt;&lt;author&gt;Grosso, A. &lt;/author&gt;&lt;author&gt;Douglas, I. &lt;/author&gt;&lt;author&gt;Hingorani, A. &lt;/author&gt;&lt;author&gt;MacAllister, R. &lt;/author&gt;&lt;author&gt;Smeeth, L.&lt;/author&gt;&lt;/authors&gt;&lt;/contributors&gt;&lt;auth-address&gt;Department of Pharmacy, University College London Hospitals NHS Foundation Trust, London, United Kingdom. anthony.grosso@uclh.nhs.uk&lt;/auth-address&gt;&lt;titles&gt;&lt;title&gt;Oral bisphosphonates and risk of atrial fibrillation and flutter in women: a self-controlled case-series safety analysis&lt;/title&gt;&lt;secondary-title&gt;PLoS One&lt;/secondary-title&gt;&lt;/titles&gt;&lt;periodical&gt;&lt;full-title&gt;PLoS One&lt;/full-title&gt;&lt;/periodical&gt;&lt;pages&gt;e4720&lt;/pages&gt;&lt;volume&gt;4&lt;/volume&gt;&lt;number&gt;3&lt;/number&gt;&lt;keywords&gt;&lt;keyword&gt;Journal Article Research Support, Non-U.S. Gov&amp;apos;t Aged Aged, 80 and over Alendronate/toxicity Atrial Fibrillation/ chemically induced Atrial Flutter/ chemically induced Bone Density Conservation Agents/toxicity Case-Control Studies Databases, Factual Dip&lt;/keyword&gt;&lt;/keywords&gt;&lt;dates&gt;&lt;year&gt;2009&lt;/year&gt;&lt;/dates&gt;&lt;isbn&gt;1932-6203 (Electronic)&lt;/isbn&gt;&lt;accession-num&gt;19266096&lt;/accession-num&gt;&lt;urls&gt;&lt;/urls&gt;&lt;custom1&gt; PubMed. Specific bisphosphonates. &lt;/custom1&gt;&lt;custom2&gt;YW.CC.AD.&lt;/custom2&gt;&lt;custom6&gt;Include&lt;/custom6&gt;&lt;language&gt;eng&lt;/language&gt;&lt;/record&gt;&lt;/Cite&gt;&lt;/EndNote&gt;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513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Alendronate (Fosamax), Bisphosphonates, Risedronate (Actonel)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206ED5">
            <w:pPr>
              <w:adjustRightInd w:val="0"/>
              <w:spacing w:before="100" w:beforeAutospacing="1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Bisphosphonates (either Alendronate 10mg daily or 70mg weekly OR Risedronate 5mg daily or 35mg weekly):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Atrial fibrillation or atrial flutter: 8.3%(3,335/40,253)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lastRenderedPageBreak/>
              <w:t>Hong et al., 2009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ExcludeYear="1"&gt;&lt;RecNum&gt;7888&lt;/RecNum&gt;&lt;DisplayText&gt;&lt;style face="superscript"&gt;514&lt;/style&gt;&lt;/DisplayText&gt;&lt;record&gt;&lt;rec-number&gt;7888&lt;/rec-number&gt;&lt;foreign-keys&gt;&lt;key app="EN" db-id="29ezzfre25wfzbe5ttpvt0wkar525pde22z5"&gt;7888&lt;/key&gt;&lt;/foreign-keys&gt;&lt;ref-type name="Journal Article"&gt;17&lt;/ref-type&gt;&lt;contributors&gt;&lt;authors&gt;&lt;author&gt;Hong, J. W. &lt;/author&gt;&lt;author&gt;Nam, W. &lt;/author&gt;&lt;author&gt;Cha, I. H. &lt;/author&gt;&lt;author&gt;Chung, S. W. &lt;/author&gt;&lt;author&gt;Choi, H. S. &lt;/author&gt;&lt;author&gt;Kim, K. M. &lt;/author&gt;&lt;author&gt;Kim, K. J. &lt;/author&gt;&lt;author&gt;Rhee, Y. &lt;/author&gt;&lt;author&gt;Lim, S. K.&lt;/author&gt;&lt;/authors&gt;&lt;/contributors&gt;&lt;auth-address&gt;Department of Internal Medicine, Yonsei University College of Medicine, 250 Seongsanno, Seodaemun-gu, Seoul, 120-752, South Korea.&lt;/auth-address&gt;&lt;titles&gt;&lt;title&gt;Oral bisphosphonate-related osteonecrosis of the jaw: the first report in Asia&lt;/title&gt;&lt;secondary-title&gt;Osteoporos Int&lt;/secondary-title&gt;&lt;/titles&gt;&lt;periodical&gt;&lt;full-title&gt;Osteoporos Int&lt;/full-title&gt;&lt;/periodical&gt;&lt;keywords&gt;&lt;keyword&gt;Journal article&lt;/keyword&gt;&lt;/keywords&gt;&lt;dates&gt;&lt;year&gt;2009&lt;/year&gt;&lt;pub-dates&gt;&lt;date&gt;Jul 25&lt;/date&gt;&lt;/pub-dates&gt;&lt;/dates&gt;&lt;isbn&gt;1433-2965 (Electronic)&lt;/isbn&gt;&lt;accession-num&gt;19633881&lt;/accession-num&gt;&lt;urls&gt;&lt;/urls&gt;&lt;custom1&gt; PubMed. Specific bisphosphonates. &lt;/custom1&gt;&lt;custom2&gt;YW.CC.AD.&lt;/custom2&gt;&lt;custom6&gt;Include&lt;/custom6&gt;&lt;language&gt;Eng&lt;/language&gt;&lt;/record&gt;&lt;/Cite&gt;&lt;/EndNote&gt;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514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Alendronate (Fosamax), Bisphosphonates, Risedronate (Actonel)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Bisphosphonates: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Osteonecrosis of the jaw (BRONJ): 0.1%(7/9,882)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Blumentals et al., 2009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ExcludeYear="1"&gt;&lt;RecNum&gt;7582&lt;/RecNum&gt;&lt;DisplayText&gt;&lt;style face="superscript"&gt;515&lt;/style&gt;&lt;/DisplayText&gt;&lt;record&gt;&lt;rec-number&gt;7582&lt;/rec-number&gt;&lt;foreign-keys&gt;&lt;key app="EN" db-id="29ezzfre25wfzbe5ttpvt0wkar525pde22z5"&gt;7582&lt;/key&gt;&lt;/foreign-keys&gt;&lt;ref-type name="Journal Article"&gt;17&lt;/ref-type&gt;&lt;contributors&gt;&lt;authors&gt;&lt;author&gt;Blumentals, W. A. &lt;/author&gt;&lt;author&gt;Harris, S. T. &lt;/author&gt;&lt;author&gt;Cole, R. E. &lt;/author&gt;&lt;author&gt;Huang, L. &lt;/author&gt;&lt;author&gt;Silverman, S. L.&lt;/author&gt;&lt;/authors&gt;&lt;/contributors&gt;&lt;auth-address&gt;Roche, Nutley, NJ, USA.&lt;/auth-address&gt;&lt;titles&gt;&lt;title&gt;Risk of severe gastrointestinal events in women treated with monthly ibandronate or weekly alendronate and risedronate&lt;/title&gt;&lt;secondary-title&gt;Ann Pharmacother&lt;/secondary-title&gt;&lt;/titles&gt;&lt;periodical&gt;&lt;full-title&gt;Ann Pharmacother&lt;/full-title&gt;&lt;/periodical&gt;&lt;pages&gt;577-85&lt;/pages&gt;&lt;volume&gt;43&lt;/volume&gt;&lt;number&gt;4&lt;/number&gt;&lt;keywords&gt;&lt;keyword&gt;Journal Article Research Support, Non-U.S. Gov&amp;apos;t&lt;/keyword&gt;&lt;/keywords&gt;&lt;dates&gt;&lt;year&gt;2009&lt;/year&gt;&lt;pub-dates&gt;&lt;date&gt;Apr&lt;/date&gt;&lt;/pub-dates&gt;&lt;/dates&gt;&lt;isbn&gt;1542-6270 (Electronic)&lt;/isbn&gt;&lt;accession-num&gt;19318598&lt;/accession-num&gt;&lt;urls&gt;&lt;/urls&gt;&lt;custom1&gt; PubMed. Specific bisphosphonates. &lt;/custom1&gt;&lt;custom2&gt;YW.CC.AD.&lt;/custom2&gt;&lt;custom6&gt;Include&lt;/custom6&gt;&lt;language&gt;eng&lt;/language&gt;&lt;/record&gt;&lt;/Cite&gt;&lt;/EndNote&gt;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515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Alendronate (Fosamax), Ibandronate (Boniva), Risedronate (Actonel)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Alendronate/Risedronate weekly vs Ibandronate 150 mg/mo: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Severe GI events: during the follow-up period: 0.8%(70/8,608) vs 0.5%(45/8,608)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Use of healthcare services: GI drugs: 24.6%(2,115/8,608) vs 25.7%(2,209/8,608)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Use of healthcare services: GI endoscopy: 1.6%(139/8,608) vs 1.8%(158/8,608)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Use of healthcare services: GI specialist visits: 5.7%(487/8,608) vs 6.2%(535/8,608)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Use of healthcare services: X-ray use: 0.4%(34/8,608) vs 0.3%(23/8,608)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Use of healthcare services: emergency care: 7.1%(611/8,608) vs 6.5%(562/8,608)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Use of healthcare services: hospitalization: 4.2%(365/8,608) vs 3.8%(325/8,608)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Use of healthcare services: outpatient visits: 69.2%(5,959/8,608) vs 71.5%(6,155/8,608)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Use of healthcare services: outpatient visits related to GI diagnoses: 2.3%(201/8,608) vs 2.7%(233/8,608)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Use of healthcare services: outpatient visits related to musculoskeletal diagnoses: 25.9%(2,230/8,608) vs 26.1%(2,246/8,608)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Ideguchi et al., 2007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ExcludeYear="1"&gt;&lt;RecNum&gt;7894&lt;/RecNum&gt;&lt;DisplayText&gt;&lt;style face="superscript"&gt;294&lt;/style&gt;&lt;/DisplayText&gt;&lt;record&gt;&lt;rec-number&gt;7894&lt;/rec-number&gt;&lt;foreign-keys&gt;&lt;key app="EN" db-id="29ezzfre25wfzbe5ttpvt0wkar525pde22z5"&gt;7894&lt;/key&gt;&lt;/foreign-keys&gt;&lt;ref-type name="Journal Article"&gt;17&lt;/ref-type&gt;&lt;contributors&gt;&lt;authors&gt;&lt;author&gt;Ideguchi, H. &lt;/author&gt;&lt;author&gt;Ohno, S. &lt;/author&gt;&lt;author&gt;Hattori, H. &lt;/author&gt;&lt;author&gt;Ishigatsubo, Y.&lt;/author&gt;&lt;/authors&gt;&lt;/contributors&gt;&lt;auth-address&gt;Chronic Intractable Disease Center, Yokohama City University Medical Center, 4-57 Urafune-cho, Minami-ku, Yokohama, Kanagawa 232-0024, Japan.&lt;/auth-address&gt;&lt;titles&gt;&lt;title&gt;Persistence with bisphosphonate therapy including treatment courses with multiple sequential bisphosphonates in the real world&lt;/title&gt;&lt;secondary-title&gt;Osteoporos Int&lt;/secondary-title&gt;&lt;/titles&gt;&lt;periodical&gt;&lt;full-title&gt;Osteoporos Int&lt;/full-title&gt;&lt;/periodical&gt;&lt;pages&gt;1421-7&lt;/pages&gt;&lt;volume&gt;18&lt;/volume&gt;&lt;number&gt;10&lt;/number&gt;&lt;keywords&gt;&lt;keyword&gt;Journal Article Aged Bone Density Conservation Agents/administration &amp;amp; dosage/adverse effects/ therapeutic use Diphosphonates/administration &amp;amp; dosage/adverse effects/ therapeutic use Drug Administration Schedule Female Humans Male Middle Aged Osteoporos&lt;/keyword&gt;&lt;/keywords&gt;&lt;dates&gt;&lt;year&gt;2007&lt;/year&gt;&lt;pub-dates&gt;&lt;date&gt;Oct&lt;/date&gt;&lt;/pub-dates&gt;&lt;/dates&gt;&lt;isbn&gt;0937-941X (Print)&lt;/isbn&gt;&lt;accession-num&gt;17577595&lt;/accession-num&gt;&lt;urls&gt;&lt;/urls&gt;&lt;custom1&gt; PubMed. Specific bisphosphonates. &lt;/custom1&gt;&lt;custom2&gt;YW.AD.&lt;/custom2&gt;&lt;custom6&gt;Include&lt;/custom6&gt;&lt;language&gt;eng&lt;/language&gt;&lt;/record&gt;&lt;/Cite&gt;&lt;/EndNote&gt;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294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Alendronate (Fosamax), Bisphosphonates, Etidronate (Didronel), Risedronate (Actonel)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Bisphosphonates: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Any adverse event: 9.5%(124/1,307)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Diarrhea and/or constipation: 0.9%(12/1,307)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Elevated liver function: 0.2%(3/1,307)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Gastric pain: 4.6%(60/1,307)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Heartburn: 0.5%(6/1,307)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Increase of creatine kinase: 0.1%(1/1,307)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Increase of creatinine: 0.3%(4/1,307)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Laboratory abnormalities: 0.6%(8/1,307)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Stomatitis: 0.6%(8/1,307)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Bonnick et al., 2007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ExcludeYear="1"&gt;&lt;RecNum&gt;7595&lt;/RecNum&gt;&lt;DisplayText&gt;&lt;style face="superscript"&gt;226&lt;/style&gt;&lt;/DisplayText&gt;&lt;record&gt;&lt;rec-number&gt;7595&lt;/rec-number&gt;&lt;foreign-keys&gt;&lt;key app="EN" db-id="29ezzfre25wfzbe5ttpvt0wkar525pde22z5"&gt;7595&lt;/key&gt;&lt;/foreign-keys&gt;&lt;ref-type name="Journal Article"&gt;17&lt;/ref-type&gt;&lt;contributors&gt;&lt;authors&gt;&lt;author&gt;Bonnick, S. &lt;/author&gt;&lt;author&gt;Broy, S. &lt;/author&gt;&lt;author&gt;Kaiser, F. &lt;/author&gt;&lt;author&gt;Teutsch, C. &lt;/author&gt;&lt;author&gt;Rosenberg, E. &lt;/author&gt;&lt;author&gt;DeLucca, P. &lt;/author&gt;&lt;author&gt;Melton, M.&lt;/author&gt;&lt;/authors&gt;&lt;/contributors&gt;&lt;auth-address&gt;Clinical Research Center of North Texas, Denton, TX 76210, USA. sbonnickcrcnt@verizon.net&lt;/auth-address&gt;&lt;titles&gt;&lt;title&gt;Treatment with alendronate plus calcium, alendronate alone, or calcium alone for postmenopausal low bone mineral density&lt;/title&gt;&lt;secondary-title&gt;Curr Med Res Opin&lt;/secondary-title&gt;&lt;/titles&gt;&lt;periodical&gt;&lt;full-title&gt;Curr Med Res Opin&lt;/full-title&gt;&lt;/periodical&gt;&lt;pages&gt;1341-9&lt;/pages&gt;&lt;volume&gt;23&lt;/volume&gt;&lt;number&gt;6&lt;/number&gt;&lt;keywords&gt;&lt;keyword&gt;Journal Article Multicenter Study Randomized Controlled Trial Research Support, Non-U.S. Gov&amp;apos;t Absorptiometry, Photon Aged Alendronate/ therapeutic use Analysis of Variance Bone Density/drug effects Bone Density Conservation Agents/ therapeutic use Bone&lt;/keyword&gt;&lt;/keywords&gt;&lt;dates&gt;&lt;year&gt;2007&lt;/year&gt;&lt;pub-dates&gt;&lt;date&gt;Jun&lt;/date&gt;&lt;/pub-dates&gt;&lt;/dates&gt;&lt;isbn&gt;1473-4877 (Electronic)&lt;/isbn&gt;&lt;accession-num&gt;17594775&lt;/accession-num&gt;&lt;urls&gt;&lt;/urls&gt;&lt;custom1&gt; PubMed. Specific bisphosphonates. &lt;/custom1&gt;&lt;custom2&gt;YW.CC.AD.&lt;/custom2&gt;&lt;custom6&gt;Include&lt;/custom6&gt;&lt;language&gt;eng&lt;/language&gt;&lt;/record&gt;&lt;/Cite&gt;&lt;/EndNote&gt;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226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Alendronate (Fosamax), Calcium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Alendronate 10 mg/d vs Alendronate 10mg/d +Ca 1000 mg/d vs Calcium 100 mg/d: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Clinical AEs: any: 93.2%(262/281) vs 87.9%(248/282) vs 91.3%(126/138)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Clinical AEs: deaths: 0.4%(1/281) vs 0.7%(2/282) vs 0.0%(0/138)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Clinical AEs: drug-related: 39.1%(110/281) vs 34.8%(98/282) vs 35.5%(49/138)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Clinical AEs: serious: 10.7%(30/281) vs 14.2%(40/282) vs 19.6%(27/138)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Upper GI AEs: any: 34.9%(98/281) vs 34.8%(98/282) vs 38.4%(53/138)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Upper GI AEs: drug-related: 21.0%(59/281) vs 20.6%(58/282) vs 21.0%(29/138)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Upper GI AEs: serious: 0.7%(2/281) vs 0.0%(0/282) vs 1.4%(2/138)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Withdrawals: total: 29.5%(83/281) vs 32.6%(92/282) vs 30.4%(42/138)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lastRenderedPageBreak/>
              <w:t>Brown et al., 2009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ExcludeYear="1"&gt;&lt;RecNum&gt;7622&lt;/RecNum&gt;&lt;DisplayText&gt;&lt;style face="superscript"&gt;275&lt;/style&gt;&lt;/DisplayText&gt;&lt;record&gt;&lt;rec-number&gt;7622&lt;/rec-number&gt;&lt;foreign-keys&gt;&lt;key app="EN" db-id="29ezzfre25wfzbe5ttpvt0wkar525pde22z5"&gt;7622&lt;/key&gt;&lt;/foreign-keys&gt;&lt;ref-type name="Journal Article"&gt;17&lt;/ref-type&gt;&lt;contributors&gt;&lt;authors&gt;&lt;author&gt;Brown, J. P. &lt;/author&gt;&lt;author&gt;Prince, R. L. &lt;/author&gt;&lt;author&gt;Deal, C. &lt;/author&gt;&lt;author&gt;Recker, R. R. &lt;/author&gt;&lt;author&gt;Kiel, D. P. &lt;/author&gt;&lt;author&gt;de Gregorio, L. H. &lt;/author&gt;&lt;author&gt;Hadji, P. &lt;/author&gt;&lt;author&gt;Hofbauer, L. C. &lt;/author&gt;&lt;author&gt;Alvaro-Gracia, J. M. &lt;/author&gt;&lt;author&gt;Wang, H. &lt;/author&gt;&lt;author&gt;Austin, M. &lt;/author&gt;&lt;author&gt;Wagman, R. B. &lt;/author&gt;&lt;author&gt;Newmark, R. &lt;/author&gt;&lt;author&gt;Libanati, C. &lt;/author&gt;&lt;author&gt;San Martin, J. &lt;/author&gt;&lt;author&gt;Bone, H. G.&lt;/author&gt;&lt;/authors&gt;&lt;/contributors&gt;&lt;auth-address&gt;Laval University, Le Centre Hospitalier Universitaire de Quebec, Quebec City, Quebec, Canada. jacques.brown@crchul.ulaval.ca&lt;/auth-address&gt;&lt;titles&gt;&lt;title&gt;Comparison of the effect of denosumab and alendronate on BMD and biochemical markers of bone turnover in postmenopausal women with low bone mass: a randomized, blinded, phase 3 trial&lt;/title&gt;&lt;secondary-title&gt;J Bone Miner Res&lt;/secondary-title&gt;&lt;/titles&gt;&lt;periodical&gt;&lt;full-title&gt;J Bone Miner Res&lt;/full-title&gt;&lt;/periodical&gt;&lt;pages&gt;153-61&lt;/pages&gt;&lt;volume&gt;24&lt;/volume&gt;&lt;number&gt;1&lt;/number&gt;&lt;keywords&gt;&lt;keyword&gt;Clinical Trial, Phase III Comparative Study Journal Article Randomized Controlled Trial Research Support, Non-U.S. Gov&amp;apos;t Administration, Oral Aged Alendronate/ therapeutic use Antibodies, Monoclonal/ therapeutic use Bone Density Bone Density Conservatio&lt;/keyword&gt;&lt;/keywords&gt;&lt;dates&gt;&lt;year&gt;2009&lt;/year&gt;&lt;pub-dates&gt;&lt;date&gt;Jan&lt;/date&gt;&lt;/pub-dates&gt;&lt;/dates&gt;&lt;isbn&gt;1523-4681 (Electronic)&lt;/isbn&gt;&lt;accession-num&gt;18767928&lt;/accession-num&gt;&lt;urls&gt;&lt;/urls&gt;&lt;custom1&gt; PubMed. Specific bisphosphonates. &lt;/custom1&gt;&lt;custom2&gt;YW.CC.AD.&lt;/custom2&gt;&lt;custom6&gt;Include&lt;/custom6&gt;&lt;language&gt;eng&lt;/language&gt;&lt;/record&gt;&lt;/Cite&gt;&lt;/EndNote&gt;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275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Alendronate (Fosamax), Denosumab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Trial: DECIDE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Alendronate 70 mg/wk vs Denosumab 60 mg/6 mos: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AEs: all AEs: 82.3%(482/586) vs 80.9%(480/593)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AEs: serious AE: 6.3%(37/586) vs 5.7%(34/593)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Arthralgia: 9.6%(56/586) vs 12.6%(75/593)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Asymptomatic grade 2 decrease in albumin-adjusted serum calcium concentrations: 0.0%(0/586) vs 0.2%(1/593)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Benign neoplasms of the breast: 0.0%(0/586) vs 0.3%(2/593)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Benign neoplasms of the kidney: 0.0%(0/586) vs 0.3%(2/593)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Benign neoplasms of the thyroid gland: 0.3%(2/586) vs 0.2%(1/593)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Deaths: 0.2%(1/586) vs 0.2%(1/593)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GI disorders: 28.7%(168/586) vs 27.7%(164/593)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Infections - bronchitis: 3.6%(21/586) vs 3.2%(19/593)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Infections - influenza: 7.2%(42/586) vs 6.9%(41/593)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Infections - nasopharyngitis: 7.3%(43/586) vs 7.6%(45/593)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Infections - serious: 1.0%(6/586) vs 1.5%(9/593)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Infections - serious abscessed limb: 0.2%(1/586) vs 0.0%(0/593)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Infections - serious diverticulitis: 0.0%(0/586) vs 0.5%(3/593)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Infections - serious ear infection: 0.0%(0/586) vs 0.2%(1/593)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Infections - serious infected cyst: 0.2%(1/586) vs 0.0%(0/593)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Infections - serious localized infection (finger): 0.0%(0/586) vs 0.2%(1/593)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Infections - serious pneumonia: 0.5%(3/586) vs 0.2%(1/593)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Infections - serious pseudomembranous colitis: 0.0%(0/586) vs 0.2%(1/593)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Infections - serious pyelonephritis: 0.0%(0/586) vs 0.2%(1/593)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Infections - serious sepsis: 0.0%(0/586) vs 0.2%(1/593)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Infections - serious upper respiratory tract infection: 0.2%(1/586) vs 0.0%(0/593)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Infections - serious urosepsis: 0.0%(0/586) vs 0.2%(1/593)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Infections - upper respiratory tract infection: 4.4%(26/586) vs 6.1%(36/593)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Infections - urinary tract infection: 2.9%(17/586) vs 3.0%(18/593)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Malignant neoplasm - serious breast cancer: 0.2%(1/586) vs 0.3%(2/593)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Malignant neoplasm - serious gastric cancer: 0.0%(0/586) vs 0.2%(1/593)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Malignant neoplasm - serious metastases to liver: 0.0%(0/586) vs 0.2%(1/593)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Malignant neoplasm - serious metastatic neoplasm: 0.2%(1/586) vs 0.0%(0/593)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Malignant neoplasm - serious mycosis fungoides: 0.0%(0/586) vs 0.2%(1/593)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Malignant neoplasm - serious ovarian cancer recurrent: 0.2%(1/586) vs 0.0%(0/593)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Malignant neoplasm - serious renal cell carcinoma stage unspecified: 0.0%(0/586) vs 0.2%(1/593)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Malignant neoplasm - serious small cell lung cancer metastatic: 0.2%(1/586) vs 0.0%(0/593)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Malignant neoplasm - serious squamous cell carcinoma: 0.0%(0/586) vs 0.2%(1/593)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Malignant neoplasm - serious vaginal cancer: 0.2%(1/586) vs 0.0%(0/593)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Neoplasms (benign or malignant): 2.6%(15/586) vs 3.5%(21/593)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Withdrawals: due to all AE: 1.7%(10/586) vs 1.3%(8/593)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Withdrawals: total: 9.2%(54/586) vs 6.1%(36/593)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lastRenderedPageBreak/>
              <w:t>Kendler et al., 2009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ExcludeYear="1"&gt;&lt;RecNum&gt;7955&lt;/RecNum&gt;&lt;DisplayText&gt;&lt;style face="superscript"&gt;516&lt;/style&gt;&lt;/DisplayText&gt;&lt;record&gt;&lt;rec-number&gt;7955&lt;/rec-number&gt;&lt;foreign-keys&gt;&lt;key app="EN" db-id="29ezzfre25wfzbe5ttpvt0wkar525pde22z5"&gt;7955&lt;/key&gt;&lt;/foreign-keys&gt;&lt;ref-type name="Journal Article"&gt;17&lt;/ref-type&gt;&lt;contributors&gt;&lt;authors&gt;&lt;author&gt;Kendler, D. L. &lt;/author&gt;&lt;author&gt;Roux, C. &lt;/author&gt;&lt;author&gt;Benhamou, C. L. &lt;/author&gt;&lt;author&gt;Brown, J. P. &lt;/author&gt;&lt;author&gt;Lillestol, M. &lt;/author&gt;&lt;author&gt;Siddhanti, S. &lt;/author&gt;&lt;author&gt;Man, H. S. &lt;/author&gt;&lt;author&gt;San Martin, J. &lt;/author&gt;&lt;author&gt;Bone, H. G.&lt;/author&gt;&lt;/authors&gt;&lt;/contributors&gt;&lt;titles&gt;&lt;title&gt;Effects of Denosumab on Bone Mineral Density and Bone Turnover in Postmenopausal Women Transitioning from Alendronate Therapy&lt;/title&gt;&lt;secondary-title&gt;J Bone Miner Res&lt;/secondary-title&gt;&lt;/titles&gt;&lt;periodical&gt;&lt;full-title&gt;J Bone Miner Res&lt;/full-title&gt;&lt;/periodical&gt;&lt;keywords&gt;&lt;keyword&gt;Journal article&lt;/keyword&gt;&lt;/keywords&gt;&lt;dates&gt;&lt;year&gt;2009&lt;/year&gt;&lt;pub-dates&gt;&lt;date&gt;Jul 13&lt;/date&gt;&lt;/pub-dates&gt;&lt;/dates&gt;&lt;isbn&gt;1523-4681 (Electronic)&lt;/isbn&gt;&lt;accession-num&gt;19594293&lt;/accession-num&gt;&lt;urls&gt;&lt;/urls&gt;&lt;custom1&gt; PubMed. Specific bisphosphonates. &lt;/custom1&gt;&lt;custom2&gt;YW.CC.AD.&lt;/custom2&gt;&lt;custom6&gt;Include&lt;/custom6&gt;&lt;language&gt;Eng&lt;/language&gt;&lt;/record&gt;&lt;/Cite&gt;&lt;/EndNote&gt;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516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Alendronate (Fosamax), Denosumab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Trial: STAND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Alendronate 70 mg weekly + Calcium 1000 mg + Vitamin D 400 IU vs Subcutaneous denosumab 60 mg/6 months  + Calcium 1000 mg + Vitamin D 400 IU: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Any adverse event: 78.7%(196/249) vs 77.9%(197/253)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Arthralgia: 10.4%(26/249) vs 5.9%(15/253)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Back pain: 11.6%(29/249) vs 10.7%(27/253)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Bronchitis: 5.6%(14/249) vs 6.3%(16/253)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Clinical fractures: 1.6%(4/249) vs 3.2%(8/253)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Constipation: 4.8%(12/249) vs 5.1%(13/253)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Death: 0.0%(0/249) vs 0.4%(1/253)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GI disorder: 24.1%(60/249) vs 22.9%(58/253)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Infections: 37.3%(93/249) vs 43.9%(111/253)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Nasopharyngitis: 10.8%(27/249) vs 13.4%(34/253)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Neoplasms (benign or malignant): 3.6%(9/249) vs 3.6%(9/253)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Pain in an extremity: 8.4%(21/249) vs 4.7%(12/253)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Serious adverse event: 6.4%(16/249) vs 5.9%(15/253)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Serious infection: 1.2%(3/249) vs 0.4%(1/253)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Serious neoplasms (benign or malignant): 1.2%(3/249) vs 1.2%(3/253)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Withdrawals: total: 4.4%(11/249) vs 4.0%(10/253)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lastRenderedPageBreak/>
              <w:t>Miller et al., 2008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ExcludeYear="1"&gt;&lt;RecNum&gt;8109&lt;/RecNum&gt;&lt;DisplayText&gt;&lt;style face="superscript"&gt;517&lt;/style&gt;&lt;/DisplayText&gt;&lt;record&gt;&lt;rec-number&gt;8109&lt;/rec-number&gt;&lt;foreign-keys&gt;&lt;key app="EN" db-id="29ezzfre25wfzbe5ttpvt0wkar525pde22z5"&gt;8109&lt;/key&gt;&lt;/foreign-keys&gt;&lt;ref-type name="Journal Article"&gt;17&lt;/ref-type&gt;&lt;contributors&gt;&lt;authors&gt;&lt;author&gt;Miller, P. D. &lt;/author&gt;&lt;author&gt;Bolognese, M. A. &lt;/author&gt;&lt;author&gt;Lewiecki, E. M. &lt;/author&gt;&lt;author&gt;McClung, M. R. &lt;/author&gt;&lt;author&gt;Ding, B. &lt;/author&gt;&lt;author&gt;Austin, M. &lt;/author&gt;&lt;author&gt;Liu, Y. &lt;/author&gt;&lt;author&gt;San Martin, J. &lt;/author&gt;&lt;author&gt;Amg Bone Loss Study, Group&lt;/author&gt;&lt;/authors&gt;&lt;/contributors&gt;&lt;auth-address&gt;Colorado Center for Bone Research, 3190 South Wadsworth Blvd, Ste 250, Lakewood, CO 80227, USA. millerccbr@aol.com&lt;/auth-address&gt;&lt;titles&gt;&lt;title&gt;Effect of denosumab on bone density and turnover in postmenopausal women with low bone mass after long-term continued, discontinued, and restarting of therapy: a randomized blinded phase 2 clinical trial&lt;/title&gt;&lt;secondary-title&gt;Bone&lt;/secondary-title&gt;&lt;/titles&gt;&lt;periodical&gt;&lt;full-title&gt;Bone&lt;/full-title&gt;&lt;/periodical&gt;&lt;pages&gt;222-9&lt;/pages&gt;&lt;volume&gt;43&lt;/volume&gt;&lt;number&gt;2&lt;/number&gt;&lt;keywords&gt;&lt;keyword&gt;Clinical Trial, Phase II Journal Article Randomized Controlled Trial Research Support, Non-U.S. Gov&amp;apos;t Alendronate/pharmacology Antibodies, Monoclonal/adverse effects/ pharmacology Biological Markers/metabolism Bone Density/ drug effects Bone Density Con&lt;/keyword&gt;&lt;/keywords&gt;&lt;dates&gt;&lt;year&gt;2008&lt;/year&gt;&lt;pub-dates&gt;&lt;date&gt;Aug&lt;/date&gt;&lt;/pub-dates&gt;&lt;/dates&gt;&lt;isbn&gt;8756-3282 (Print)&lt;/isbn&gt;&lt;accession-num&gt;18539106&lt;/accession-num&gt;&lt;urls&gt;&lt;/urls&gt;&lt;custom1&gt; PubMed. Specific bisphosphonates. &lt;/custom1&gt;&lt;custom2&gt;YW.CC.AD.&lt;/custom2&gt;&lt;custom6&gt;Include&lt;/custom6&gt;&lt;language&gt;eng&lt;/language&gt;&lt;/record&gt;&lt;/Cite&gt;&lt;/EndNote&gt;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517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Alendronate (Fosamax), Denosumab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Alendronate + Calcium 1000mg/day + Vitamin D 400 IU/day vs Denosumab + Calcium 1000mg/day + Vitamin D 400 IU/day vs Placebo + Calcium 1000mg/day + Vitamin D 400 IU/day: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Any adverse event: 95.7%(44/46) vs 93.3%(293/314) vs 93.5%(43/46)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Adverse event requiring hospitalization: 0.0%(0/46) vs 3.2%(10/314) vs 0.0%(0/46)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Anemia: 13.0%(6/46) vs 1.6%(5/314) vs 2.2%(1/46)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Arthralgia: 17.4%(8/46) vs 23.6%(74/314) vs 30.4%(14/46)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Back pain: 15.2%(7/46) vs 20.1%(63/314) vs 13.0%(6/46)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Bronchitis: 8.7%(4/46) vs 8.3%(26/314) vs 10.9%(5/46)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Constipation: 13.0%(6/46) vs 6.4%(20/314) vs 2.2%(1/46)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 due to Adenocarcinoma: 0.0%(0/46) vs 0.3%(1/314) vs 0.0%(0/46)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 due to Brain neoplasm: 0.0%(0/46) vs 0.3%(1/314) vs 0.0%(0/46)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 due to Cerebral vascular accident: 0.0%(0/46) vs 0.3%(1/314) vs 0.0%(0/46)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 due to gastric cancer: 0.0%(0/46) vs 0.3%(1/314) vs 0.0%(0/46)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Development of neutralizing antibodies to denosumab: 0.0%(0/46) vs 0.0%(0/314) vs 0.0%(0/46)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Diarrhea: 8.7%(4/46) vs 8.9%(28/314) vs 13.0%(6/46)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Dyspepsia: 26.1%(12/46) vs 12.4%(39/314) vs 6.5%(3/46)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Gastroesophageal reflux disease: 15.2%(7/46) vs 12.7%(40/314) vs 4.3%(2/46)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Headache: 10.9%(5/46) vs 12.1%(38/314) vs 17.4%(8/46)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Hypertension: 10.9%(5/46) vs 15.3%(48/314) vs 4.3%(2/46)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Infections: 69.6%(32/46) vs 66.2%(208/314) vs 67.4%(31/46)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Influenza-like illness: 15.2%(7/46) vs 13.1%(41/314) vs 10.9%(5/46)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Muscle spasms: 10.9%(5/46) vs 10.2%(32/314) vs 15.2%(7/46)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Nasopharyngitis: 13.0%(6/46) vs 19.1%(60/314) vs 15.2%(7/46)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Nausea: 21.7%(10/46) vs 12.1%(38/314) vs 4.3%(2/46)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Osteoarthritis: 13.0%(6/46) vs 4.1%(13/314) vs 8.7%(4/46)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Pain in extremity: 15.2%(7/46) vs 17.5%(55/314) vs 17.4%(8/46)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Peripheral edema: 6.5%(3/46) vs 4.8%(15/314) vs 10.9%(5/46)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Serious Infections: 0.0%(0/46) vs 3.2%(10/314) vs 0.0%(0/46)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Serious adverse events: 17.4%(8/46) vs 17.8%(56/314) vs 10.9%(5/46)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Shoulder pain: 8.7%(4/46) vs 9.6%(30/314) vs 15.2%(7/46)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Sinusitis: 13.0%(6/46) vs 11.8%(37/314) vs 19.6%(9/46)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Symptomatic hypocalcemia: 0.0%(0/46) vs 0.0%(0/314) vs 0.0%(0/46)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Upper respiratory tract infection: 30.4%(14/46) vs 28.0%(88/314) vs 23.9%(11/46)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Urinary tract infection: 13.0%(6/46) vs 13.1%(41/314) vs 4.3%(2/46)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Withdrawals: 37.0%(17/46) vs 36.9%(116/314) vs 37.0%(17/46)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lastRenderedPageBreak/>
              <w:t>Tseng et al., 2006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ExcludeYear="1"&gt;&lt;RecNum&gt;8415&lt;/RecNum&gt;&lt;DisplayText&gt;&lt;style face="superscript"&gt;265&lt;/style&gt;&lt;/DisplayText&gt;&lt;record&gt;&lt;rec-number&gt;8415&lt;/rec-number&gt;&lt;foreign-keys&gt;&lt;key app="EN" db-id="29ezzfre25wfzbe5ttpvt0wkar525pde22z5"&gt;8415&lt;/key&gt;&lt;/foreign-keys&gt;&lt;ref-type name="Journal Article"&gt;17&lt;/ref-type&gt;&lt;contributors&gt;&lt;authors&gt;&lt;author&gt;Tseng, L. N. &lt;/author&gt;&lt;author&gt;Sheu, W. H. &lt;/author&gt;&lt;author&gt;Ho, E. S. &lt;/author&gt;&lt;author&gt;Lan, H. H. &lt;/author&gt;&lt;author&gt;Hu, C. C. &lt;/author&gt;&lt;author&gt;Kao, C. H.&lt;/author&gt;&lt;/authors&gt;&lt;/contributors&gt;&lt;auth-address&gt;Division of Endocrinology and Metabolism, Department of Internal Medicine, Taichung Veterans General Hospital, Taichung, Taiwan 407, Republic of China.&lt;/auth-address&gt;&lt;titles&gt;&lt;title&gt;Effects of alendronate combined with hormone replacement therapy on osteoporotic postmenopausal Chinese women&lt;/title&gt;&lt;secondary-title&gt;Metabolism&lt;/secondary-title&gt;&lt;/titles&gt;&lt;periodical&gt;&lt;full-title&gt;Metabolism&lt;/full-title&gt;&lt;/periodical&gt;&lt;pages&gt;741-7&lt;/pages&gt;&lt;volume&gt;55&lt;/volume&gt;&lt;number&gt;6&lt;/number&gt;&lt;keywords&gt;&lt;keyword&gt;Clinical Trial Journal Article Randomized Controlled Trial Research Support, Non-U.S. Gov&amp;apos;t Aged Alendronate/ administration &amp;amp; dosage Asian Continental Ancestry Group Bone Density/drug effects Bone Density Conservation Agents/administration &amp;amp; dosage Col&lt;/keyword&gt;&lt;/keywords&gt;&lt;dates&gt;&lt;year&gt;2006&lt;/year&gt;&lt;pub-dates&gt;&lt;date&gt;Jun&lt;/date&gt;&lt;/pub-dates&gt;&lt;/dates&gt;&lt;isbn&gt;0026-0495 (Print)&lt;/isbn&gt;&lt;accession-num&gt;16713432&lt;/accession-num&gt;&lt;urls&gt;&lt;/urls&gt;&lt;custom1&gt; PubMed. Specific bisphosphonates. &lt;/custom1&gt;&lt;custom2&gt;YW.CC.AD.&lt;/custom2&gt;&lt;custom6&gt;Include&lt;/custom6&gt;&lt;language&gt;eng&lt;/language&gt;&lt;/record&gt;&lt;/Cite&gt;&lt;/EndNote&gt;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265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Alendronate (Fosamax), Estrogen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Alendronate 10 mg + Equine estrogen .625 mg + Medroxyprogesterone 5 mg + Calcium carbonate 500 mg/d vs Placebo + Equine estrogen .625 mg + Medroxyprogesterone 5 mg + Calcium carbonate 500 mg/d: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Back pain: 1.3%(1/79) vs 1.4%(1/72)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Epigastralgia: 1.3%(1/79) vs 0.0%(0/72)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Epigastric discomfort: 0.0%(0/79) vs 2.8%(2/72)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Esophageal irritation: 2.5%(2/79) vs 0.0%(0/72)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General discomfort: 0.0%(0/79) vs 1.4%(1/72)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Hemoptysis: 0.0%(0/79) vs 1.4%(1/72)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Intolerance to menopausal hormone therapy: 2.5%(2/79) vs 1.4%(1/72)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Light stroke: 0.0%(0/79) vs 1.4%(1/72)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Withdrawals: 36.7%(29/79) vs 38.9%(28/72)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 due to adverse events: 7.6%(6/79) vs 9.7%(7/72)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Saag et al., 2009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ExcludeYear="1"&gt;&lt;RecNum&gt;8702&lt;/RecNum&gt;&lt;DisplayText&gt;&lt;style face="superscript"&gt;224&lt;/style&gt;&lt;/DisplayText&gt;&lt;record&gt;&lt;rec-number&gt;8702&lt;/rec-number&gt;&lt;foreign-keys&gt;&lt;key app="EN" db-id="29ezzfre25wfzbe5ttpvt0wkar525pde22z5"&gt;8702&lt;/key&gt;&lt;/foreign-keys&gt;&lt;ref-type name="Journal Article"&gt;17&lt;/ref-type&gt;&lt;contributors&gt;&lt;authors&gt;&lt;author&gt;Saag, K. G. &lt;/author&gt;&lt;author&gt;Zanchetta, J. R. &lt;/author&gt;&lt;author&gt;Devogelaer, J. P. &lt;/author&gt;&lt;author&gt;Adler, R. A. &lt;/author&gt;&lt;author&gt;Eastell, R. &lt;/author&gt;&lt;author&gt;See, K. &lt;/author&gt;&lt;author&gt;Krege, J. H. &lt;/author&gt;&lt;author&gt;Krohn, K. &lt;/author&gt;&lt;author&gt;Warner, M. R.&lt;/author&gt;&lt;/authors&gt;&lt;/contributors&gt;&lt;auth-address&gt;University of Alabama at Birmingham.&lt;/auth-address&gt;&lt;titles&gt;&lt;title&gt;Effects of teriparatide versus alendronate for treating glucocorticoid-induced osteoporosis: Thirty-six-month results of a randomized, double-blind, controlled trial&lt;/title&gt;&lt;secondary-title&gt;Arthritis Rheum&lt;/secondary-title&gt;&lt;/titles&gt;&lt;periodical&gt;&lt;full-title&gt;Arthritis Rheum&lt;/full-title&gt;&lt;/periodical&gt;&lt;pages&gt;3346-55&lt;/pages&gt;&lt;volume&gt;60&lt;/volume&gt;&lt;number&gt;11&lt;/number&gt;&lt;edition&gt;2009/10/31&lt;/edition&gt;&lt;dates&gt;&lt;year&gt;2009&lt;/year&gt;&lt;pub-dates&gt;&lt;date&gt;Nov&lt;/date&gt;&lt;/pub-dates&gt;&lt;/dates&gt;&lt;isbn&gt;0004-3591 (Print)&lt;/isbn&gt;&lt;accession-num&gt;19877063&lt;/accession-num&gt;&lt;urls&gt;&lt;/urls&gt;&lt;custom1&gt; PubMed. Adverse effects revision 20091203. &lt;/custom1&gt;&lt;custom2&gt;YL.&lt;/custom2&gt;&lt;custom6&gt;Include&lt;/custom6&gt;&lt;electronic-resource-num&gt;10.1002/art.24879 [doi]&lt;/electronic-resource-num&gt;&lt;remote-database-provider&gt;Nlm&lt;/remote-database-provider&gt;&lt;language&gt;eng&lt;/language&gt;&lt;/record&gt;&lt;/Cite&gt;&lt;/EndNote&gt;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224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Alendronate (Fosamax), PTH (Teriparatide) (Forteo)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Alendronate 10 mg/day + Calcium + Vitamin D vs Teriparatide 20 ug/day + Calcium + Vitamin D: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Any adverse event: 86.0%(184/214) vs 90.7%(194/214)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Anemia: 7.9%(17/214) vs 5.1%(11/214)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Any serious adverse event: 29.9%(64/214) vs 32.7%(70/214)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Death: 7.0%(15/214) vs 4.2%(9/214)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Dyspepsia: 7.0%(15/214) vs 4.2%(9/214)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Dyspnea: 2.8%(6/214) vs 7.5%(16/214)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Fatigue: 1.9%(4/214) vs 4.2%(9/214)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Gastritis: 3.7%(8/214) vs 7.9%(17/214)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Headache: 6.5%(14/214) vs 8.9%(19/214)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Influenza: 11.2%(24/214) vs 8.4%(18/214)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Insomnia: 1.4%(3/214) vs 5.6%(12/214)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Joint injury: 2.8%(6/214) vs 0.5%(1/214)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Nasopharyngitis: 6.1%(13/214) vs 3.3%(7/214)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Nausea: 8.4%(18/214) vs 16.8%(36/214)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Rash: 4.7%(10/214) vs 1.9%(4/214)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Urinary tract infection: 13.6%(29/214) vs 10.3%(22/214)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Viral infection: 0.0%(0/214) vs 2.3%(5/214)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Weight loss: 4.2%(9/214) vs 0.0%(0/214)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Withdrawals: 44.9%(96/214) vs 42.5%(91/214)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Antoniucci et al., 2007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ExcludeYear="1"&gt;&lt;RecNum&gt;7518&lt;/RecNum&gt;&lt;DisplayText&gt;&lt;style face="superscript"&gt;518&lt;/style&gt;&lt;/DisplayText&gt;&lt;record&gt;&lt;rec-number&gt;7518&lt;/rec-number&gt;&lt;foreign-keys&gt;&lt;key app="EN" db-id="29ezzfre25wfzbe5ttpvt0wkar525pde22z5"&gt;7518&lt;/key&gt;&lt;/foreign-keys&gt;&lt;ref-type name="Journal Article"&gt;17&lt;/ref-type&gt;&lt;contributors&gt;&lt;authors&gt;&lt;author&gt;Antoniucci, D. M. &lt;/author&gt;&lt;author&gt;Sellmeyer, D. E. &lt;/author&gt;&lt;author&gt;Bilezikian, J. P. &lt;/author&gt;&lt;author&gt;Palermo, L. &lt;/author&gt;&lt;author&gt;Ensrud, K. E. &lt;/author&gt;&lt;author&gt;Greenspan, S. L. &lt;/author&gt;&lt;author&gt;Black, D. M.&lt;/author&gt;&lt;/authors&gt;&lt;/contributors&gt;&lt;auth-address&gt;Division of Endocrinology, Department of Medicine, University of California, San Francisco, California 94107, USA.&lt;/auth-address&gt;&lt;titles&gt;&lt;title&gt;Elevations in serum and urinary calcium with parathyroid hormone (1-84) with and without alendronate for osteoporosis&lt;/title&gt;&lt;secondary-title&gt;J Clin Endocrinol Metab&lt;/secondary-title&gt;&lt;/titles&gt;&lt;periodical&gt;&lt;full-title&gt;J Clin Endocrinol Metab&lt;/full-title&gt;&lt;/periodical&gt;&lt;pages&gt;942-7&lt;/pages&gt;&lt;volume&gt;92&lt;/volume&gt;&lt;number&gt;3&lt;/number&gt;&lt;keywords&gt;&lt;keyword&gt;Journal Article Multicenter Study Randomized Controlled Trial Research Support, N.I.H., Extramural Research Support, Non-U.S. Gov&amp;apos;t Research Support, U.S. Gov&amp;apos;t, Non-P.H.S. Aged Alendronate/ administration &amp;amp; dosage/adverse effects Algorithms Bone Densit&lt;/keyword&gt;&lt;/keywords&gt;&lt;dates&gt;&lt;year&gt;2007&lt;/year&gt;&lt;pub-dates&gt;&lt;date&gt;Mar&lt;/date&gt;&lt;/pub-dates&gt;&lt;/dates&gt;&lt;isbn&gt;0021-972X (Print)&lt;/isbn&gt;&lt;accession-num&gt;17164314&lt;/accession-num&gt;&lt;urls&gt;&lt;/urls&gt;&lt;custom1&gt; PubMed. Specific bisphosphonates. &lt;/custom1&gt;&lt;custom2&gt;CC.AD.&lt;/custom2&gt;&lt;custom6&gt;Include&lt;/custom6&gt;&lt;language&gt;eng&lt;/language&gt;&lt;/record&gt;&lt;/Cite&gt;&lt;/EndNote&gt;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518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Alendronate (Fosamax), PTH184 (Preos)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Trial: PATH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PTH  100 ug/d alone vs PTH 100 ug/d +alendronate 10 mg/d: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AE other than hypercalciuria: 1.7%(2/119) vs 3.4%(2/59)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Concurrent serum and urinary calcium elevations: 1.7%(2/119) vs 0.0%(0/59)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Hypercalcemia: 13.4%(16/119) vs 15.3%(9/59)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Hypercalciuria: 8.4%(10/119) vs 11.9%(7/59)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lastRenderedPageBreak/>
              <w:t>Huang et al., 2009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ExcludeYear="1"&gt;&lt;RecNum&gt;7892&lt;/RecNum&gt;&lt;DisplayText&gt;&lt;style face="superscript"&gt;519&lt;/style&gt;&lt;/DisplayText&gt;&lt;record&gt;&lt;rec-number&gt;7892&lt;/rec-number&gt;&lt;foreign-keys&gt;&lt;key app="EN" db-id="29ezzfre25wfzbe5ttpvt0wkar525pde22z5"&gt;7892&lt;/key&gt;&lt;/foreign-keys&gt;&lt;ref-type name="Journal Article"&gt;17&lt;/ref-type&gt;&lt;contributors&gt;&lt;authors&gt;&lt;author&gt;Huang, W. F. &lt;/author&gt;&lt;author&gt;Tsai, Y. W. &lt;/author&gt;&lt;author&gt;Wen, Y. W. &lt;/author&gt;&lt;author&gt;Hsiao, F. Y. &lt;/author&gt;&lt;author&gt;Kuo, K. N. &lt;/author&gt;&lt;author&gt;Tsai, C. R.&lt;/author&gt;&lt;/authors&gt;&lt;/contributors&gt;&lt;auth-address&gt;From the 1Institute of Health and Social Welfare Policy, National Yang-Ming University, Taipei, Taiwan; 2Institute of Population Health Sciences, National Health Research Institutes, Miaoli, Taiwan; and 3Pharmaceutical Health Services Research Department, University of Maryland School of Pharmacy, Baltimore, MD.&lt;/auth-address&gt;&lt;titles&gt;&lt;title&gt;Osteoporosis treatment and atrial fibrillation: alendronate versus raloxifene&lt;/title&gt;&lt;secondary-title&gt;Menopause&lt;/secondary-title&gt;&lt;/titles&gt;&lt;periodical&gt;&lt;full-title&gt;Menopause&lt;/full-title&gt;&lt;/periodical&gt;&lt;pages&gt;57-63&lt;/pages&gt;&lt;volume&gt;17&lt;/volume&gt;&lt;number&gt;1&lt;/number&gt;&lt;keywords&gt;&lt;keyword&gt;Journal article&lt;/keyword&gt;&lt;/keywords&gt;&lt;dates&gt;&lt;year&gt;2009&lt;/year&gt;&lt;pub-dates&gt;&lt;date&gt;Aug 12&lt;/date&gt;&lt;/pub-dates&gt;&lt;/dates&gt;&lt;isbn&gt;1530-0374 (Electronic)&lt;/isbn&gt;&lt;accession-num&gt;19680161&lt;/accession-num&gt;&lt;urls&gt;&lt;/urls&gt;&lt;custom1&gt; PubMed. Specific bisphosphonates. &lt;/custom1&gt;&lt;custom2&gt;CC.AD.&lt;/custom2&gt;&lt;custom6&gt;Include&lt;/custom6&gt;&lt;language&gt;Eng&lt;/language&gt;&lt;/record&gt;&lt;/Cite&gt;&lt;/EndNote&gt;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519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Alendronate (Fosamax), Raloxifene (Evista)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Alendronate 10 mg/day OR 70 mg/weekly vs Raloxifene 60 mg: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Acute myocardial infarction: 5.8%(1,216/21,037) vs 4.7%(294/6,220)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Atrial fibrillation: 3.2%(663/21,037) vs 2.5%(158/6,220)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Sanad et al., 2011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ExcludeYear="1"&gt;&lt;RecNum&gt;9924&lt;/RecNum&gt;&lt;DisplayText&gt;&lt;style face="superscript"&gt;409&lt;/style&gt;&lt;/DisplayText&gt;&lt;record&gt;&lt;rec-number&gt;9924&lt;/rec-number&gt;&lt;foreign-keys&gt;&lt;key app="EN" db-id="29ezzfre25wfzbe5ttpvt0wkar525pde22z5"&gt;9924&lt;/key&gt;&lt;/foreign-keys&gt;&lt;ref-type name="Journal Article"&gt;17&lt;/ref-type&gt;&lt;contributors&gt;&lt;authors&gt;&lt;author&gt;Sanad, Z. &lt;/author&gt;&lt;author&gt;Ellakwa, H. &lt;/author&gt;&lt;author&gt;Desouky, B.&lt;/author&gt;&lt;/authors&gt;&lt;/contributors&gt;&lt;auth-address&gt;Departments of *Obstetrics and Gynecology.&lt;/auth-address&gt;&lt;titles&gt;&lt;title&gt;Comparison of alendronate and raloxifene in postmenopausal women with osteoporosis&lt;/title&gt;&lt;secondary-title&gt;Climacteric&lt;/secondary-title&gt;&lt;/titles&gt;&lt;periodical&gt;&lt;full-title&gt;Climacteric&lt;/full-title&gt;&lt;/periodical&gt;&lt;edition&gt;2011/01/25&lt;/edition&gt;&lt;dates&gt;&lt;year&gt;2011&lt;/year&gt;&lt;pub-dates&gt;&lt;date&gt;Jan 23&lt;/date&gt;&lt;/pub-dates&gt;&lt;/dates&gt;&lt;isbn&gt;1473-0804 (Electronic) 1369-7137 (Linking)&lt;/isbn&gt;&lt;accession-num&gt;21254911&lt;/accession-num&gt;&lt;urls&gt;&lt;/urls&gt;&lt;custom1&gt; PubMed. Bisphosphonates. &lt;/custom1&gt;&lt;custom4&gt; Sydne 4/18/2011 Sydne 4/18/2011&lt;/custom4&gt;&lt;custom6&gt;Include&lt;/custom6&gt;&lt;electronic-resource-num&gt;10.3109/13697137.2010.537408 [doi]&lt;/electronic-resource-num&gt;&lt;remote-database-provider&gt;Nlm&lt;/remote-database-provider&gt;&lt;language&gt;Eng&lt;/language&gt;&lt;/record&gt;&lt;/Cite&gt;&lt;/EndNote&gt;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409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Alendronate (Fosamax), Raloxifene (Evista)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Alendronate vs Raloxifene: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Chest pain: 6.8%(3/44) vs 2.2%(1/46)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Constipation: 2.3%(1/44) vs 0.0%(0/46)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Deep vein thrombosis: 0.0%(0/44) vs 2.2%(1/46)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Diarrhea: 2.3%(1/44) vs 2.2%(1/46)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Epigastric pain: 6.8%(3/44) vs 4.3%(2/46)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Heartburn: 6.8%(3/44) vs 2.2%(1/46)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Hot flashes: 6.8%(3/44) vs 8.7%(4/46)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Sweating: 4.5%(2/44) vs 4.3%(2/46)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Urticaria: 0.0%(0/44) vs 2.2%(1/46)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Binkley et al., 2009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ExcludeYear="1"&gt;&lt;RecNum&gt;7571&lt;/RecNum&gt;&lt;DisplayText&gt;&lt;style face="superscript"&gt;264&lt;/style&gt;&lt;/DisplayText&gt;&lt;record&gt;&lt;rec-number&gt;7571&lt;/rec-number&gt;&lt;foreign-keys&gt;&lt;key app="EN" db-id="29ezzfre25wfzbe5ttpvt0wkar525pde22z5"&gt;7571&lt;/key&gt;&lt;/foreign-keys&gt;&lt;ref-type name="Journal Article"&gt;17&lt;/ref-type&gt;&lt;contributors&gt;&lt;authors&gt;&lt;author&gt;Binkley, N. &lt;/author&gt;&lt;author&gt;Ringe, J. D. &lt;/author&gt;&lt;author&gt;Reed, J. I. &lt;/author&gt;&lt;author&gt;Ljunggren, O. &lt;/author&gt;&lt;author&gt;Holick, M. F. &lt;/author&gt;&lt;author&gt;Minne, H. W. &lt;/author&gt;&lt;author&gt;Liu, M. &lt;/author&gt;&lt;author&gt;Lamotta, A. &lt;/author&gt;&lt;author&gt;West, J. A. &lt;/author&gt;&lt;author&gt;Santora, A. C.&lt;/author&gt;&lt;/authors&gt;&lt;/contributors&gt;&lt;auth-address&gt;University of Wisconsin-Madison, Osteoporosis Clinical Center and Research Program, 2870 University Avenue, Suite 100, Madison, WI 53705, USA. nbinkley@wisc.edu&lt;/auth-address&gt;&lt;titles&gt;&lt;title&gt;Alendronate/vitamin D3 70 mg/2800 IU with and without additional 2800 IU vitamin D3 for osteoporosis: results from the 24-week extension of a 15-week randomized, controlled trial&lt;/title&gt;&lt;secondary-title&gt;Bone&lt;/secondary-title&gt;&lt;/titles&gt;&lt;periodical&gt;&lt;full-title&gt;Bone&lt;/full-title&gt;&lt;/periodical&gt;&lt;pages&gt;639-47&lt;/pages&gt;&lt;volume&gt;44&lt;/volume&gt;&lt;number&gt;4&lt;/number&gt;&lt;keywords&gt;&lt;keyword&gt;Journal Article Multicenter Study Randomized Controlled Trial Research Support, Non-U.S. Gov&amp;apos;t Aged Alendronate/ administration &amp;amp; dosage/adverse effects Bone Density Bone Density Conservation Agents/ administration &amp;amp; dosage/adverse effects Cholecalcifer&lt;/keyword&gt;&lt;/keywords&gt;&lt;dates&gt;&lt;year&gt;2009&lt;/year&gt;&lt;pub-dates&gt;&lt;date&gt;Apr&lt;/date&gt;&lt;/pub-dates&gt;&lt;/dates&gt;&lt;isbn&gt;1873-2763 (Electronic)&lt;/isbn&gt;&lt;accession-num&gt;19185560&lt;/accession-num&gt;&lt;urls&gt;&lt;/urls&gt;&lt;custom1&gt; PubMed. Specific bisphosphonates. &lt;/custom1&gt;&lt;custom2&gt;YW.CC.AD.&lt;/custom2&gt;&lt;custom6&gt;Include&lt;/custom6&gt;&lt;language&gt;eng&lt;/language&gt;&lt;/record&gt;&lt;/Cite&gt;&lt;/EndNote&gt;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264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Alendronate (Fosamax), Vitamin D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Alendronate 70 mg +Vitamin D 2800 IU vs Alendronate 70 mg +Vitamin D 5600 IU: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 xml:space="preserve">Clinical AE: with </w:t>
            </w:r>
            <w:r>
              <w:rPr>
                <w:color w:val="000000"/>
                <w:sz w:val="18"/>
                <w:szCs w:val="18"/>
              </w:rPr>
              <w:t>≥1 AE: 51.5%(168/326) vs 47.2%(154/326)</w:t>
            </w:r>
            <w:r>
              <w:rPr>
                <w:color w:val="000000"/>
                <w:sz w:val="18"/>
                <w:szCs w:val="18"/>
              </w:rPr>
              <w:br/>
              <w:t>Clinical AE: with drug related AE: 4.0%(13/326) vs 5.2%(17/326)</w:t>
            </w:r>
            <w:r>
              <w:rPr>
                <w:color w:val="000000"/>
                <w:sz w:val="18"/>
                <w:szCs w:val="18"/>
              </w:rPr>
              <w:br/>
              <w:t>Clinical AE: with serious AE: 4.0%(13/326) vs 4.9%(16/326)</w:t>
            </w:r>
            <w:r>
              <w:rPr>
                <w:color w:val="000000"/>
                <w:sz w:val="18"/>
                <w:szCs w:val="18"/>
              </w:rPr>
              <w:br/>
              <w:t>Clinical AE: with serious drug related AE: 0.3%(1/326) vs 0.0%(0/326)</w:t>
            </w:r>
            <w:r>
              <w:rPr>
                <w:color w:val="000000"/>
                <w:sz w:val="18"/>
                <w:szCs w:val="18"/>
              </w:rPr>
              <w:br/>
              <w:t>Death (due to cerebellar hemorrhage): 0.3%(1/326) vs 0.0%(0/326)</w:t>
            </w:r>
            <w:r>
              <w:rPr>
                <w:color w:val="000000"/>
                <w:sz w:val="18"/>
                <w:szCs w:val="18"/>
              </w:rPr>
              <w:br/>
              <w:t>Lab AE: with ≥1 AE: 8.3%(27/326) vs 7.7%(25/326)</w:t>
            </w:r>
            <w:r>
              <w:rPr>
                <w:color w:val="000000"/>
                <w:sz w:val="18"/>
                <w:szCs w:val="18"/>
              </w:rPr>
              <w:br/>
              <w:t>Lab AE: with drug related AE: 0.3%(1/326) vs 2.8%(9/326)</w:t>
            </w:r>
            <w:r>
              <w:rPr>
                <w:color w:val="000000"/>
                <w:sz w:val="18"/>
                <w:szCs w:val="18"/>
              </w:rPr>
              <w:br/>
              <w:t>Lab AE: with serious AE: 0.0%(0/326) vs 0.0%(0/326)</w:t>
            </w:r>
            <w:r>
              <w:rPr>
                <w:color w:val="000000"/>
                <w:sz w:val="18"/>
                <w:szCs w:val="18"/>
              </w:rPr>
              <w:br/>
              <w:t>Lab AE: with serious drug related AE: 0.0%(0/326) vs 0.0%(0/326)</w:t>
            </w:r>
            <w:r>
              <w:rPr>
                <w:color w:val="000000"/>
                <w:sz w:val="18"/>
                <w:szCs w:val="18"/>
              </w:rPr>
              <w:br/>
              <w:t>Withdrawals: 2.8%(9/326) vs 4.6%(15/326)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Ringe et al., 2007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ExcludeYear="1"&gt;&lt;RecNum&gt;8263&lt;/RecNum&gt;&lt;DisplayText&gt;&lt;style face="superscript"&gt;56&lt;/style&gt;&lt;/DisplayText&gt;&lt;record&gt;&lt;rec-number&gt;8263&lt;/rec-number&gt;&lt;foreign-keys&gt;&lt;key app="EN" db-id="29ezzfre25wfzbe5ttpvt0wkar525pde22z5"&gt;8263&lt;/key&gt;&lt;/foreign-keys&gt;&lt;ref-type name="Journal Article"&gt;17&lt;/ref-type&gt;&lt;contributors&gt;&lt;authors&gt;&lt;author&gt;Ringe, J. D. &lt;/author&gt;&lt;author&gt;Farahmand, P. &lt;/author&gt;&lt;author&gt;Schacht, E. &lt;/author&gt;&lt;author&gt;Rozehnal, A.&lt;/author&gt;&lt;/authors&gt;&lt;/contributors&gt;&lt;auth-address&gt;Medical Clinic 4, Leverkusen Clinic, University of Cologne, Germany. ringe@klinikum-lev.de&lt;/auth-address&gt;&lt;titles&gt;&lt;title&gt;Superiority of a combined treatment of Alendronate and Alfacalcidol compared to the combination of Alendronate and plain vitamin D or Alfacalcidol alone in established postmenopausal or male osteoporosis (AAC-Trial)&lt;/title&gt;&lt;secondary-title&gt;Rheumatol Int&lt;/secondary-title&gt;&lt;/titles&gt;&lt;periodical&gt;&lt;full-title&gt;Rheumatol Int&lt;/full-title&gt;&lt;/periodical&gt;&lt;pages&gt;425-34&lt;/pages&gt;&lt;volume&gt;27&lt;/volume&gt;&lt;number&gt;5&lt;/number&gt;&lt;keywords&gt;&lt;keyword&gt;Comparative Study Journal Article Randomized Controlled Trial Aged Alendronate/adverse effects/ therapeutic use Bone Density/ drug effects Bone Density Conservation Agents/adverse effects/ therapeutic use Drug Therapy, Combination Female Humans Hydroxyc&lt;/keyword&gt;&lt;/keywords&gt;&lt;dates&gt;&lt;year&gt;2007&lt;/year&gt;&lt;pub-dates&gt;&lt;date&gt;Mar&lt;/date&gt;&lt;/pub-dates&gt;&lt;/dates&gt;&lt;isbn&gt;0172-8172 (Print)&lt;/isbn&gt;&lt;accession-num&gt;17216477&lt;/accession-num&gt;&lt;urls&gt;&lt;/urls&gt;&lt;custom1&gt; PubMed. Specific bisphosphonates. &lt;/custom1&gt;&lt;custom2&gt;CC.AD.&lt;/custom2&gt;&lt;custom6&gt;Include&lt;/custom6&gt;&lt;language&gt;eng&lt;/language&gt;&lt;/record&gt;&lt;/Cite&gt;&lt;/EndNote&gt;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56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Alendronate (Fosamax), Vitamin D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Trial: AAC TRIAE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Alendronate 70 mg/week + Calcium 1000 mg/day + Vitamin D 1,000 IU/day vs Alfacalcidol 1 ug/day + Alendronate 70 mg/week + Calcium 500 mg/day vs Alfacalcidol 1 ug/day + Vitamin D 1,000 IU/day: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Arthralgia: 3.3%(1/30) vs 0.0%(0/30) vs 0.0%(0/30)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Back pain: 70.0%(21/30) vs 20.0%(6/30) vs 56.7%(17/30)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Bone pain: 0.0%(0/30) vs 0.0%(0/30) vs 3.3%(1/30)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Epigastric pain: 6.7%(2/30) vs 3.3%(1/30) vs 0.0%(0/30)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Headache: 0.0%(0/30) vs 0.0%(0/30) vs 6.7%(2/30)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Heartburn: 3.3%(1/30) vs 0.0%(0/30) vs 0.0%(0/30)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Hypercalcemia: 0.0%(0/30) vs 0.0%(0/30) vs 0.0%(0/30)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Hypercalciuria: 0.0%(0/30) vs 3.3%(1/30) vs 13.3%(4/30)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Meteoric: 0.0%(0/30) vs 0.0%(0/30) vs 3.3%(1/30)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Nausea: 0.0%(0/30) vs 3.3%(1/30) vs 0.0%(0/30)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Obstipation: 6.7%(2/30) vs 6.7%(2/30) vs 6.7%(2/30)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Soft bowels: 3.3%(1/30) vs 0.0%(0/30) vs 0.0%(0/30)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 due to adverse events: 0.0%(0/30) vs 0.0%(0/30) vs 0.0%(0/30)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lastRenderedPageBreak/>
              <w:t>de Nijs et al., 2006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ExcludeYear="1"&gt;&lt;RecNum&gt;7719&lt;/RecNum&gt;&lt;DisplayText&gt;&lt;style face="superscript"&gt;57&lt;/style&gt;&lt;/DisplayText&gt;&lt;record&gt;&lt;rec-number&gt;7719&lt;/rec-number&gt;&lt;foreign-keys&gt;&lt;key app="EN" db-id="29ezzfre25wfzbe5ttpvt0wkar525pde22z5"&gt;7719&lt;/key&gt;&lt;/foreign-keys&gt;&lt;ref-type name="Journal Article"&gt;17&lt;/ref-type&gt;&lt;contributors&gt;&lt;authors&gt;&lt;author&gt;de Nijs, R. N. &lt;/author&gt;&lt;author&gt;Jacobs, J. W. &lt;/author&gt;&lt;author&gt;Lems, W. F. &lt;/author&gt;&lt;author&gt;Laan, R. F. &lt;/author&gt;&lt;author&gt;Algra, A. &lt;/author&gt;&lt;author&gt;Huisman, A. M. &lt;/author&gt;&lt;author&gt;Buskens, E. &lt;/author&gt;&lt;author&gt;de Laet, C. E. &lt;/author&gt;&lt;author&gt;Oostveen, A. C. &lt;/author&gt;&lt;author&gt;Geusens, P. P. &lt;/author&gt;&lt;author&gt;Bruyn, G. A. &lt;/author&gt;&lt;author&gt;Dijkmans, B. A. &lt;/author&gt;&lt;author&gt;Bijlsma, J. W.&lt;/author&gt;&lt;/authors&gt;&lt;/contributors&gt;&lt;auth-address&gt;Department of Rheumatology and Clinical Immunology, University Medical Center Utrecht, Utrecht, The Netherlands. r.denijs@mmc.nl&lt;/auth-address&gt;&lt;titles&gt;&lt;title&gt;Alendronate or alfacalcidol in glucocorticoid-induced osteoporosis&lt;/title&gt;&lt;secondary-title&gt;N Engl J Med&lt;/secondary-title&gt;&lt;/titles&gt;&lt;periodical&gt;&lt;full-title&gt;N Engl J Med&lt;/full-title&gt;&lt;/periodical&gt;&lt;pages&gt;675-84&lt;/pages&gt;&lt;volume&gt;355&lt;/volume&gt;&lt;number&gt;7&lt;/number&gt;&lt;keywords&gt;&lt;keyword&gt;Comparative Study Journal Article Randomized Controlled Trial Research Support, Non-U.S. Gov&amp;apos;t Aged Alendronate/ therapeutic use Bone Density Bone Density Conservation Agents/ therapeutic use Double-Blind Method Female Glucocorticoids/ adverse effects/t&lt;/keyword&gt;&lt;/keywords&gt;&lt;dates&gt;&lt;year&gt;2006&lt;/year&gt;&lt;pub-dates&gt;&lt;date&gt;Aug 17&lt;/date&gt;&lt;/pub-dates&gt;&lt;/dates&gt;&lt;isbn&gt;1533-4406 (Electronic)&lt;/isbn&gt;&lt;accession-num&gt;16914703&lt;/accession-num&gt;&lt;urls&gt;&lt;/urls&gt;&lt;custom1&gt; PubMed. Specific bisphosphonates. &lt;/custom1&gt;&lt;custom2&gt;YW.CC.AD.&lt;/custom2&gt;&lt;custom6&gt;Include&lt;/custom6&gt;&lt;language&gt;eng&lt;/language&gt;&lt;/record&gt;&lt;/Cite&gt;&lt;/EndNote&gt;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57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Alendronate (Fosamax), Vitamin D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Trial: STOP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Alendronate 10 mg + Elemental Calcium 500 mg + Vitamin D 400 IU vs Placebo (alfacalcidol) + Elemental Calcium 500 mg + Vitamin D 400 IU: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Abdominal pain: 5.0%(5/100) vs 4.0%(4/101)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Adverse events: 68.0%(68/100) vs 66.3%(67/101)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Adverse events related to the study: 21.0%(21/100) vs 13.9%(14/101)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Death: 2.0%(2/100) vs 1.0%(1/101)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Death: Perforated sigmoid colon due to diverticulitis: 1.0%(1/100) vs 0.0%(0/101)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Death: cerebrovascular accident: 0.0%(0/100) vs 1.0%(1/101)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Death: non-Hodgkin's lymphoma: 1.0%(1/100) vs 0.0%(0/101)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Death: stroke: 0.0%(0/100) vs 1.0%(1/101)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Diarrhea: 3.0%(3/100) vs 6.9%(7/101)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Dyspepsia: 7.0%(7/100) vs 7.9%(8/101)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Gastrointestinal adverse event: 35.0%(35/100) vs 51.5%(52/101)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Headache: 7.0%(7/100) vs 7.9%(8/101)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Hypercalcemia ( calcium &gt; 10.8 mg/dl): 3.0%(3/100) vs 6.9%(7/101)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Hypocalcemia (calcium &lt;8.8 mg/dl): 36.0%(36/100) vs 20.8%(21/101)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Increase in creatinine (&gt;.2 mg/dl): 8.0%(8/100) vs 15.8%(16/101)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Laboratory Adverse events: 47.0%(47/100) vs 43.6%(44/101)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Nausea: 2.0%(2/100) vs 7.9%(8/101)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Other adverse events: 18.0%(18/100) vs 16.8%(17/101)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Other symptoms: 18.0%(18/100) vs 24.8%(25/101)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Skin disorder: 11.0%(11/100) vs 8.9%(9/101)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Withdrawals: 21.0%(21/100) vs 16.8%(17/101)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 due to adverse events: 6.0%(6/100) vs 6.9%(7/101)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lastRenderedPageBreak/>
              <w:t>Obermayer-Pietsch et al., 2008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ExcludeYear="1"&gt;&lt;RecNum&gt;8558&lt;/RecNum&gt;&lt;DisplayText&gt;&lt;style face="superscript"&gt;520&lt;/style&gt;&lt;/DisplayText&gt;&lt;record&gt;&lt;rec-number&gt;8558&lt;/rec-number&gt;&lt;foreign-keys&gt;&lt;key app="EN" db-id="29ezzfre25wfzbe5ttpvt0wkar525pde22z5"&gt;8558&lt;/key&gt;&lt;/foreign-keys&gt;&lt;ref-type name="Journal Article"&gt;17&lt;/ref-type&gt;&lt;contributors&gt;&lt;authors&gt;&lt;author&gt;Obermayer-Pietsch, B. M. &lt;/author&gt;&lt;author&gt;Marin, F. &lt;/author&gt;&lt;author&gt;McCloskey, E. V. &lt;/author&gt;&lt;author&gt;Hadji, P. &lt;/author&gt;&lt;author&gt;Farrerons, J. &lt;/author&gt;&lt;author&gt;Boonen, S. &lt;/author&gt;&lt;author&gt;Audran, M. &lt;/author&gt;&lt;author&gt;Barker, C. &lt;/author&gt;&lt;author&gt;Anastasilakis, A. D. &lt;/author&gt;&lt;author&gt;Fraser, W. D. &lt;/author&gt;&lt;author&gt;Nickelsen, T.&lt;/author&gt;&lt;/authors&gt;&lt;/contributors&gt;&lt;auth-address&gt;Klinische Abteilung Endokrinologie/Nuklearmedizin, Universitatsklinik fur Innere Medizin, Medizinische Universitat, Graz, Austria. barbara.obermayer@meduni-graz.at&lt;/auth-address&gt;&lt;titles&gt;&lt;title&gt;Effects of two years of daily teriparatide treatment on BMD in postmenopausal women with severe osteoporosis with and without prior antiresorptive treatment&lt;/title&gt;&lt;secondary-title&gt;J Bone Miner Res&lt;/secondary-title&gt;&lt;/titles&gt;&lt;periodical&gt;&lt;full-title&gt;J Bone Miner Res&lt;/full-title&gt;&lt;/periodical&gt;&lt;pages&gt;1591-600&lt;/pages&gt;&lt;volume&gt;23&lt;/volume&gt;&lt;number&gt;10&lt;/number&gt;&lt;keywords&gt;&lt;keyword&gt;Journal Article Randomized Controlled Trial Research Support, Non-U.S. Gov&amp;apos;t Absorptiometry, Photon Aged Bone Density/ drug effects Bone Density Conservation Agents/adverse effects/pharmacology/ therapeutic use Female Humans Lumbar Vertebrae Middle Aged&lt;/keyword&gt;&lt;/keywords&gt;&lt;dates&gt;&lt;year&gt;2008&lt;/year&gt;&lt;pub-dates&gt;&lt;date&gt;Oct&lt;/date&gt;&lt;/pub-dates&gt;&lt;/dates&gt;&lt;isbn&gt;1523-4681 (Electronic)&lt;/isbn&gt;&lt;accession-num&gt;18505369&lt;/accession-num&gt;&lt;urls&gt;&lt;/urls&gt;&lt;custom1&gt; PubMed. Teriparatide. &lt;/custom1&gt;&lt;custom4&gt;Full-text&lt;/custom4&gt;&lt;custom6&gt;Include&lt;/custom6&gt;&lt;language&gt;eng&lt;/language&gt;&lt;/record&gt;&lt;/Cite&gt;&lt;/EndNote&gt;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520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Bisphosphonates, PTH (Teriparatide) (Forteo)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Trial: EUROFORS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Teriparatide 20 ug/day + Calcium 500 mg/day + Vitamin D 400-800 IU/day: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Any adverse event: 78.2%(394/504)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Abdominal pain upper: 3.8%(19/504)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Any serious adverse event: 17.5%(88/504)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Arthralgia: 11.7%(59/504)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Back pain: 5.2%(26/504)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Bronchitis: 4.6%(23/504)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Constipation: 4.2%(21/504)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Contusion: 3.0%(15/504)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Depression: 3.0%(15/504)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Diarrhea: 6.2%(31/504)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Dizziness: 5.0%(25/504)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Dyspepsia: 3.0%(15/504)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Edema peripheral: 3.0%(15/504)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Headache: 6.9%(35/504)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Hypercalcemia: 5.0%(25/504)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Hypertension: 8.9%(45/504)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Influenza: 4.0%(20/504)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Muscle cramp: 6.2%(31/504)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Nasopharyngitis: 6.3%(32/504)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Nausea: 12.5%(63/504)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Pain in extremity: 7.3%(37/504)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Urinary tract infection: 3.4%(17/504)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Withdrawals: 5.6%(28/504)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 due to adverse events: 1.2%(6/504)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Kim et al., 2010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ExcludeYear="1"&gt;&lt;RecNum&gt;9898&lt;/RecNum&gt;&lt;DisplayText&gt;&lt;style face="superscript"&gt;432&lt;/style&gt;&lt;/DisplayText&gt;&lt;record&gt;&lt;rec-number&gt;9898&lt;/rec-number&gt;&lt;foreign-keys&gt;&lt;key app="EN" db-id="29ezzfre25wfzbe5ttpvt0wkar525pde22z5"&gt;9898&lt;/key&gt;&lt;/foreign-keys&gt;&lt;ref-type name="Journal Article"&gt;17&lt;/ref-type&gt;&lt;contributors&gt;&lt;authors&gt;&lt;author&gt;Kim, S. Y. &lt;/author&gt;&lt;author&gt;Schneeweiss, S. &lt;/author&gt;&lt;author&gt;Katz, J. N. &lt;/author&gt;&lt;author&gt;Levin, R. &lt;/author&gt;&lt;author&gt;Solomon, D. H.&lt;/author&gt;&lt;/authors&gt;&lt;/contributors&gt;&lt;auth-address&gt;Division of Pharmacoepidemiology and Pharmacoeconomics; Brigham and Women&amp;apos;s Hospital, Boston, MA.&lt;/auth-address&gt;&lt;titles&gt;&lt;title&gt;Oral bisphosphonates and risk of subtrochanteric or diaphyseal femur fractures in a population-based cohort&lt;/title&gt;&lt;secondary-title&gt;J Bone Miner Res&lt;/secondary-title&gt;&lt;/titles&gt;&lt;periodical&gt;&lt;full-title&gt;J Bone Miner Res&lt;/full-title&gt;&lt;/periodical&gt;&lt;edition&gt;2010/11/23&lt;/edition&gt;&lt;dates&gt;&lt;year&gt;2010&lt;/year&gt;&lt;pub-dates&gt;&lt;date&gt;Nov 18&lt;/date&gt;&lt;/pub-dates&gt;&lt;/dates&gt;&lt;isbn&gt;1523-4681 (Electronic) 0884-0431 (Linking)&lt;/isbn&gt;&lt;accession-num&gt;21089136&lt;/accession-num&gt;&lt;urls&gt;&lt;related-urls&gt;&lt;url&gt;http://onlinelibrary.wiley.com/doi/10.1002/jbmr.288/abstract&lt;/url&gt;&lt;/related-urls&gt;&lt;/urls&gt;&lt;custom1&gt; PubMed. Bisphosphonates. &lt;/custom1&gt;&lt;custom4&gt;Carolyn 3/31/2011&lt;/custom4&gt;&lt;custom6&gt;Include&lt;/custom6&gt;&lt;electronic-resource-num&gt;10.1002/jbmr.288 [doi]&lt;/electronic-resource-num&gt;&lt;remote-database-provider&gt;Nlm&lt;/remote-database-provider&gt;&lt;language&gt;Eng&lt;/language&gt;&lt;/record&gt;&lt;/Cite&gt;&lt;/EndNote&gt;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432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Bisphosphonates, Raloxifene (Evista)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Bisphosphonates vs Raloxifene: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Diaphyseal femur fracture: 0.1%(24/17,028) vs 0.1%(13/16,787)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Subtrochanteric femur fracture: 0.2%(36/17,028) vs 0.2%(34/16,787)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Sato et al., 2007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ExcludeYear="1"&gt;&lt;RecNum&gt;8312&lt;/RecNum&gt;&lt;DisplayText&gt;&lt;style face="superscript"&gt;72&lt;/style&gt;&lt;/DisplayText&gt;&lt;record&gt;&lt;rec-number&gt;8312&lt;/rec-number&gt;&lt;foreign-keys&gt;&lt;key app="EN" db-id="29ezzfre25wfzbe5ttpvt0wkar525pde22z5"&gt;8312&lt;/key&gt;&lt;/foreign-keys&gt;&lt;ref-type name="Journal Article"&gt;17&lt;/ref-type&gt;&lt;contributors&gt;&lt;authors&gt;&lt;author&gt;Sato, Y. &lt;/author&gt;&lt;author&gt;Honda, Y. &lt;/author&gt;&lt;author&gt;Iwamoto, J.&lt;/author&gt;&lt;/authors&gt;&lt;/contributors&gt;&lt;auth-address&gt;Department of Neurology, Mitate Hospital, 3237 Yugeta, Tagawa 826-0041, Japan. y-sato@ktarn.or.jp&lt;/auth-address&gt;&lt;titles&gt;&lt;title&gt;Risedronate and ergocalciferol prevent hip fracture in elderly men with Parkinson disease&lt;/title&gt;&lt;secondary-title&gt;Neurology&lt;/secondary-title&gt;&lt;/titles&gt;&lt;periodical&gt;&lt;full-title&gt;Neurology&lt;/full-title&gt;&lt;/periodical&gt;&lt;pages&gt;911-5&lt;/pages&gt;&lt;volume&gt;68&lt;/volume&gt;&lt;number&gt;12&lt;/number&gt;&lt;keywords&gt;&lt;keyword&gt;Journal Article Randomized Controlled Trial Research Support, Non-U.S. Gov&amp;apos;t Aged Aged, 80 and over Amino Acids/urine Biological Markers/urine Bone Density/drug effects/physiology Bone Density Conservation Agents/administration &amp;amp; dosage Bone Resorption/&lt;/keyword&gt;&lt;/keywords&gt;&lt;dates&gt;&lt;year&gt;2007&lt;/year&gt;&lt;pub-dates&gt;&lt;date&gt;Mar 20&lt;/date&gt;&lt;/pub-dates&gt;&lt;/dates&gt;&lt;isbn&gt;1526-632X (Electronic)&lt;/isbn&gt;&lt;accession-num&gt;17372126&lt;/accession-num&gt;&lt;urls&gt;&lt;/urls&gt;&lt;custom1&gt; PubMed. Specific bisphosphonates. &lt;/custom1&gt;&lt;custom2&gt;YW.CC.&lt;/custom2&gt;&lt;custom6&gt;Include&lt;/custom6&gt;&lt;language&gt;eng&lt;/language&gt;&lt;/record&gt;&lt;/Cite&gt;&lt;/EndNote&gt;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72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Vitamin D, Risedronate (Actonel)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Placebo + Vitamin D2 vs Risedronate 2.5mg + Vitamin D2: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Abdominal pain: 2.5%(3/121) vs 3.3%(4/121)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 or intercurrent illness: 3.3%(4/121) vs 3.3%(4/121)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Esophagitis: 0.0%(0/121) vs 2.5%(3/121)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Withdrawals: 7.4%(9/121) vs 8.3%(10/121)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lastRenderedPageBreak/>
              <w:t>McComsey et al., 2007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ExcludeYear="1"&gt;&lt;RecNum&gt;8083&lt;/RecNum&gt;&lt;DisplayText&gt;&lt;style face="superscript"&gt;521&lt;/style&gt;&lt;/DisplayText&gt;&lt;record&gt;&lt;rec-number&gt;8083&lt;/rec-number&gt;&lt;foreign-keys&gt;&lt;key app="EN" db-id="29ezzfre25wfzbe5ttpvt0wkar525pde22z5"&gt;8083&lt;/key&gt;&lt;/foreign-keys&gt;&lt;ref-type name="Journal Article"&gt;17&lt;/ref-type&gt;&lt;contributors&gt;&lt;authors&gt;&lt;author&gt;McComsey, G. A. &lt;/author&gt;&lt;author&gt;Kendall, M. A. &lt;/author&gt;&lt;author&gt;Tebas, P. &lt;/author&gt;&lt;author&gt;Swindells, S. &lt;/author&gt;&lt;author&gt;Hogg, E. &lt;/author&gt;&lt;author&gt;Alston-Smith, B. &lt;/author&gt;&lt;author&gt;Suckow, C. &lt;/author&gt;&lt;author&gt;Gopalakrishnan, G. &lt;/author&gt;&lt;author&gt;Benson, C. &lt;/author&gt;&lt;author&gt;Wohl, D. A.&lt;/author&gt;&lt;/authors&gt;&lt;/contributors&gt;&lt;auth-address&gt;Rainbow Babies and Children&amp;apos;s Hospital and Case Western Reserve University, Cleveland, Ohio, USA. gam9@case.edu&lt;/auth-address&gt;&lt;titles&gt;&lt;title&gt;Alendronate with calcium and vitamin D supplementation is safe and effective for the treatment of decreased bone mineral density in HIV&lt;/title&gt;&lt;secondary-title&gt;Aids&lt;/secondary-title&gt;&lt;/titles&gt;&lt;periodical&gt;&lt;full-title&gt;Aids&lt;/full-title&gt;&lt;/periodical&gt;&lt;pages&gt;2473-82&lt;/pages&gt;&lt;volume&gt;21&lt;/volume&gt;&lt;number&gt;18&lt;/number&gt;&lt;keywords&gt;&lt;keyword&gt;Journal Article Multicenter Study Randomized Controlled Trial Research Support, N.I.H., Extramural Absorptiometry, Photon Alendronate/adverse effects/ therapeutic use Biological Markers/blood Bone Density/drug effects Bone Density Conservation Agents/ad&lt;/keyword&gt;&lt;/keywords&gt;&lt;dates&gt;&lt;year&gt;2007&lt;/year&gt;&lt;pub-dates&gt;&lt;date&gt;Nov 30&lt;/date&gt;&lt;/pub-dates&gt;&lt;/dates&gt;&lt;isbn&gt;1473-5571 (Electronic)&lt;/isbn&gt;&lt;accession-num&gt;18025884&lt;/accession-num&gt;&lt;urls&gt;&lt;/urls&gt;&lt;custom1&gt; PubMed. Specific bisphosphonates. &lt;/custom1&gt;&lt;custom2&gt;YW.AD.&lt;/custom2&gt;&lt;custom6&gt;Include&lt;/custom6&gt;&lt;language&gt;eng&lt;/language&gt;&lt;/record&gt;&lt;/Cite&gt;&lt;/EndNote&gt;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521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Alendronate (Fosamax), Calcium, Vitamin D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Alendronate 70 mg weekly + Calcium carbonate 500 mg/2x day + Vitamin D 200 IU/2x day vs Placebo + Calcium carbonate 500 mg/2x day + Vitamin D 200 IU/2x day: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Any adverse event: 69.0%(29/42) vs 57.5%(23/40)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Abdominal pain: 0.0%(0/42) vs 2.5%(1/40)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Cardiovascular system event: 2.4%(1/42) vs 10.0%(4/40)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Chemistry abnormalities: 14.3%(6/42) vs 17.5%(7/40)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Dyspepsia: 2.4%(1/42) vs 0.0%(0/40)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Dysphagia: 2.4%(1/42) vs 0.0%(0/40)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Endocrinology system event: 7.1%(3/42) vs 5.0%(2/40)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GI event: 4.8%(2/42) vs 10.0%(4/40)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General body event: 14.3%(6/42) vs 17.5%(7/40)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Grade 3+ lab toxicities: 16.7%(7/42) vs 15.0%(6/40)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Grade 3+ signs/symptoms: 0.0%(0/42) vs 15.0%(6/40)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Hematological system event: 2.4%(1/42) vs 2.5%(1/40)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Hepatic system event: 35.7%(15/42) vs 30.0%(12/40)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Metabolic event: 11.9%(5/42) vs 10.0%(4/40)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Neurological system event: 4.8%(2/42) vs 10.0%(4/40)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Pain and burning in mouth: 2.4%(1/42) vs 0.0%(0/40)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Pancreatic event: 7.1%(3/42) vs 7.5%(3/40)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Renal event: 2.4%(1/42) vs 2.5%(1/40)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Respiratory system event: 4.8%(2/42) vs 7.5%(3/40)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Retrosternal pain: 0.0%(0/42) vs 2.5%(1/40)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Serious adverse event: 19.0%(8/42) vs 35.0%(14/40)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Skin event: 2.4%(1/42) vs 5.0%(2/40)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Stomatitis: 2.4%(1/42) vs 0.0%(0/40)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Swelling and pain in tongue: 2.4%(1/42) vs 0.0%(0/40)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Urogenital system event: 0.0%(0/42) vs 5.0%(2/40)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Withdrawals: 7.1%(3/42) vs 7.5%(3/40)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keepNext/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lastRenderedPageBreak/>
              <w:t>Vestergaard et al., 2010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ExcludeYear="1"&gt;&lt;RecNum&gt;9662&lt;/RecNum&gt;&lt;DisplayText&gt;&lt;style face="superscript"&gt;522&lt;/style&gt;&lt;/DisplayText&gt;&lt;record&gt;&lt;rec-number&gt;9662&lt;/rec-number&gt;&lt;foreign-keys&gt;&lt;key app="EN" db-id="29ezzfre25wfzbe5ttpvt0wkar525pde22z5"&gt;9662&lt;/key&gt;&lt;/foreign-keys&gt;&lt;ref-type name="Journal Article"&gt;17&lt;/ref-type&gt;&lt;contributors&gt;&lt;authors&gt;&lt;author&gt;Vestergaard, P. &lt;/author&gt;&lt;author&gt;Schwartz, K. &lt;/author&gt;&lt;author&gt;Pinholt, E. M. &lt;/author&gt;&lt;author&gt;Rejnmark, L. &lt;/author&gt;&lt;author&gt;Mosekilde, L.&lt;/author&gt;&lt;/authors&gt;&lt;/contributors&gt;&lt;auth-address&gt;Department of Endocrinology and Metabolism C, Aarhus University Hospital, Tage Hansens Gade 2, 8000 Arhus C, Denmark. p-vest@post4.tele.dk&lt;/auth-address&gt;&lt;titles&gt;&lt;title&gt;Risk of atrial fibrillation associated with use of bisphosphonates and other drugs against osteoporosis: a cohort study&lt;/title&gt;&lt;secondary-title&gt;Calcif Tissue Int&lt;/secondary-title&gt;&lt;/titles&gt;&lt;periodical&gt;&lt;full-title&gt;Calcif Tissue Int&lt;/full-title&gt;&lt;/periodical&gt;&lt;pages&gt;335-42&lt;/pages&gt;&lt;volume&gt;86&lt;/volume&gt;&lt;number&gt;5&lt;/number&gt;&lt;edition&gt;2010/03/24&lt;/edition&gt;&lt;keywords&gt;&lt;keyword&gt;Aged Alendronate/administration &amp;amp; dosage Atrial Fibrillation/chemically induced/*epidemiology/physiopathology Atrial Flutter/chemically induced/*epidemiology/physiopathology Bone Density Conservation Agents/*administration &amp;amp; dosage Cohort Studies Comorb&lt;/keyword&gt;&lt;/keywords&gt;&lt;dates&gt;&lt;year&gt;2010&lt;/year&gt;&lt;pub-dates&gt;&lt;date&gt;May&lt;/date&gt;&lt;/pub-dates&gt;&lt;/dates&gt;&lt;isbn&gt;1432-0827 (Electronic) 0171-967X (Linking)&lt;/isbn&gt;&lt;accession-num&gt;20309678&lt;/accession-num&gt;&lt;urls&gt;&lt;related-urls&gt;&lt;url&gt;http://www.ncbi.nlm.nih.gov/entrez/query.fcgi?cmd=Retrieve&amp;amp;db=PubMed&amp;amp;dopt=Citation&amp;amp;list_uids=20309678&lt;/url&gt;&lt;/related-urls&gt;&lt;/urls&gt;&lt;custom6&gt;Include&lt;/custom6&gt;&lt;electronic-resource-num&gt;10.1007/s00223-010-9349-0&lt;/electronic-resource-num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522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Alendronate (Fosamax), Etidronate (Didronel), Ibandronate (Boniva), Pamidronate (Aredia) (APD), PTH (Teriparatide) (Forteo), Raloxifene (Evista), Risedronate (Actonel)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keepNext/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Alendronate vs Clodronate vs Ibandronate vs Raloxifene vs Risedronate vs Teriparatide vs Zoledronic acid: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Atrial fibrillation: 1.3%(729/55,090) vs 2.1%(12/566) vs 0.0%(0/612) vs 1.1%(55/4,831) vs 0.0%(0/1,452) vs 0.0%(0/303) vs 0.0%(0/22)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Vestergaard et al., 2009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ExcludeYear="1"&gt;&lt;RecNum&gt;8711&lt;/RecNum&gt;&lt;DisplayText&gt;&lt;style face="superscript"&gt;523&lt;/style&gt;&lt;/DisplayText&gt;&lt;record&gt;&lt;rec-number&gt;8711&lt;/rec-number&gt;&lt;foreign-keys&gt;&lt;key app="EN" db-id="29ezzfre25wfzbe5ttpvt0wkar525pde22z5"&gt;8711&lt;/key&gt;&lt;/foreign-keys&gt;&lt;ref-type name="Journal Article"&gt;17&lt;/ref-type&gt;&lt;contributors&gt;&lt;authors&gt;&lt;author&gt;Vestergaard, P. &lt;/author&gt;&lt;author&gt;Schwartz, K. &lt;/author&gt;&lt;author&gt;Pinholt, E. M. &lt;/author&gt;&lt;author&gt;Rejnmark, L. &lt;/author&gt;&lt;author&gt;Mosekilde, L.&lt;/author&gt;&lt;/authors&gt;&lt;/contributors&gt;&lt;auth-address&gt;Department of Endocrinology and Metabolism C, Aarhus University Hospital, Tage Hansens Gade 2, 8000, Arhus C, Denmark, p-vest@post4.tele.dk.&lt;/auth-address&gt;&lt;titles&gt;&lt;title&gt;Use of bisphosphonates and raloxifene and risk of deep venous thromboembolism and pulmonary embolism&lt;/title&gt;&lt;secondary-title&gt;Osteoporos Int&lt;/secondary-title&gt;&lt;/titles&gt;&lt;periodical&gt;&lt;full-title&gt;Osteoporos Int&lt;/full-title&gt;&lt;/periodical&gt;&lt;pages&gt;1591-7&lt;/pages&gt;&lt;volume&gt;21&lt;/volume&gt;&lt;number&gt;9&lt;/number&gt;&lt;edition&gt;2009/10/28&lt;/edition&gt;&lt;dates&gt;&lt;year&gt;2009&lt;/year&gt;&lt;pub-dates&gt;&lt;date&gt;Oct 27&lt;/date&gt;&lt;/pub-dates&gt;&lt;/dates&gt;&lt;isbn&gt;1433-2965 (Electronic)&lt;/isbn&gt;&lt;accession-num&gt;19859641&lt;/accession-num&gt;&lt;urls&gt;&lt;/urls&gt;&lt;custom1&gt; PubMed. Adverse effects revision 20091203. &lt;/custom1&gt;&lt;custom2&gt;AD.YL.&lt;/custom2&gt;&lt;custom6&gt;Include&lt;/custom6&gt;&lt;electronic-resource-num&gt;10.1007/s00198-009-1091-y [doi]&lt;/electronic-resource-num&gt;&lt;remote-database-provider&gt;Nlm&lt;/remote-database-provider&gt;&lt;language&gt;Eng&lt;/language&gt;&lt;/record&gt;&lt;/Cite&gt;&lt;/EndNote&gt;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523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Alendronate (Fosamax), Etidronate (Didronel), Ibandronate (Boniva), Pamidronate (Aredia) (APD), PTH184 (Preos), Raloxifene (Evista), Risedronate (Actonel), Strontium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Alendronate vs Clodronate vs Ibandronate vs Raloxifene vs Risedronate vs Zoledronic acid vs Control: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Deep venous thromboembolism or pulmonary embolism: 0.4%(200/55,090) vs 1.6%(9/566) vs 0.0%(0/612) vs 0.5%(24/4,831) vs 0.0%(0/1,452) vs 0.0%(0/22) vs 0.5%(1,528/310,683)</w:t>
            </w:r>
          </w:p>
        </w:tc>
      </w:tr>
    </w:tbl>
    <w:p w:rsidR="00241625" w:rsidRDefault="00241625" w:rsidP="00241625">
      <w:pPr>
        <w:adjustRightInd w:val="0"/>
        <w:rPr>
          <w:rFonts w:cs="Times"/>
          <w:color w:val="000000"/>
          <w:sz w:val="18"/>
          <w:szCs w:val="18"/>
        </w:rPr>
        <w:sectPr w:rsidR="00241625" w:rsidSect="002174AA">
          <w:headerReference w:type="default" r:id="rId9"/>
          <w:footerReference w:type="default" r:id="rId10"/>
          <w:pgSz w:w="15840" w:h="12240" w:orient="landscape"/>
          <w:pgMar w:top="360" w:right="360" w:bottom="360" w:left="360" w:header="720" w:footer="720" w:gutter="0"/>
          <w:cols w:space="720"/>
        </w:sectPr>
      </w:pPr>
    </w:p>
    <w:tbl>
      <w:tblPr>
        <w:tblW w:w="0" w:type="auto"/>
        <w:tblInd w:w="6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1"/>
        <w:gridCol w:w="12908"/>
      </w:tblGrid>
      <w:tr w:rsidR="00241625" w:rsidTr="001D0AC8">
        <w:trPr>
          <w:cantSplit/>
          <w:tblHeader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vAlign w:val="bottom"/>
          </w:tcPr>
          <w:p w:rsidR="00241625" w:rsidRDefault="00241625" w:rsidP="001D0AC8">
            <w:pPr>
              <w:keepNext/>
              <w:adjustRightInd w:val="0"/>
              <w:spacing w:before="60" w:after="60"/>
              <w:jc w:val="center"/>
              <w:rPr>
                <w:rFonts w:cs="Times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Times"/>
                <w:b/>
                <w:bCs/>
                <w:color w:val="000000"/>
                <w:sz w:val="18"/>
                <w:szCs w:val="18"/>
              </w:rPr>
              <w:lastRenderedPageBreak/>
              <w:t>Author, Year, Drug, Trial name</w:t>
            </w:r>
          </w:p>
        </w:tc>
        <w:tc>
          <w:tcPr>
            <w:tcW w:w="1290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241625" w:rsidRDefault="00241625" w:rsidP="001D0AC8">
            <w:pPr>
              <w:keepNext/>
              <w:adjustRightInd w:val="0"/>
              <w:spacing w:before="60" w:after="60"/>
              <w:jc w:val="center"/>
              <w:rPr>
                <w:rFonts w:cs="Times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Times"/>
                <w:b/>
                <w:bCs/>
                <w:color w:val="000000"/>
                <w:sz w:val="18"/>
                <w:szCs w:val="18"/>
              </w:rPr>
              <w:t>Adverse events reported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Gorai et al., 2009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ExcludeYear="1"&gt;&lt;RecNum&gt;7348&lt;/RecNum&gt;&lt;DisplayText&gt;&lt;style face="superscript"&gt;270&lt;/style&gt;&lt;/DisplayText&gt;&lt;record&gt;&lt;rec-number&gt;7348&lt;/rec-number&gt;&lt;foreign-keys&gt;&lt;key app="EN" db-id="29ezzfre25wfzbe5ttpvt0wkar525pde22z5"&gt;7348&lt;/key&gt;&lt;/foreign-keys&gt;&lt;ref-type name="Journal Article"&gt;17&lt;/ref-type&gt;&lt;contributors&gt;&lt;authors&gt;&lt;author&gt;Gorai, I. &lt;/author&gt;&lt;author&gt;Tanaka, Y. &lt;/author&gt;&lt;author&gt;Hattori, S. &lt;/author&gt;&lt;author&gt;Iwaoki, Y.&lt;/author&gt;&lt;/authors&gt;&lt;/contributors&gt;&lt;auth-address&gt;Department of Obstetrics and Gynecology, International University of Health and Welfare Atami Hospital, 13-1 Higashi-Kaigancho, Atami, Shizuoka, 413-0012, Japan, I.gorai@iuhw.ac.jp.&lt;/auth-address&gt;&lt;titles&gt;&lt;title&gt;Assessment of adherence to treatment of postmenopausal osteoporosis with raloxifene and/or alfacalcidol in postmenopausal Japanese women&lt;/title&gt;&lt;secondary-title&gt;J Bone Miner Metab&lt;/secondary-title&gt;&lt;/titles&gt;&lt;periodical&gt;&lt;full-title&gt;J Bone Miner Metab&lt;/full-title&gt;&lt;/periodical&gt;&lt;pages&gt;176-184&lt;/pages&gt;&lt;volume&gt;28&lt;/volume&gt;&lt;number&gt;2&lt;/number&gt;&lt;edition&gt;2009/08/07&lt;/edition&gt;&lt;dates&gt;&lt;year&gt;2009&lt;/year&gt;&lt;pub-dates&gt;&lt;date&gt;Aug 6&lt;/date&gt;&lt;/pub-dates&gt;&lt;/dates&gt;&lt;isbn&gt;0914-8779 (Print)&lt;/isbn&gt;&lt;accession-num&gt;Reviewers: AD&lt;/accession-num&gt;&lt;urls&gt;&lt;/urls&gt;&lt;custom1&gt; PubMed. KQ1 - SERMS. &lt;/custom1&gt;&lt;custom2&gt;AD.YL. &lt;/custom2&gt;&lt;custom6&gt;Include&lt;/custom6&gt;&lt;electronic-resource-num&gt;10.1007/s00774-009-0112-4 [doi]&lt;/electronic-resource-num&gt;&lt;remote-database-provider&gt;Nlm&lt;/remote-database-provider&gt;&lt;language&gt;Eng&lt;/language&gt;&lt;/record&gt;&lt;/Cite&gt;&lt;/EndNote&gt;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270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Raloxifene (Evista)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Alfacalcidol 1 ug/d vs Alfacalcidol 1 ug/d +Raloxifene 60 mg/d vs Raloxifene 60 mg/d: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Alopecia areata: 0.0%(0/44) vs 0.0%(0/48) vs 2.2%(1/45)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Angina attack: 0.0%(0/44) vs 2.1%(1/48) vs 0.0%(0/45)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Calcaneodynia: 2.3%(1/44) vs 0.0%(0/48) vs 0.0%(0/45)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Cramp of limb: 0.0%(0/44) vs 0.0%(0/48) vs 4.4%(2/45)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Diaphoresis: 0.0%(0/44) vs 2.1%(1/48) vs 0.0%(0/45)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Digestive symptom (nausea, gastralgia): 0.0%(0/44) vs 6.3%(3/48) vs 2.2%(1/45)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Diverticula of the colon (abdominal pain lower): 2.3%(1/44) vs 0.0%(0/48) vs 0.0%(0/45)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Dizziness: 2.3%(1/44) vs 0.0%(0/48) vs 2.2%(1/45)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Gallstones: 0.0%(0/44) vs 2.1%(1/48) vs 0.0%(0/45)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Headache: 2.3%(1/44) vs 0.0%(0/48) vs 2.2%(1/45)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Hepatic function disorder: 0.0%(0/44) vs 2.1%(1/48) vs 2.2%(1/45)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Hot flash: 2.3%(1/44) vs 0.0%(0/48) vs 2.2%(1/45)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Hypercalciuria: 9.1%(4/44) vs 0.0%(0/48) vs 0.0%(0/45)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Itching Paresthesia: 0.0%(0/44) vs 0.0%(0/48) vs 6.7%(3/45)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Knee pain: 2.3%(1/44) vs 0.0%(0/48) vs 0.0%(0/45)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Leg cramp: 0.0%(0/44) vs 4.2%(2/48) vs 4.4%(2/45)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Leg edema: 0.0%(0/44) vs 0.0%(0/48) vs 2.2%(1/45)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Myalgia: 2.3%(1/44) vs 0.0%(0/48) vs 2.2%(1/45)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Numbness of lower extremities: 0.0%(0/44) vs 2.1%(1/48) vs 0.0%(0/45)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Sweaty: 0.0%(0/44) vs 0.0%(0/48) vs 2.2%(1/45)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Symptoms of menopause: 0.0%(0/44) vs 4.2%(2/48) vs 0.0%(0/45)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Thoracic pain: 0.0%(0/44) vs 2.1%(1/48) vs 0.0%(0/45)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Weigh increased: 0.0%(0/44) vs 0.0%(0/48) vs 2.2%(1/45)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Withdrawals: due to AE: 11.4%(5/44) vs 12.5%(6/48) vs 15.6%(7/45)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lastRenderedPageBreak/>
              <w:t>Miller et al., 2008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ExcludeYear="1"&gt;&lt;RecNum&gt;7215&lt;/RecNum&gt;&lt;DisplayText&gt;&lt;style face="superscript"&gt;444&lt;/style&gt;&lt;/DisplayText&gt;&lt;record&gt;&lt;rec-number&gt;7215&lt;/rec-number&gt;&lt;foreign-keys&gt;&lt;key app="EN" db-id="29ezzfre25wfzbe5ttpvt0wkar525pde22z5"&gt;7215&lt;/key&gt;&lt;/foreign-keys&gt;&lt;ref-type name="Journal Article"&gt;17&lt;/ref-type&gt;&lt;contributors&gt;&lt;authors&gt;&lt;author&gt;Miller, P. D. &lt;/author&gt;&lt;author&gt;Chines, A. A. &lt;/author&gt;&lt;author&gt;Christiansen, C. &lt;/author&gt;&lt;author&gt;Hoeck, H. C. &lt;/author&gt;&lt;author&gt;Kendler, D. L. &lt;/author&gt;&lt;author&gt;Lewiecki, E. M. &lt;/author&gt;&lt;author&gt;Woodson, G. &lt;/author&gt;&lt;author&gt;Levine, A. B. &lt;/author&gt;&lt;author&gt;Constantine, G. &lt;/author&gt;&lt;author&gt;Delmas, P. D.&lt;/author&gt;&lt;/authors&gt;&lt;/contributors&gt;&lt;auth-address&gt;Colorado Center for Bone Research, Lakewood, Colorado 80227, USA. millerccbr@aol.com&lt;/auth-address&gt;&lt;titles&gt;&lt;title&gt;Effects of bazedoxifene on BMD and bone turnover in postmenopausal women: 2-yr results of a randomized, double-blind, placebo-, and active-controlled study&lt;/title&gt;&lt;secondary-title&gt;J Bone Miner Res&lt;/secondary-title&gt;&lt;/titles&gt;&lt;periodical&gt;&lt;full-title&gt;J Bone Miner Res&lt;/full-title&gt;&lt;/periodical&gt;&lt;pages&gt;525-35&lt;/pages&gt;&lt;volume&gt;23&lt;/volume&gt;&lt;number&gt;4&lt;/number&gt;&lt;edition&gt;2007/12/13&lt;/edition&gt;&lt;keywords&gt;&lt;keyword&gt;Bone Density/ drug effects Bone Remodeling/ drug effects Double-Blind Method Female Humans Middle Aged Placebos Postmenopause Raloxifene/ pharmacology Selective Estrogen Receptor Modulators/ pharmacology&lt;/keyword&gt;&lt;/keywords&gt;&lt;dates&gt;&lt;year&gt;2008&lt;/year&gt;&lt;pub-dates&gt;&lt;date&gt;Apr&lt;/date&gt;&lt;/pub-dates&gt;&lt;/dates&gt;&lt;isbn&gt;1523-4681 (Electronic)&lt;/isbn&gt;&lt;accession-num&gt;18072873&lt;/accession-num&gt;&lt;urls&gt;&lt;/urls&gt;&lt;custom1&gt; PubMed. KQ1 - SERMS. &lt;/custom1&gt;&lt;custom2&gt;YL.&lt;/custom2&gt;&lt;custom6&gt;Include&lt;/custom6&gt;&lt;electronic-resource-num&gt;10.1359/jbmr.071206 [doi]&lt;/electronic-resource-num&gt;&lt;remote-database-provider&gt;Nlm&lt;/remote-database-provider&gt;&lt;language&gt;eng&lt;/language&gt;&lt;/record&gt;&lt;/Cite&gt;&lt;/EndNote&gt;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444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Raloxifene (Evista)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Bazedoxifene 10mg vs Bazedoxifene 20mg vs Bazedoxifene 40mg vs Raloxifene 60 mg/d vs Placebo: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AEs: any: 95.3%(306/321) vs 96.0%(309/322) vs 94.4%(301/319) vs 92.3%(287/311) vs 95.8%(297/310)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AEs: any serious AE: 9.0%(29/321) vs 11.5%(37/322) vs 10.3%(33/319) vs 9.3%(29/311) vs 9.0%(28/310)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AEs: any treatment emergent AE: 93.1%(299/321) vs 94.4%(304/322) vs 91.5%(292/319) vs 89.7%(279/311) vs 93.2%(289/310)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Breast cancer: 0.3%(1/321) vs 0.6%(2/322) vs 0.0%(0/319) vs 0.3%(1/311) vs 0.6%(2/310)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Cerebral hemorrhage: 0.3%(1/321) vs 0.0%(0/322) vs 0.0%(0/319) vs 0.0%(0/311) vs 0.0%(0/310)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Cerebral ischemia: 0.0%(0/321) vs 0.0%(0/322) vs 0.0%(0/319) vs 0.3%(1/311) vs 0.0%(0/310)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Cerebrovascular accident: 0.0%(0/321) vs 0.0%(0/322) vs 0.3%(1/319) vs 0.0%(0/311) vs 0.0%(0/310)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Deaths: 0.6%(2/321) vs 0.0%(0/322) vs 0.9%(3/319) vs 0.0%(0/311) vs 0.3%(1/310)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Deep venous thrombosis: 0.0%(0/321) vs 0.6%(2/322) vs 0.0%(0/319) vs 0.0%(0/311) vs 0.3%(1/310)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Endometrial cancer: 0.0%(0/321) vs 0.0%(0/322) vs 0.0%(0/319) vs 0.0%(0/311) vs 0.3%(1/310)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Endometrial hyperplasia: 0.0%(0/321) vs 0.0%(0/322) vs 0.0%(0/319) vs 0.0%(0/311) vs 0.0%(0/310)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Hot flushes: 19.6%(63/321) vs 20.8%(67/322) vs 24.1%(77/319) vs 18.6%(58/311) vs 14.2%(44/310)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Leg cramps: 9.3%(30/321) vs 12.1%(39/322) vs 11.9%(38/319) vs 11.9%(37/311) vs 11.6%(36/310)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Myocardial infarction: 0.0%(0/321) vs 0.6%(2/322) vs 0.3%(1/319) vs 0.0%(0/311) vs 0.3%(1/310)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Phlebitis (superficial): 0.3%(1/321) vs 0.3%(1/322) vs 0.9%(3/319) vs 0.0%(0/311) vs 0.3%(1/310)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Pulmonary embolus: 0.0%(0/321) vs 0.0%(0/322) vs 0.3%(1/319) vs 0.0%(0/311) vs 0.0%(0/310)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Retinal vein thrombosis: 0.0%(0/321) vs 0.0%(0/322) vs 0.0%(0/319) vs 0.3%(1/311) vs 0.0%(0/310)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Withdrawals: due to AE: 16.2%(52/321) vs 17.1%(55/322) vs 17.9%(57/319) vs 13.8%(43/311) vs 15.2%(47/310)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Withdrawals: total: 32.1%(103/321) vs 30.4%(98/322) vs 30.4%(97/319) vs 28.0%(87/311) vs 27.4%(85/310)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Mok et al., 2010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ExcludeYear="1"&gt;&lt;RecNum&gt;9894&lt;/RecNum&gt;&lt;DisplayText&gt;&lt;style face="superscript"&gt;456&lt;/style&gt;&lt;/DisplayText&gt;&lt;record&gt;&lt;rec-number&gt;9894&lt;/rec-number&gt;&lt;foreign-keys&gt;&lt;key app="EN" db-id="29ezzfre25wfzbe5ttpvt0wkar525pde22z5"&gt;9894&lt;/key&gt;&lt;/foreign-keys&gt;&lt;ref-type name="Journal Article"&gt;17&lt;/ref-type&gt;&lt;contributors&gt;&lt;authors&gt;&lt;author&gt;Mok, C. C. &lt;/author&gt;&lt;author&gt;Ying, K. Y. &lt;/author&gt;&lt;author&gt;To, C. H. &lt;/author&gt;&lt;author&gt;Ho, L. Y. &lt;/author&gt;&lt;author&gt;Yu, K. L. &lt;/author&gt;&lt;author&gt;Lee, H. K. &lt;/author&gt;&lt;author&gt;Ma, K. M.&lt;/author&gt;&lt;/authors&gt;&lt;/contributors&gt;&lt;auth-address&gt;1Department of Medicine, Tuen Mun Hospital, Hong Kong, SAR China.&lt;/auth-address&gt;&lt;titles&gt;&lt;title&gt;Raloxifene for prevention of glucocorticoid-induced bone loss: a 12-month randomised double-blinded placebo-controlled trial&lt;/title&gt;&lt;secondary-title&gt;Ann Rheum Dis&lt;/secondary-title&gt;&lt;/titles&gt;&lt;periodical&gt;&lt;full-title&gt;Ann Rheum Dis&lt;/full-title&gt;&lt;/periodical&gt;&lt;edition&gt;2010/12/29&lt;/edition&gt;&lt;dates&gt;&lt;year&gt;2010&lt;/year&gt;&lt;pub-dates&gt;&lt;date&gt;Dec 27&lt;/date&gt;&lt;/pub-dates&gt;&lt;/dates&gt;&lt;isbn&gt;1468-2060 (Electronic) 0003-4967 (Linking)&lt;/isbn&gt;&lt;accession-num&gt;21187295&lt;/accession-num&gt;&lt;urls&gt;&lt;/urls&gt;&lt;custom1&gt; PubMed. Other. &lt;/custom1&gt;&lt;custom4&gt;Carolyn 3/31/2011&lt;/custom4&gt;&lt;custom6&gt;Include&lt;/custom6&gt;&lt;electronic-resource-num&gt;ard.2010.143453 [pii] 10.1136/ard.2010.143453 [doi]&lt;/electronic-resource-num&gt;&lt;remote-database-provider&gt;Nlm&lt;/remote-database-provider&gt;&lt;language&gt;Eng&lt;/language&gt;&lt;/record&gt;&lt;/Cite&gt;&lt;/EndNote&gt;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456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Raloxifene (Evista)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Raloxifene vs Placebo: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Aching: 1.8%(1/57) vs 0.0%(0/57)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Atypical chest pain: 0.0%(0/57) vs 7.0%(4/57)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Depression: 0.0%(0/57) vs 3.5%(2/57)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Dizziness/vertigo: 5.3%(3/57) vs 1.8%(1/57)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Duodenal ulcer: 0.0%(0/57) vs 1.8%(1/57)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Dyspepsia/heartburn: 5.3%(3/57) vs 8.8%(5/57)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Flushing: 0.0%(0/57) vs 1.8%(1/57)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Headache: 1.8%(1/57) vs 1.8%(1/57)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Leg cramps: 7.0%(4/57) vs 0.0%(0/57)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Skin rash: 1.8%(1/57) vs 1.8%(1/57)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Tinnitus: 1.8%(1/57) vs 0.0%(0/57)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lastRenderedPageBreak/>
              <w:t>Mosca et al., 2009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ExcludeYear="1"&gt;&lt;RecNum&gt;7211&lt;/RecNum&gt;&lt;DisplayText&gt;&lt;style face="superscript"&gt;443&lt;/style&gt;&lt;/DisplayText&gt;&lt;record&gt;&lt;rec-number&gt;7211&lt;/rec-number&gt;&lt;foreign-keys&gt;&lt;key app="EN" db-id="29ezzfre25wfzbe5ttpvt0wkar525pde22z5"&gt;7211&lt;/key&gt;&lt;/foreign-keys&gt;&lt;ref-type name="Journal Article"&gt;17&lt;/ref-type&gt;&lt;contributors&gt;&lt;authors&gt;&lt;author&gt;Mosca, L. &lt;/author&gt;&lt;author&gt;Grady, D. &lt;/author&gt;&lt;author&gt;Barrett-Connor, E. &lt;/author&gt;&lt;author&gt;Collins, P. &lt;/author&gt;&lt;author&gt;Wenger, N. &lt;/author&gt;&lt;author&gt;Abramson, B. L. &lt;/author&gt;&lt;author&gt;Paganini-Hill, A. &lt;/author&gt;&lt;author&gt;Geiger, M. J. &lt;/author&gt;&lt;author&gt;Dowsett, S. A. &lt;/author&gt;&lt;author&gt;Amewou-Atisso, M. &lt;/author&gt;&lt;author&gt;Kornitzer, M.&lt;/author&gt;&lt;/authors&gt;&lt;/contributors&gt;&lt;auth-address&gt;Director, Preventive Cardiology, New York-Presbyterian Hospital, 601 West 168th Street, #43, New York, NY 10032, USA. ljm10@columbia.edu&lt;/auth-address&gt;&lt;titles&gt;&lt;title&gt;Effect of raloxifene on stroke and venous thromboembolism according to subgroups in postmenopausal women at increased risk of coronary heart disease&lt;/title&gt;&lt;secondary-title&gt;Stroke&lt;/secondary-title&gt;&lt;/titles&gt;&lt;periodical&gt;&lt;full-title&gt;Stroke&lt;/full-title&gt;&lt;/periodical&gt;&lt;pages&gt;147-55&lt;/pages&gt;&lt;volume&gt;40&lt;/volume&gt;&lt;number&gt;1&lt;/number&gt;&lt;edition&gt;2008/10/25&lt;/edition&gt;&lt;keywords&gt;&lt;keyword&gt;Comorbidity Coronary Artery Disease/ epidemiology Humans Incidence Middle Aged Mortality Postmenopause Raloxifene/ adverse effects Risk Assessment Risk Factors Selective Estrogen Receptor Modulators/ adverse effects Smoking/epidemiology Stroke/chemicall&lt;/keyword&gt;&lt;/keywords&gt;&lt;dates&gt;&lt;year&gt;2009&lt;/year&gt;&lt;pub-dates&gt;&lt;date&gt;Jan&lt;/date&gt;&lt;/pub-dates&gt;&lt;/dates&gt;&lt;isbn&gt;1524-4628 (Electronic)&lt;/isbn&gt;&lt;accession-num&gt;18948611&lt;/accession-num&gt;&lt;urls&gt;&lt;/urls&gt;&lt;custom1&gt; PubMed. KQ1 - SERMS. &lt;/custom1&gt;&lt;custom2&gt;YL.&lt;/custom2&gt;&lt;custom6&gt;Include&lt;/custom6&gt;&lt;electronic-resource-num&gt;STROKEAHA.108.518621 [pii] 10.1161/STROKEAHA.108.518621 [doi]&lt;/electronic-resource-num&gt;&lt;remote-database-provider&gt;Nlm&lt;/remote-database-provider&gt;&lt;language&gt;eng&lt;/language&gt;&lt;/record&gt;&lt;/Cite&gt;&lt;/EndNote&gt;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443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Raloxifene (Evista)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Raloxifene 60 mg/d vs Placebo: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Atrial fibrillation: 6.4%(323/5,044) vs 6.6%(334/5,057)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Deaths: VTE: 0.2%(10/5,044) vs 0.1%(5/5,057)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Deaths: all cardiovascular deaths: 7.2%(362/5,044) vs 7.0%(355/5,057)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Deaths: cerebrovascular (stroke): 1.2%(59/5,044) vs 0.8%(39/5,057)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Deaths: hemorrhagic: 0.2%(10/5,044) vs 0.2%(12/5,057)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Deaths: ischemic: 0.6%(29/5,044) vs 0.3%(16/5,057)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Deaths: noncoronary deaths: 2.1%(107/5,044) vs 1.6%(81/5,057)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Deaths: stroke undetermined: 0.4%(19/5,044) vs 0.2%(11/5,057)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Stroke: Hemorrhagic: 0.4%(18/5,044) vs 0.6%(30/5,057)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Stroke: Ischemic: 3.9%(198/5,044) vs 3.4%(171/5,057)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Stroke: Undetermined: 0.8%(39/5,044) vs 0.6%(30/5,057)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Stroke: all: 4.9%(249/5,044) vs 4.4%(224/5,057)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Transient ischemic attacks: 1.7%(86/5,044) vs 1.8%(91/5,057)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VTE event: all: 2.0%(103/5,044) vs 1.4%(71/5,057)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VTE event: deep vein thrombosis: 1.3%(65/5,044) vs 0.9%(47/5,057)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VTE event: intracranial (retinal vein) thrombosis: 0.2%(8/5,044) vs 0.1%(6/5,057)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VTE event: other: 0.0%(2/5,044) vs 0.0%(1/5,057)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VTE event: pulmonary embolism: 0.7%(36/5,044) vs 0.5%(24/5,057)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Silverman et al., 2008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ExcludeYear="1"&gt;&lt;RecNum&gt;7035&lt;/RecNum&gt;&lt;DisplayText&gt;&lt;style face="superscript"&gt;121&lt;/style&gt;&lt;/DisplayText&gt;&lt;record&gt;&lt;rec-number&gt;7035&lt;/rec-number&gt;&lt;foreign-keys&gt;&lt;key app="EN" db-id="29ezzfre25wfzbe5ttpvt0wkar525pde22z5"&gt;7035&lt;/key&gt;&lt;/foreign-keys&gt;&lt;ref-type name="Journal Article"&gt;17&lt;/ref-type&gt;&lt;contributors&gt;&lt;authors&gt;&lt;author&gt;Silverman, S. L. &lt;/author&gt;&lt;author&gt;Christiansen, C. &lt;/author&gt;&lt;author&gt;Genant, H. K. &lt;/author&gt;&lt;author&gt;Vukicevic, S. &lt;/author&gt;&lt;author&gt;Zanchetta, J. R. &lt;/author&gt;&lt;author&gt;de Villiers, T. J. &lt;/author&gt;&lt;author&gt;Constantine, G. D. &lt;/author&gt;&lt;author&gt;Chines, A. A.&lt;/author&gt;&lt;/authors&gt;&lt;/contributors&gt;&lt;auth-address&gt;Cedars-Sinai Medical Center and University of California, Los Angeles, California, USA. stuarts@slsdss.net&lt;/auth-address&gt;&lt;titles&gt;&lt;title&gt;Efficacy of bazedoxifene in reducing new vertebral fracture risk in postmenopausal women with osteoporosis: results from a 3-year, randomized, placebo-, and active-controlled clinical trial&lt;/title&gt;&lt;secondary-title&gt;J Bone Miner Res&lt;/secondary-title&gt;&lt;/titles&gt;&lt;periodical&gt;&lt;full-title&gt;J Bone Miner Res&lt;/full-title&gt;&lt;/periodical&gt;&lt;pages&gt;1923-34&lt;/pages&gt;&lt;volume&gt;23&lt;/volume&gt;&lt;number&gt;12&lt;/number&gt;&lt;edition&gt;2008/07/31&lt;/edition&gt;&lt;dates&gt;&lt;year&gt;2008&lt;/year&gt;&lt;pub-dates&gt;&lt;date&gt;Dec&lt;/date&gt;&lt;/pub-dates&gt;&lt;/dates&gt;&lt;isbn&gt;1523-4681 (Electronic)&lt;/isbn&gt;&lt;accession-num&gt;18665787&lt;/accession-num&gt;&lt;urls&gt;&lt;related-urls&gt;&lt;url&gt;http://www.ncbi.nlm.nih.gov/entrez/query.fcgi?cmd=Retrieve&amp;amp;db=PubMed&amp;amp;dopt=Citation&amp;amp;list_uids=18665787&lt;/url&gt;&lt;/related-urls&gt;&lt;/urls&gt;&lt;custom5&gt;From &amp;apos;09 CER update report&lt;/custom5&gt;&lt;custom6&gt;Include&lt;/custom6&gt;&lt;electronic-resource-num&gt;10.1359/jbmr.080710&lt;/electronic-resource-num&gt;&lt;research-notes&gt;CER 12&lt;/research-notes&gt;&lt;language&gt;eng&lt;/language&gt;&lt;/record&gt;&lt;/Cite&gt;&lt;/EndNote&gt;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121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Raloxifene (Evista), Bazedoxifene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Bazedoxifene 20mg vs Bazedoxifene 40mg vs Raloxifene 60mg vs Placebo: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AEs: any AE: 95.8%(1,806/1,886) vs 95.7%(1,792/1,872) vs 96.0%(1,775/1,849) vs 96.2%(1,813/1,885)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AEs: any serious AE: 20.3%(382/1,886) vs 19.7%(368/1,872) vs 18.6%(344/1,849) vs 18.7%(353/1,885)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Breast carcinoma: 0.3%(5/1,886) vs 0.2%(4/1,872) vs 0.4%(7/1,849) vs 0.4%(8/1,885)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Breast cyst/fibrocystic breast disease: 0.7%(13/1,886) vs 0.6%(12/1,872) vs 1.7%(31/1,849) vs 1.0%(18/1,885)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Deaths: 0.9%(17/1,886) vs 0.7%(13/1,872) vs 1.0%(19/1,849) vs 0.6%(11/1,885)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Deep vein thrombosis: 0.4%(8/1,886) vs 0.5%(10/1,872) vs 0.4%(8/1,849) vs 0.1%(1/1,885)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Endometrial carcinoma: 0.0%(0/1,886) vs 0.1%(2/1,872) vs 0.1%(2/1,849) vs 0.2%(3/1,885)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Endometrial hyperplasia: 0.1%(1/1,886) vs 0.1%(1/1,872) vs 0.1%(1/1,849) vs 0.1%(1/1,885)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Hemorrhagic stroke: 0.1%(1/1,886) vs 0.1%(1/1,872) vs 0.1%(2/1,849) vs 0.3%(5/1,885)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Indeterminate: 0.4%(7/1,886) vs 0.2%(3/1,872) vs 0.2%(4/1,849) vs 0.2%(4/1,885)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Ischemic stroke: 0.6%(11/1,886) vs 0.8%(15/1,872) vs 0.5%(9/1,849) vs 0.6%(11/1,885)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Leg cramps: 10.9%(205/1,886) vs 10.9%(204/1,872) vs 11.7%(216/1,849) vs 8.2%(155/1,885)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Myocardial infarction: 0.4%(8/1,886) vs 0.4%(8/1,872) vs 0.3%(6/1,849) vs 0.4%(8/1,885)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Pulmonary embolus: 0.3%(5/1,886) vs 0.2%(3/1,872) vs 0.2%(4/1,849) vs 0.2%(4/1,885)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Retinal vein thrombosis: 0.1%(2/1,886) vs 0.1%(1/1,872) vs 0.0%(0/1,849) vs 0.2%(3/1,885)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Strokes: total: 1.0%(19/1,886) vs 1.0%(19/1,872) vs 0.8%(15/1,849) vs 1.1%(20/1,885)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Vasodilatation: 12.6%(238/1,886) vs 13.0%(243/1,872) vs 12.0%(222/1,849) vs 6.3%(118/1,885)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Venous thromboembolic events: 0.7%(13/1,886) vs 0.6%(12/1,872) vs 0.5%(10/1,849) vs 0.3%(5/1,885)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Withdrawals: due to AE: 14.3%(269/1,886) vs 14.4%(270/1,872) vs 14.2%(262/1,849) vs 12.7%(240/1,885)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Withdrawals: total: 33.5%(632/1,886) vs 34.3%(643/1,872) vs 32.3%(597/1,849) vs 33.4%(629/1,885)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keepNext/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lastRenderedPageBreak/>
              <w:t>Pelayo et al., 2008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ExcludeYear="1"&gt;&lt;RecNum&gt;7328&lt;/RecNum&gt;&lt;DisplayText&gt;&lt;style face="superscript"&gt;524&lt;/style&gt;&lt;/DisplayText&gt;&lt;record&gt;&lt;rec-number&gt;7328&lt;/rec-number&gt;&lt;foreign-keys&gt;&lt;key app="EN" db-id="29ezzfre25wfzbe5ttpvt0wkar525pde22z5"&gt;7328&lt;/key&gt;&lt;/foreign-keys&gt;&lt;ref-type name="Journal Article"&gt;17&lt;/ref-type&gt;&lt;contributors&gt;&lt;authors&gt;&lt;author&gt;Pelayo, I. &lt;/author&gt;&lt;author&gt;Haya, J. &lt;/author&gt;&lt;author&gt;De la Cruz, J. J. &lt;/author&gt;&lt;author&gt;Seco, C. &lt;/author&gt;&lt;author&gt;Bugella, J. I. &lt;/author&gt;&lt;author&gt;Diaz, J. L. &lt;/author&gt;&lt;author&gt;Bajo, J. M. &lt;/author&gt;&lt;author&gt;Repolles, M.&lt;/author&gt;&lt;/authors&gt;&lt;/contributors&gt;&lt;auth-address&gt;Department of Gynecology and Obstetrics, Hospital Ramon y Cajal, Madrid, Spain. ipelayod@yahoo.com&lt;/auth-address&gt;&lt;titles&gt;&lt;title&gt;Raloxifene plus ossein-hydroxyapatite compound versus raloxifene plus calcium carbonate to control bone loss in postmenopausal women: a randomized trial&lt;/title&gt;&lt;secondary-title&gt;Menopause&lt;/secondary-title&gt;&lt;/titles&gt;&lt;periodical&gt;&lt;full-title&gt;Menopause&lt;/full-title&gt;&lt;/periodical&gt;&lt;pages&gt;1132-8&lt;/pages&gt;&lt;volume&gt;15&lt;/volume&gt;&lt;number&gt;6&lt;/number&gt;&lt;edition&gt;2008/09/16&lt;/edition&gt;&lt;keywords&gt;&lt;keyword&gt;Bone Density Conservation Agents/ therapeutic use Calcium Carbonate/ therapeutic use Drug Therapy, Combination Durapatite/ therapeutic use Female Humans Middle Aged Osteoporosis, Postmenopausal/ drug therapy Patient Satisfaction Raloxifene/ therapeutic &lt;/keyword&gt;&lt;/keywords&gt;&lt;dates&gt;&lt;year&gt;2008&lt;/year&gt;&lt;pub-dates&gt;&lt;date&gt;Nov-Dec&lt;/date&gt;&lt;/pub-dates&gt;&lt;/dates&gt;&lt;isbn&gt;1530-0374 (Electronic)&lt;/isbn&gt;&lt;accession-num&gt;18791486&lt;/accession-num&gt;&lt;urls&gt;&lt;/urls&gt;&lt;custom1&gt; PubMed. KQ1 - SERMS. &lt;/custom1&gt;&lt;custom2&gt;AD.YL. &lt;/custom2&gt;&lt;custom6&gt;Include&lt;/custom6&gt;&lt;electronic-resource-num&gt;10.1097/gme.0b013e318170af33 [doi]&lt;/electronic-resource-num&gt;&lt;remote-database-provider&gt;Nlm&lt;/remote-database-provider&gt;&lt;language&gt;eng&lt;/language&gt;&lt;/record&gt;&lt;/Cite&gt;&lt;/EndNote&gt;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524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Calcium, Raloxifene (Evista)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keepNext/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Raloxifene (60 mg/d) +CC (600 mg/d) vs Raloxifene (60 mg/d) +OHC (712 mg/d):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Constipation: 0.0%(0/42) vs 4.2%(2/48)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Hot flashes: 7.1%(3/42) vs 8.3%(4/48)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Mild leg swelling: 2.4%(1/42) vs 4.2%(2/48)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Nephrolithiasis: 0.0%(0/42) vs 2.1%(1/48)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Nonspecific GI problems: 7.1%(3/42) vs 6.3%(3/48)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 due to adverse events: 9.5%(4/42) vs 14.6%(7/48)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Withdrawals: total: 11.9%(5/42) vs 16.7%(8/48)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Anastasilakis et al., 2008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ExcludeYear="1"&gt;&lt;RecNum&gt;7516&lt;/RecNum&gt;&lt;DisplayText&gt;&lt;style face="superscript"&gt;266&lt;/style&gt;&lt;/DisplayText&gt;&lt;record&gt;&lt;rec-number&gt;7516&lt;/rec-number&gt;&lt;foreign-keys&gt;&lt;key app="EN" db-id="29ezzfre25wfzbe5ttpvt0wkar525pde22z5"&gt;7516&lt;/key&gt;&lt;/foreign-keys&gt;&lt;ref-type name="Journal Article"&gt;17&lt;/ref-type&gt;&lt;contributors&gt;&lt;authors&gt;&lt;author&gt;Anastasilakis, A. D. &lt;/author&gt;&lt;author&gt;Goulis, D. G. &lt;/author&gt;&lt;author&gt;Polyzos, S. A. &lt;/author&gt;&lt;author&gt;Gerou, S. &lt;/author&gt;&lt;author&gt;Koukoulis, G. N. &lt;/author&gt;&lt;author&gt;Efstathiadou, Z. &lt;/author&gt;&lt;author&gt;Kita, M. &lt;/author&gt;&lt;author&gt;Avramidis, A.&lt;/author&gt;&lt;/authors&gt;&lt;/contributors&gt;&lt;auth-address&gt;Department of Endocrinology, Hippocration General Hospital, Thessaloniki, Greece. anastath@endo.gr&lt;/auth-address&gt;&lt;titles&gt;&lt;title&gt;Head-to-head comparison of risedronate vs. teriparatide on bone turnover markers in women with postmenopausal osteoporosis: a randomised trial&lt;/title&gt;&lt;secondary-title&gt;Int J Clin Pract&lt;/secondary-title&gt;&lt;/titles&gt;&lt;periodical&gt;&lt;full-title&gt;Int J Clin Pract&lt;/full-title&gt;&lt;/periodical&gt;&lt;pages&gt;919-24&lt;/pages&gt;&lt;volume&gt;62&lt;/volume&gt;&lt;number&gt;6&lt;/number&gt;&lt;keywords&gt;&lt;keyword&gt;Comparative Study Journal Article Randomized Controlled Trial Absorptiometry, Photon Aged Bone Density Conservation Agents/ therapeutic use Bone Remodeling/ drug effects/physiology Etidronic Acid/ analogs &amp;amp; derivatives/therapeutic use Female Humans Lumb&lt;/keyword&gt;&lt;/keywords&gt;&lt;dates&gt;&lt;year&gt;2008&lt;/year&gt;&lt;pub-dates&gt;&lt;date&gt;Jun&lt;/date&gt;&lt;/pub-dates&gt;&lt;/dates&gt;&lt;isbn&gt;1742-1241 (Electronic)&lt;/isbn&gt;&lt;accession-num&gt;18422590&lt;/accession-num&gt;&lt;urls&gt;&lt;/urls&gt;&lt;custom1&gt; PubMed. Specific bisphosphonates. &lt;/custom1&gt;&lt;custom2&gt;CC.AD.&lt;/custom2&gt;&lt;custom6&gt;Include&lt;/custom6&gt;&lt;language&gt;eng&lt;/language&gt;&lt;/record&gt;&lt;/Cite&gt;&lt;/EndNote&gt;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266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PTH (Teriparatide) (Forteo), Raloxifene (Evista)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Risedronate 35 mg/wk vs Teriparatide 20 ug/d: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Total number of any AE: 31.8%(7/22) vs 50.0%(11/22)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Bone pain: 4.5%(1/22) vs 13.6%(3/22)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Dizziness: 0.0%(0/22) vs 9.1%(2/22)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Epigastric pain: 9.1%(2/22) vs 0.0%(0/22)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Flushes: 0.0%(0/22) vs 4.5%(1/22)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Hypercalcaemia: 4.5%(1/22) vs 9.1%(2/22)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Nausea: 0.0%(0/22) vs 9.1%(2/22)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Renal colic: 0.0%(0/22) vs 4.5%(1/22)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Substernal burn: 13.6%(3/22) vs 0.0%(0/22)</w:t>
            </w:r>
          </w:p>
        </w:tc>
      </w:tr>
    </w:tbl>
    <w:p w:rsidR="00241625" w:rsidRDefault="00241625" w:rsidP="00241625">
      <w:pPr>
        <w:adjustRightInd w:val="0"/>
        <w:rPr>
          <w:rFonts w:cs="Times"/>
          <w:color w:val="000000"/>
          <w:sz w:val="18"/>
          <w:szCs w:val="18"/>
        </w:rPr>
        <w:sectPr w:rsidR="00241625" w:rsidSect="002174AA">
          <w:headerReference w:type="default" r:id="rId11"/>
          <w:pgSz w:w="15840" w:h="12240" w:orient="landscape"/>
          <w:pgMar w:top="360" w:right="360" w:bottom="360" w:left="360" w:header="720" w:footer="738" w:gutter="0"/>
          <w:cols w:space="720"/>
        </w:sectPr>
      </w:pPr>
    </w:p>
    <w:tbl>
      <w:tblPr>
        <w:tblW w:w="0" w:type="auto"/>
        <w:tblInd w:w="6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1"/>
        <w:gridCol w:w="12908"/>
      </w:tblGrid>
      <w:tr w:rsidR="00241625" w:rsidTr="001D0AC8">
        <w:trPr>
          <w:cantSplit/>
          <w:tblHeader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vAlign w:val="bottom"/>
          </w:tcPr>
          <w:p w:rsidR="00241625" w:rsidRDefault="00241625" w:rsidP="001D0AC8">
            <w:pPr>
              <w:keepNext/>
              <w:adjustRightInd w:val="0"/>
              <w:spacing w:before="60" w:after="60"/>
              <w:jc w:val="center"/>
              <w:rPr>
                <w:rFonts w:cs="Times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Times"/>
                <w:b/>
                <w:bCs/>
                <w:color w:val="000000"/>
                <w:sz w:val="18"/>
                <w:szCs w:val="18"/>
              </w:rPr>
              <w:lastRenderedPageBreak/>
              <w:t>Author, Year, Drug, Trial name</w:t>
            </w:r>
          </w:p>
        </w:tc>
        <w:tc>
          <w:tcPr>
            <w:tcW w:w="1290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241625" w:rsidRDefault="00241625" w:rsidP="001D0AC8">
            <w:pPr>
              <w:keepNext/>
              <w:adjustRightInd w:val="0"/>
              <w:spacing w:before="60" w:after="60"/>
              <w:jc w:val="center"/>
              <w:rPr>
                <w:rFonts w:cs="Times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Times"/>
                <w:b/>
                <w:bCs/>
                <w:color w:val="000000"/>
                <w:sz w:val="18"/>
                <w:szCs w:val="18"/>
              </w:rPr>
              <w:t>Adverse events reported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Miller et al., 2007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ExcludeYear="1"&gt;&lt;RecNum&gt;9605&lt;/RecNum&gt;&lt;DisplayText&gt;&lt;style face="superscript"&gt;460&lt;/style&gt;&lt;/DisplayText&gt;&lt;record&gt;&lt;rec-number&gt;9605&lt;/rec-number&gt;&lt;foreign-keys&gt;&lt;key app="EN" db-id="29ezzfre25wfzbe5ttpvt0wkar525pde22z5"&gt;9605&lt;/key&gt;&lt;/foreign-keys&gt;&lt;ref-type name="Journal Article"&gt;17&lt;/ref-type&gt;&lt;contributors&gt;&lt;authors&gt;&lt;author&gt;Miller, P. D. &lt;/author&gt;&lt;author&gt;Bilezikian, J. P. &lt;/author&gt;&lt;author&gt;Diaz-Curiel, M. &lt;/author&gt;&lt;author&gt;Chen, P. &lt;/author&gt;&lt;author&gt;Marin, F. &lt;/author&gt;&lt;author&gt;Krege, J. H. &lt;/author&gt;&lt;author&gt;Wong, M. &lt;/author&gt;&lt;author&gt;Marcus, R.&lt;/author&gt;&lt;/authors&gt;&lt;/contributors&gt;&lt;auth-address&gt;FACP, Colorado Center for Bone Research, 3190 South Wadsworth, Suite 250, Lakewood, Colorado 80227, USA. MillerCCBR@aol.com&lt;/auth-address&gt;&lt;titles&gt;&lt;title&gt;Occurrence of hypercalciuria in patients with osteoporosis treated with teriparatide&lt;/title&gt;&lt;secondary-title&gt;J Clin Endocrinol Metab&lt;/secondary-title&gt;&lt;/titles&gt;&lt;periodical&gt;&lt;full-title&gt;J Clin Endocrinol Metab&lt;/full-title&gt;&lt;/periodical&gt;&lt;pages&gt;3535-41&lt;/pages&gt;&lt;volume&gt;92&lt;/volume&gt;&lt;number&gt;9&lt;/number&gt;&lt;edition&gt;2007/07/05&lt;/edition&gt;&lt;keywords&gt;&lt;keyword&gt;Adult Aged Aged, 80 and over Bone Density Conservation Agents/adverse effects/therapeutic use Calcium/urine Cohort Studies Double-Blind Method Female Humans Hypercalcemia/epidemiology/etiology Hypercalciuria/*chemically induced/*epidemiology/etiology Ki&lt;/keyword&gt;&lt;/keywords&gt;&lt;dates&gt;&lt;year&gt;2007&lt;/year&gt;&lt;pub-dates&gt;&lt;date&gt;Sep&lt;/date&gt;&lt;/pub-dates&gt;&lt;/dates&gt;&lt;isbn&gt;0021-972X (Print) 0021-972X (Linking)&lt;/isbn&gt;&lt;accession-num&gt;17609307&lt;/accession-num&gt;&lt;urls&gt;&lt;related-urls&gt;&lt;url&gt;http://www.ncbi.nlm.nih.gov/entrez/query.fcgi?cmd=Retrieve&amp;amp;db=PubMed&amp;amp;dopt=Citation&amp;amp;list_uids=17609307&lt;/url&gt;&lt;/related-urls&gt;&lt;/urls&gt;&lt;custom6&gt;Include&lt;/custom6&gt;&lt;electronic-resource-num&gt;jc.2006-2439 [pii] 10.1210/jc.2006-2439&lt;/electronic-resource-num&gt;&lt;language&gt;eng&lt;/language&gt;&lt;/record&gt;&lt;/Cite&gt;&lt;/EndNote&gt;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460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PTH (Teriparatide) (Forteo)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Trial: TPTD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Study A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Teriparatide 20ug/d vs Teriparatide 40ug/d vs Placebo: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Hematuria: 0.8%(4/527) vs 0.7%(4/541) vs 1.1%(6/536)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Hypercalcemia at 4-h after a dose: 2.1%(11/527) vs 5.2%(28/541) vs 0.4%(2/536)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Hypercalciuria: 12.0%(63/527) vs 7.0%(38/541) vs 10.1%(54/536)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Kidney calculus: 0.4%(2/527) vs 0.0%(0/541) vs 0.4%(2/536)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Kidney pain: 0.6%(3/527) vs 0.2%(1/541) vs 0.0%(0/536)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Normal urinary calcium excretion and hypercalcemia: 0.9%(5/527)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Predose (&gt;16 h after injection) hypercalcemia: 0.2%(1/527) vs 0.0%(0/541) vs 0.2%(1/536)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Urinary tract calcifications: 0.2%(1/527) vs 0.2%(1/541) vs 0.0%(0/536)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Urolithiasis: 1.1%(6/527) vs 0.4%(2/541) vs 0.4%(2/536)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keepNext/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Miller et al., 2007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ExcludeYear="1"&gt;&lt;RecNum&gt;9605&lt;/RecNum&gt;&lt;DisplayText&gt;&lt;style face="superscript"&gt;460&lt;/style&gt;&lt;/DisplayText&gt;&lt;record&gt;&lt;rec-number&gt;9605&lt;/rec-number&gt;&lt;foreign-keys&gt;&lt;key app="EN" db-id="29ezzfre25wfzbe5ttpvt0wkar525pde22z5"&gt;9605&lt;/key&gt;&lt;/foreign-keys&gt;&lt;ref-type name="Journal Article"&gt;17&lt;/ref-type&gt;&lt;contributors&gt;&lt;authors&gt;&lt;author&gt;Miller, P. D. &lt;/author&gt;&lt;author&gt;Bilezikian, J. P. &lt;/author&gt;&lt;author&gt;Diaz-Curiel, M. &lt;/author&gt;&lt;author&gt;Chen, P. &lt;/author&gt;&lt;author&gt;Marin, F. &lt;/author&gt;&lt;author&gt;Krege, J. H. &lt;/author&gt;&lt;author&gt;Wong, M. &lt;/author&gt;&lt;author&gt;Marcus, R.&lt;/author&gt;&lt;/authors&gt;&lt;/contributors&gt;&lt;auth-address&gt;FACP, Colorado Center for Bone Research, 3190 South Wadsworth, Suite 250, Lakewood, Colorado 80227, USA. MillerCCBR@aol.com&lt;/auth-address&gt;&lt;titles&gt;&lt;title&gt;Occurrence of hypercalciuria in patients with osteoporosis treated with teriparatide&lt;/title&gt;&lt;secondary-title&gt;J Clin Endocrinol Metab&lt;/secondary-title&gt;&lt;/titles&gt;&lt;periodical&gt;&lt;full-title&gt;J Clin Endocrinol Metab&lt;/full-title&gt;&lt;/periodical&gt;&lt;pages&gt;3535-41&lt;/pages&gt;&lt;volume&gt;92&lt;/volume&gt;&lt;number&gt;9&lt;/number&gt;&lt;edition&gt;2007/07/05&lt;/edition&gt;&lt;keywords&gt;&lt;keyword&gt;Adult Aged Aged, 80 and over Bone Density Conservation Agents/adverse effects/therapeutic use Calcium/urine Cohort Studies Double-Blind Method Female Humans Hypercalcemia/epidemiology/etiology Hypercalciuria/*chemically induced/*epidemiology/etiology Ki&lt;/keyword&gt;&lt;/keywords&gt;&lt;dates&gt;&lt;year&gt;2007&lt;/year&gt;&lt;pub-dates&gt;&lt;date&gt;Sep&lt;/date&gt;&lt;/pub-dates&gt;&lt;/dates&gt;&lt;isbn&gt;0021-972X (Print) 0021-972X (Linking)&lt;/isbn&gt;&lt;accession-num&gt;17609307&lt;/accession-num&gt;&lt;urls&gt;&lt;related-urls&gt;&lt;url&gt;http://www.ncbi.nlm.nih.gov/entrez/query.fcgi?cmd=Retrieve&amp;amp;db=PubMed&amp;amp;dopt=Citation&amp;amp;list_uids=17609307&lt;/url&gt;&lt;/related-urls&gt;&lt;/urls&gt;&lt;custom6&gt;Include&lt;/custom6&gt;&lt;electronic-resource-num&gt;jc.2006-2439 [pii] 10.1210/jc.2006-2439&lt;/electronic-resource-num&gt;&lt;language&gt;eng&lt;/language&gt;&lt;/record&gt;&lt;/Cite&gt;&lt;/EndNote&gt;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460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PTH (Teriparatide) (Forteo)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Trial: TPTD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Study B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keepNext/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Teriparatide 20ug/d vs Teriparatide 40ug/d vs Placebo: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Hypercalciuria at 1 month: 18.6%(27/145) vs 19.7%(26/132) vs 15.6%(22/141)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Kidney calculus: 1.4%(2/145) vs 0.8%(1/132) vs 0.7%(1/141)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Kidney pain: 0.0%(0/145) vs 0.8%(1/132) vs 0.0%(0/141)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Urolithiasis: 3.4%(5/145) vs 3.8%(5/132) vs 3.5%(5/141)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Recker et al., 2009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ExcludeYear="1"&gt;&lt;RecNum&gt;7201&lt;/RecNum&gt;&lt;DisplayText&gt;&lt;style face="superscript"&gt;525&lt;/style&gt;&lt;/DisplayText&gt;&lt;record&gt;&lt;rec-number&gt;7201&lt;/rec-number&gt;&lt;foreign-keys&gt;&lt;key app="EN" db-id="29ezzfre25wfzbe5ttpvt0wkar525pde22z5"&gt;7201&lt;/key&gt;&lt;/foreign-keys&gt;&lt;ref-type name="Journal Article"&gt;17&lt;/ref-type&gt;&lt;contributors&gt;&lt;authors&gt;&lt;author&gt;Recker, R. R. &lt;/author&gt;&lt;author&gt;Marin, F. &lt;/author&gt;&lt;author&gt;Ish-Shalom, S. &lt;/author&gt;&lt;author&gt;Moricke, R. &lt;/author&gt;&lt;author&gt;Hawkins, F. &lt;/author&gt;&lt;author&gt;Kapetanos, G. &lt;/author&gt;&lt;author&gt;de la Pena, M. P. &lt;/author&gt;&lt;author&gt;Kekow, J. &lt;/author&gt;&lt;author&gt;Farrerons, J. &lt;/author&gt;&lt;author&gt;Sanz, B. &lt;/author&gt;&lt;author&gt;Oertel, H. &lt;/author&gt;&lt;author&gt;Stepan, J.&lt;/author&gt;&lt;/authors&gt;&lt;/contributors&gt;&lt;auth-address&gt;Osteoporosis Research Center, Creighton University School of Medicine, Omaha, Nebraska 68131, USA. rrecker@creighton.edu&lt;/auth-address&gt;&lt;titles&gt;&lt;title&gt;Comparative effects of teriparatide and strontium ranelate on bone biopsies and biochemical markers of bone turnover in postmenopausal women with osteoporosis&lt;/title&gt;&lt;secondary-title&gt;J Bone Miner Res&lt;/secondary-title&gt;&lt;/titles&gt;&lt;periodical&gt;&lt;full-title&gt;J Bone Miner Res&lt;/full-title&gt;&lt;/periodical&gt;&lt;pages&gt;1358-68&lt;/pages&gt;&lt;volume&gt;24&lt;/volume&gt;&lt;number&gt;8&lt;/number&gt;&lt;edition&gt;2009/04/03&lt;/edition&gt;&lt;dates&gt;&lt;year&gt;2009&lt;/year&gt;&lt;pub-dates&gt;&lt;date&gt;Aug&lt;/date&gt;&lt;/pub-dates&gt;&lt;/dates&gt;&lt;isbn&gt;1523-4681 (Electronic)&lt;/isbn&gt;&lt;accession-num&gt;19338452&lt;/accession-num&gt;&lt;urls&gt;&lt;/urls&gt;&lt;custom1&gt; PubMed. KQ1 - Strontium. &lt;/custom1&gt;&lt;custom2&gt;YL.&lt;/custom2&gt;&lt;custom6&gt;Include&lt;/custom6&gt;&lt;electronic-resource-num&gt;10.1359/jbmr.090315 [doi]&lt;/electronic-resource-num&gt;&lt;remote-database-provider&gt;Nlm&lt;/remote-database-provider&gt;&lt;language&gt;eng&lt;/language&gt;&lt;/record&gt;&lt;/Cite&gt;&lt;/EndNote&gt;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525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PTH (Teriparatide) (Forteo), Strontium ranelate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Teriparatide: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t>≥1 predose serum calcium level&gt;2.75mM: 7.7%(3/39)</w:t>
            </w:r>
            <w:r>
              <w:rPr>
                <w:color w:val="000000"/>
                <w:sz w:val="18"/>
                <w:szCs w:val="18"/>
              </w:rPr>
              <w:br/>
              <w:t>AEs: ≥1 AE: 41.0%(16/39)</w:t>
            </w:r>
            <w:r>
              <w:rPr>
                <w:color w:val="000000"/>
                <w:sz w:val="18"/>
                <w:szCs w:val="18"/>
              </w:rPr>
              <w:br/>
              <w:t>AEs: serious AE: 2.6%(1/39)</w:t>
            </w:r>
            <w:r>
              <w:rPr>
                <w:color w:val="000000"/>
                <w:sz w:val="18"/>
                <w:szCs w:val="18"/>
              </w:rPr>
              <w:br/>
              <w:t>Above ULN in total alkaline phosphatase: 28.2%(11/39)</w:t>
            </w:r>
            <w:r>
              <w:rPr>
                <w:color w:val="000000"/>
                <w:sz w:val="18"/>
                <w:szCs w:val="18"/>
              </w:rPr>
              <w:br/>
              <w:t>Above ULN in uric acid: 30.8%(12/39)</w:t>
            </w:r>
            <w:r>
              <w:rPr>
                <w:color w:val="000000"/>
                <w:sz w:val="18"/>
                <w:szCs w:val="18"/>
              </w:rPr>
              <w:br/>
              <w:t>Cerebrovascular accident: 0.0%(0/39)</w:t>
            </w:r>
            <w:r>
              <w:rPr>
                <w:color w:val="000000"/>
                <w:sz w:val="18"/>
                <w:szCs w:val="18"/>
              </w:rPr>
              <w:br/>
              <w:t>Lymphoma: 0.0%(0/39)</w:t>
            </w:r>
            <w:r>
              <w:rPr>
                <w:color w:val="000000"/>
                <w:sz w:val="18"/>
                <w:szCs w:val="18"/>
              </w:rPr>
              <w:br/>
              <w:t>Parathyroid adenoma: 0.0%(0/39)</w:t>
            </w:r>
            <w:r>
              <w:rPr>
                <w:color w:val="000000"/>
                <w:sz w:val="18"/>
                <w:szCs w:val="18"/>
              </w:rPr>
              <w:br/>
              <w:t>Withdrawals: due to AE: 5.1%(2/39)</w:t>
            </w:r>
            <w:r>
              <w:rPr>
                <w:color w:val="000000"/>
                <w:sz w:val="18"/>
                <w:szCs w:val="18"/>
              </w:rPr>
              <w:br/>
              <w:t>Withdrawals: total: 15.4%(6/39)</w:t>
            </w:r>
          </w:p>
        </w:tc>
      </w:tr>
    </w:tbl>
    <w:p w:rsidR="00241625" w:rsidRDefault="00241625" w:rsidP="00241625">
      <w:pPr>
        <w:adjustRightInd w:val="0"/>
        <w:rPr>
          <w:rFonts w:cs="Times"/>
          <w:color w:val="000000"/>
          <w:sz w:val="18"/>
          <w:szCs w:val="18"/>
        </w:rPr>
        <w:sectPr w:rsidR="00241625" w:rsidSect="002174AA">
          <w:headerReference w:type="default" r:id="rId12"/>
          <w:pgSz w:w="15840" w:h="12240" w:orient="landscape"/>
          <w:pgMar w:top="360" w:right="360" w:bottom="360" w:left="360" w:header="720" w:footer="720" w:gutter="0"/>
          <w:cols w:space="720"/>
        </w:sectPr>
      </w:pPr>
    </w:p>
    <w:tbl>
      <w:tblPr>
        <w:tblW w:w="0" w:type="auto"/>
        <w:tblInd w:w="6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1"/>
        <w:gridCol w:w="12908"/>
      </w:tblGrid>
      <w:tr w:rsidR="00241625" w:rsidTr="001D0AC8">
        <w:trPr>
          <w:cantSplit/>
          <w:tblHeader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vAlign w:val="bottom"/>
          </w:tcPr>
          <w:p w:rsidR="00241625" w:rsidRDefault="00241625" w:rsidP="001D0AC8">
            <w:pPr>
              <w:keepNext/>
              <w:adjustRightInd w:val="0"/>
              <w:spacing w:before="60" w:after="60"/>
              <w:jc w:val="center"/>
              <w:rPr>
                <w:rFonts w:cs="Times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Times"/>
                <w:b/>
                <w:bCs/>
                <w:color w:val="000000"/>
                <w:sz w:val="18"/>
                <w:szCs w:val="18"/>
              </w:rPr>
              <w:lastRenderedPageBreak/>
              <w:t>Author, Year, Drug, Trial name</w:t>
            </w:r>
          </w:p>
        </w:tc>
        <w:tc>
          <w:tcPr>
            <w:tcW w:w="1290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241625" w:rsidRDefault="00241625" w:rsidP="001D0AC8">
            <w:pPr>
              <w:keepNext/>
              <w:adjustRightInd w:val="0"/>
              <w:spacing w:before="60" w:after="60"/>
              <w:jc w:val="center"/>
              <w:rPr>
                <w:rFonts w:cs="Times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Times"/>
                <w:b/>
                <w:bCs/>
                <w:color w:val="000000"/>
                <w:sz w:val="18"/>
                <w:szCs w:val="18"/>
              </w:rPr>
              <w:t>Adverse events reported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Bone et al., 2008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ExcludeYear="1"&gt;&lt;RecNum&gt;7592&lt;/RecNum&gt;&lt;DisplayText&gt;&lt;style face="superscript"&gt;117&lt;/style&gt;&lt;/DisplayText&gt;&lt;record&gt;&lt;rec-number&gt;7592&lt;/rec-number&gt;&lt;foreign-keys&gt;&lt;key app="EN" db-id="29ezzfre25wfzbe5ttpvt0wkar525pde22z5"&gt;7592&lt;/key&gt;&lt;/foreign-keys&gt;&lt;ref-type name="Journal Article"&gt;17&lt;/ref-type&gt;&lt;contributors&gt;&lt;authors&gt;&lt;author&gt;Bone, H. G. &lt;/author&gt;&lt;author&gt;Bolognese, M. A. &lt;/author&gt;&lt;author&gt;Yuen, C. K. &lt;/author&gt;&lt;author&gt;Kendler, D. L. &lt;/author&gt;&lt;author&gt;Wang, H. &lt;/author&gt;&lt;author&gt;Liu, Y. &lt;/author&gt;&lt;author&gt;San Martin, J.&lt;/author&gt;&lt;/authors&gt;&lt;/contributors&gt;&lt;auth-address&gt;Michigan Bone and Mineral Clinic, 22201 Moross Road, Detroit, MI 48236, USA. hgbone.md@att.net&lt;/auth-address&gt;&lt;titles&gt;&lt;title&gt;Effects of denosumab on bone mineral density and bone turnover in postmenopausal women&lt;/title&gt;&lt;secondary-title&gt;J Clin Endocrinol Metab&lt;/secondary-title&gt;&lt;/titles&gt;&lt;periodical&gt;&lt;full-title&gt;J Clin Endocrinol Metab&lt;/full-title&gt;&lt;/periodical&gt;&lt;pages&gt;2149-57&lt;/pages&gt;&lt;volume&gt;93&lt;/volume&gt;&lt;number&gt;6&lt;/number&gt;&lt;keywords&gt;&lt;keyword&gt;Clinical Trial, Phase III Journal Article Multicenter Study Randomized Controlled Trial Research Support, Non-U.S. Gov&amp;apos;t Algorithms Antibodies, Monoclonal/adverse effects/pharmacology/ therapeutic use Bone Density/ drug effects Bone Density Conservation&lt;/keyword&gt;&lt;/keywords&gt;&lt;dates&gt;&lt;year&gt;2008&lt;/year&gt;&lt;pub-dates&gt;&lt;date&gt;Jun&lt;/date&gt;&lt;/pub-dates&gt;&lt;/dates&gt;&lt;isbn&gt;0021-972X (Print)&lt;/isbn&gt;&lt;accession-num&gt;18381571&lt;/accession-num&gt;&lt;urls&gt;&lt;/urls&gt;&lt;custom1&gt; PubMed. Specific bisphosphonates. &lt;/custom1&gt;&lt;custom2&gt;YW.AD.&lt;/custom2&gt;&lt;custom6&gt;Include&lt;/custom6&gt;&lt;language&gt;eng&lt;/language&gt;&lt;/record&gt;&lt;/Cite&gt;&lt;/EndNote&gt;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117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Denosumab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Denosumab 60 mg/6 mos vs Placebo: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Any AE: 94.0%(156/166) vs 94.6%(157/166)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AE in &gt;10% subjects: arthralgia: 24.7%(41/166) vs 25.3%(42/166)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AE in &gt;10% subjects: back pain: 19.9%(33/166) vs 19.9%(33/166)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AE in &gt;10% subjects: constipation: 10.8%(18/166) vs 4.8%(8/166)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AE in &gt;10% subjects: headache: 15.7%(26/166) vs 11.4%(19/166)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AE in &gt;10% subjects: influenza: 9.0%(15/166) vs 10.8%(18/166)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AE in &gt;10% subjects: nasopharyngitis: 21.7%(36/166) vs 18.7%(31/166)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AE in &gt;10% subjects: pain in extremity: 14.5%(24/166) vs 12.0%(20/166)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AE in &gt;10% subjects: pharyngolaryngeal pain (sore throat): 9.0%(15/166) vs 3.0%(5/166)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AE in &gt;10% subjects: rash: 8.4%(14/166) vs 3.0%(5/166)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AE in &gt;10% subjects: shoulder pain: 10.2%(17/166) vs 6.0%(10/166)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AE in &gt;10% subjects: sinusitis: 6.0%(10/166) vs 10.2%(17/166)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AE in &gt;10% subjects: upper respiratory tract infection: 11.4%(19/166) vs 13.3%(22/166)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AE in &gt;10% subjects: urinary tract infection: 10.8%(18/166) vs 10.2%(17/166)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Deaths: 0.0%(0/166) vs 0.0%(0/166)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Serious AE: gastrointestinal disorder: 1.2%(2/166) vs 0.0%(0/166)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Serious AE: hepatobiliary disorder: 0.0%(0/166) vs 0.6%(1/166)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Serious AE: infection: 4.8%(8/166) vs 0.6%(1/166)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Serious AE: injury, poisoning, or procedural complication: 1.2%(2/166) vs 0.6%(1/166)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Serious AE: musculoskeletal or connective tissue disorder: 1.8%(3/166) vs 1.2%(2/166)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Serious AE: neoplasm - B cell lymphoma: 0.0%(0/166) vs 0.6%(1/166)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Serious AE: neoplasm - breast cancer in situ: 0.6%(1/166) vs 0.0%(0/166)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Serious AE: neoplasm - mycosis fungoides: 0.6%(1/166) vs 0.0%(0/166)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Serious AE: neoplasm - ovarian cancer: 0.6%(1/166) vs 0.0%(0/166)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Serious AE: neoplasm - uterine cancer: 0.6%(1/166) vs 0.0%(0/166)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Serious AE: nervous system disorder: 0.0%(0/166) vs 0.6%(1/166)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Serious AE: psychiatric disorder: 0.0%(0/166) vs 0.6%(1/166)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Serious AE: reproductive system or breast disorder: 0.6%(1/166) vs 0.6%(1/166)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Withdrawals: 6.0%(10/166) vs 9.0%(15/166)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 due to AE: 0.6%(1/166) vs 1.2%(2/166)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keepNext/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lastRenderedPageBreak/>
              <w:t>Cohen et al., 2008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ExcludeYear="1"&gt;&lt;RecNum&gt;7666&lt;/RecNum&gt;&lt;DisplayText&gt;&lt;style face="superscript"&gt;526&lt;/style&gt;&lt;/DisplayText&gt;&lt;record&gt;&lt;rec-number&gt;7666&lt;/rec-number&gt;&lt;foreign-keys&gt;&lt;key app="EN" db-id="29ezzfre25wfzbe5ttpvt0wkar525pde22z5"&gt;7666&lt;/key&gt;&lt;/foreign-keys&gt;&lt;ref-type name="Journal Article"&gt;17&lt;/ref-type&gt;&lt;contributors&gt;&lt;authors&gt;&lt;author&gt;Cohen, S. B. &lt;/author&gt;&lt;author&gt;Dore, R. K. &lt;/author&gt;&lt;author&gt;Lane, N. E. &lt;/author&gt;&lt;author&gt;Ory, P. A. &lt;/author&gt;&lt;author&gt;Peterfy, C. G. &lt;/author&gt;&lt;author&gt;Sharp, J. T. &lt;/author&gt;&lt;author&gt;van der Heijde, D.&lt;/author&gt;&lt;author&gt;Zhou, L. &lt;/author&gt;&lt;author&gt;Tsuji, W. &lt;/author&gt;&lt;author&gt;Newmark, R.&lt;/author&gt;&lt;/authors&gt;&lt;/contributors&gt;&lt;auth-address&gt;Metroplex Clinical Research Center, Dallas, Texas 75235, USA. Scohen@arthdocs.com&lt;/auth-address&gt;&lt;titles&gt;&lt;title&gt;Denosumab treatment effects on structural damage, bone mineral density, and bone turnover in rheumatoid arthritis: a twelve-month, multicenter, randomized, double-blind, placebo-controlled, phase II clinical trial&lt;/title&gt;&lt;secondary-title&gt;Arthritis Rheum&lt;/secondary-title&gt;&lt;/titles&gt;&lt;periodical&gt;&lt;full-title&gt;Arthritis Rheum&lt;/full-title&gt;&lt;/periodical&gt;&lt;pages&gt;1299-309&lt;/pages&gt;&lt;volume&gt;58&lt;/volume&gt;&lt;number&gt;5&lt;/number&gt;&lt;keywords&gt;&lt;keyword&gt;Clinical Trial, Phase II Journal Article Multicenter Study Randomized Controlled Trial Research Support, Non-U.S. Gov&amp;apos;t Antibodies, Monoclonal/ therapeutic use Antirheumatic Agents/therapeutic use Arthritis, Rheumatoid/diagnosis/drug therapy/ metabolism&lt;/keyword&gt;&lt;/keywords&gt;&lt;dates&gt;&lt;year&gt;2008&lt;/year&gt;&lt;pub-dates&gt;&lt;date&gt;May&lt;/date&gt;&lt;/pub-dates&gt;&lt;/dates&gt;&lt;isbn&gt;0004-3591 (Print)&lt;/isbn&gt;&lt;accession-num&gt;18438830&lt;/accession-num&gt;&lt;urls&gt;&lt;/urls&gt;&lt;custom1&gt; PubMed. Specific bisphosphonates. &lt;/custom1&gt;&lt;custom2&gt;YW.AD.&lt;/custom2&gt;&lt;custom6&gt;Include&lt;/custom6&gt;&lt;language&gt;eng&lt;/language&gt;&lt;/record&gt;&lt;/Cite&gt;&lt;/EndNote&gt;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526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Denosumab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Trial: DENOSUMAB RA STUDY CORP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keepNext/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Denosumab 180 mg injections + Elemental Calcium 500-1000 mg + Vitamin D 400-800 IU vs Denosumab 60 mg injections + Elemental Calcium 500-1000 mg + Vitamin D 400-800 IU vs Subcutaneous placebo + Elemental Calcium 500-1000 mg + Vitamin D 400-800 IU: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Any adverse event: 77.8%(56/72) vs 84.5%(60/71) vs 89.3%(67/75)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Arthralgia: 5.6%(4/72) vs 8.5%(6/71) vs 2.7%(2/75)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Bronchitis: 5.6%(4/72) vs 4.2%(3/71) vs 4.0%(3/75)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Cough: 1.4%(1/72) vs 8.5%(6/71) vs 6.7%(5/75)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Death: 0.0%(0/72) vs 0.0%(0/71) vs 0.0%(0/75)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Infection requiring hospitalization: 2.8%(2/72) vs 1.4%(1/71) vs 1.3%(1/75)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Influenza: 9.7%(7/72) vs 2.8%(2/71) vs 0.0%(0/75)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Nasopharyngitis: 6.9%(5/72) vs 7.0%(5/71) vs 12.0%(9/75)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Neoplasm: 1.4%(1/72) vs 1.4%(1/71) vs 2.7%(2/75)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Rhematoid arthritis flare: 29.2%(21/72) vs 29.6%(21/71) vs 33.3%(25/75)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Serious adverse event: 8.3%(6/72) vs 4.2%(3/71) vs 9.3%(7/75)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Sinusitis: 11.1%(8/72) vs 5.6%(4/71) vs 10.7%(8/75)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Upper respiratory tract infection: 12.5%(9/72) vs 15.5%(11/71) vs 8.0%(6/75)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Urinary tract infection: 4.2%(3/72) vs 5.6%(4/71) vs 1.3%(1/75)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 due to adverse events: 1.4%(1/72) vs 0.0%(0/71) vs 1.3%(1/75)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lastRenderedPageBreak/>
              <w:t>Cummings et al., 2009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>
                <w:fldData xml:space="preserve">PEVuZE5vdGU+PENpdGUgRXhjbHVkZUF1dGg9IjEiIEV4Y2x1ZGVZZWFyPSIxIj48UmVjTnVtPjcw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</w:fldData>
              </w:fldChar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>
                <w:fldData xml:space="preserve">PEVuZE5vdGU+PENpdGUgRXhjbHVkZUF1dGg9IjEiIEV4Y2x1ZGVZZWFyPSIxIj48UmVjTnVtPjcw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</w:fldData>
              </w:fldChar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EN.CITE.DATA 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 w:rsidR="005F6BCB">
              <w:rPr>
                <w:rFonts w:cs="Times"/>
                <w:color w:val="000000"/>
                <w:sz w:val="18"/>
                <w:szCs w:val="18"/>
              </w:rPr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118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Denosumab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Trial: FREEDOM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Denosumab 60 mg/6 mos vs Placebo: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AEs: all: 92.8%(3,605/3,886) vs 93.1%(3,607/3,876)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AEs: serious: 25.8%(1,004/3,886) vs 25.1%(972/3,876)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Atrial fibrillation: 0.7%(29/3,886) vs 0.7%(29/3,876)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Cancer: overall: 4.8%(187/3,886) vs 4.3%(166/3,876)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Cancer: serious: 3.7%(144/3,886) vs 3.2%(125/3,876)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Cardiovascular event: 4.8%(186/3,886) vs 4.6%(178/3,876)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Cellulitis (including erysipelas): overall: 1.2%(47/3,886) vs 0.9%(36/3,876)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Cellulitis (including erysipelas): serious: 0.3%(12/3,886) vs 0.0%(1/3,876)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Concussion: 0.0%(1/3,886) vs 0.3%(11/3,876)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Coronary heart disease: 1.2%(47/3,886) vs 1.0%(39/3,876)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Deaths: 1.8%(70/3,886) vs 2.3%(90/3,876)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Decrease in serum calcium to levels below 8mg: 0.1%(4/3,886) vs 0.1%(5/3,876)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Delayed fracture healing: 0.1%(2/3,886) vs 0.1%(4/3,876)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Development of neutralizing antibodies to denosumab: 0.0%(0/3,886) vs 0.0%(0/3,876)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Eczema: 3.0%(118/3,886) vs 1.7%(65/3,876)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Falling: 4.5%(175/3,886) vs 5.7%(219/3,876)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Flatulence: 2.2%(84/3,886) vs 1.4%(53/3,876)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Hypocalcemia: 0.0%(0/3,886) vs 0.1%(3/3,876)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Infection: overall: 52.9%(2,055/3,886) vs 54.4%(2,108/3,876)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Infection: serious: 4.1%(159/3,886) vs 3.4%(133/3,876)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Local reactions: 0.8%(33/3,886) vs 0.7%(26/3,876)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Opportunistic infections: 0.1%(4/3,886) vs 0.1%(3/3,876)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Osteonecrosis of the jaw: 0.0%(0/3,886) vs 0.0%(0/3,876)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Peripheral vascular disease: 0.8%(31/3,886) vs 0.8%(30/3,876)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Stroke: 1.4%(56/3,886) vs 1.4%(54/3,876)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Withdrawals: due to AE: 2.4%(93/3,886) vs 2.1%(81/3,876)</w:t>
            </w:r>
          </w:p>
        </w:tc>
      </w:tr>
    </w:tbl>
    <w:p w:rsidR="00241625" w:rsidRDefault="00241625" w:rsidP="00241625">
      <w:pPr>
        <w:adjustRightInd w:val="0"/>
        <w:rPr>
          <w:rFonts w:cs="Times"/>
          <w:color w:val="000000"/>
          <w:sz w:val="18"/>
          <w:szCs w:val="18"/>
        </w:rPr>
        <w:sectPr w:rsidR="00241625" w:rsidSect="002174AA">
          <w:headerReference w:type="default" r:id="rId13"/>
          <w:pgSz w:w="15840" w:h="12240" w:orient="landscape"/>
          <w:pgMar w:top="360" w:right="360" w:bottom="360" w:left="360" w:header="720" w:footer="738" w:gutter="0"/>
          <w:cols w:space="720"/>
        </w:sectPr>
      </w:pPr>
    </w:p>
    <w:tbl>
      <w:tblPr>
        <w:tblW w:w="0" w:type="auto"/>
        <w:tblInd w:w="6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1"/>
        <w:gridCol w:w="12908"/>
      </w:tblGrid>
      <w:tr w:rsidR="00241625" w:rsidTr="001D0AC8">
        <w:trPr>
          <w:cantSplit/>
          <w:tblHeader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vAlign w:val="bottom"/>
          </w:tcPr>
          <w:p w:rsidR="00241625" w:rsidRDefault="00241625" w:rsidP="001D0AC8">
            <w:pPr>
              <w:keepNext/>
              <w:adjustRightInd w:val="0"/>
              <w:spacing w:before="60" w:after="60"/>
              <w:jc w:val="center"/>
              <w:rPr>
                <w:rFonts w:cs="Times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Times"/>
                <w:b/>
                <w:bCs/>
                <w:color w:val="000000"/>
                <w:sz w:val="18"/>
                <w:szCs w:val="18"/>
              </w:rPr>
              <w:lastRenderedPageBreak/>
              <w:t>Author, Year, Drug, Trial name</w:t>
            </w:r>
          </w:p>
        </w:tc>
        <w:tc>
          <w:tcPr>
            <w:tcW w:w="1290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241625" w:rsidRDefault="00241625" w:rsidP="001D0AC8">
            <w:pPr>
              <w:keepNext/>
              <w:adjustRightInd w:val="0"/>
              <w:spacing w:before="60" w:after="60"/>
              <w:jc w:val="center"/>
              <w:rPr>
                <w:rFonts w:cs="Times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Times"/>
                <w:b/>
                <w:bCs/>
                <w:color w:val="000000"/>
                <w:sz w:val="18"/>
                <w:szCs w:val="18"/>
              </w:rPr>
              <w:t>Adverse events reported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Boone et al., 2006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ExcludeYear="1"&gt;&lt;RecNum&gt;7459&lt;/RecNum&gt;&lt;DisplayText&gt;&lt;style face="superscript"&gt;136&lt;/style&gt;&lt;/DisplayText&gt;&lt;record&gt;&lt;rec-number&gt;7459&lt;/rec-number&gt;&lt;foreign-keys&gt;&lt;key app="EN" db-id="29ezzfre25wfzbe5ttpvt0wkar525pde22z5"&gt;7459&lt;/key&gt;&lt;/foreign-keys&gt;&lt;ref-type name="Journal Article"&gt;17&lt;/ref-type&gt;&lt;contributors&gt;&lt;authors&gt;&lt;author&gt;Boone, R. H. &lt;/author&gt;&lt;author&gt;Cheung, A. M.&lt;/author&gt;&lt;author&gt;Girlan, L. M. &lt;/author&gt;&lt;author&gt;Heathcote, E. J.&lt;/author&gt;&lt;/authors&gt;&lt;/contributors&gt;&lt;auth-address&gt;Department of Medicine, University of Toronto, Toronto, Ontario, Canada.&lt;/auth-address&gt;&lt;titles&gt;&lt;title&gt;Osteoporosis in primary biliary cirrhosis: a randomized trial of the efficacy and feasibility of estrogen/progestin&lt;/title&gt;&lt;secondary-title&gt;Dig Dis Sci&lt;/secondary-title&gt;&lt;/titles&gt;&lt;periodical&gt;&lt;full-title&gt;Dig Dis Sci&lt;/full-title&gt;&lt;/periodical&gt;&lt;pages&gt;1103-12&lt;/pages&gt;&lt;volume&gt;51&lt;/volume&gt;&lt;number&gt;6&lt;/number&gt;&lt;edition&gt;2006/07/26&lt;/edition&gt;&lt;keywords&gt;&lt;keyword&gt;Administration, Cutaneous Bilirubin/blood Bone Density Double-Blind Method Estradiol/ administration &amp;amp; dosage Estrogen Replacement Therapy Female Humans Liver Cirrhosis, Biliary Middle Aged Norethindrone/administration &amp;amp; dosage/ analogs &amp;amp; derivatives Os&lt;/keyword&gt;&lt;/keywords&gt;&lt;dates&gt;&lt;year&gt;2006&lt;/year&gt;&lt;pub-dates&gt;&lt;date&gt;Jun&lt;/date&gt;&lt;/pub-dates&gt;&lt;/dates&gt;&lt;isbn&gt;0163-2116 (Print)&lt;/isbn&gt;&lt;accession-num&gt;16865577 Reviewers: AD&lt;/accession-num&gt;&lt;urls&gt;&lt;/urls&gt;&lt;custom1&gt; PubMed. KQ1 - Estrogen.  AD&lt;/custom1&gt;&lt;custom2&gt;AD&lt;/custom2&gt;&lt;custom6&gt;Include&lt;/custom6&gt;&lt;electronic-resource-num&gt;10.1007/s10620-006-8015-x [doi]&lt;/electronic-resource-num&gt;&lt;remote-database-provider&gt;Nlm&lt;/remote-database-provider&gt;&lt;language&gt;eng&lt;/language&gt;&lt;/record&gt;&lt;/Cite&gt;&lt;/EndNote&gt;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136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Estrogen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17ß-estradiol (0.05 mg/d) then norethisterone acetate (0.24 mg/d) + 17ß-estradiol (0.05 mg/d)® vs Placebo: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Withdrawals: total: 50.0%(8/16) vs 6.7%(1/15)</w:t>
            </w:r>
          </w:p>
        </w:tc>
      </w:tr>
    </w:tbl>
    <w:p w:rsidR="00241625" w:rsidRDefault="00241625" w:rsidP="00241625">
      <w:pPr>
        <w:adjustRightInd w:val="0"/>
        <w:rPr>
          <w:rFonts w:cs="Times"/>
          <w:color w:val="000000"/>
          <w:sz w:val="18"/>
          <w:szCs w:val="18"/>
        </w:rPr>
        <w:sectPr w:rsidR="00241625" w:rsidSect="002174AA">
          <w:headerReference w:type="default" r:id="rId14"/>
          <w:pgSz w:w="15840" w:h="12240" w:orient="landscape"/>
          <w:pgMar w:top="360" w:right="360" w:bottom="360" w:left="360" w:header="720" w:footer="720" w:gutter="0"/>
          <w:cols w:space="720"/>
        </w:sectPr>
      </w:pPr>
    </w:p>
    <w:tbl>
      <w:tblPr>
        <w:tblW w:w="0" w:type="auto"/>
        <w:tblInd w:w="6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1"/>
        <w:gridCol w:w="12908"/>
      </w:tblGrid>
      <w:tr w:rsidR="00241625" w:rsidTr="001D0AC8">
        <w:trPr>
          <w:cantSplit/>
          <w:tblHeader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vAlign w:val="bottom"/>
          </w:tcPr>
          <w:p w:rsidR="00241625" w:rsidRDefault="00241625" w:rsidP="001D0AC8">
            <w:pPr>
              <w:keepNext/>
              <w:adjustRightInd w:val="0"/>
              <w:spacing w:before="60" w:after="60"/>
              <w:jc w:val="center"/>
              <w:rPr>
                <w:rFonts w:cs="Times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Times"/>
                <w:b/>
                <w:bCs/>
                <w:color w:val="000000"/>
                <w:sz w:val="18"/>
                <w:szCs w:val="18"/>
              </w:rPr>
              <w:lastRenderedPageBreak/>
              <w:t>Author, Year, Drug, Trial name</w:t>
            </w:r>
          </w:p>
        </w:tc>
        <w:tc>
          <w:tcPr>
            <w:tcW w:w="1290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241625" w:rsidRDefault="00241625" w:rsidP="001D0AC8">
            <w:pPr>
              <w:keepNext/>
              <w:adjustRightInd w:val="0"/>
              <w:spacing w:before="60" w:after="60"/>
              <w:jc w:val="center"/>
              <w:rPr>
                <w:rFonts w:cs="Times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Times"/>
                <w:b/>
                <w:bCs/>
                <w:color w:val="000000"/>
                <w:sz w:val="18"/>
                <w:szCs w:val="18"/>
              </w:rPr>
              <w:t>Adverse events reported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Bolland et al., 2008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ExcludeYear="1"&gt;&lt;RecNum&gt;7290&lt;/RecNum&gt;&lt;DisplayText&gt;&lt;style face="superscript"&gt;469&lt;/style&gt;&lt;/DisplayText&gt;&lt;record&gt;&lt;rec-number&gt;7290&lt;/rec-number&gt;&lt;foreign-keys&gt;&lt;key app="EN" db-id="29ezzfre25wfzbe5ttpvt0wkar525pde22z5"&gt;7290&lt;/key&gt;&lt;/foreign-keys&gt;&lt;ref-type name="Journal Article"&gt;17&lt;/ref-type&gt;&lt;contributors&gt;&lt;authors&gt;&lt;author&gt;Bolland, M. J. &lt;/author&gt;&lt;author&gt;Barber, P. A. &lt;/author&gt;&lt;author&gt;Doughty, R. N. &lt;/author&gt;&lt;author&gt;Mason, B. &lt;/author&gt;&lt;author&gt;Horne, A. &lt;/author&gt;&lt;author&gt;Ames, R. &lt;/author&gt;&lt;author&gt;Gamble, G. D. &lt;/author&gt;&lt;author&gt;Grey, A. &lt;/author&gt;&lt;author&gt;Reid, I. R.&lt;/author&gt;&lt;/authors&gt;&lt;/contributors&gt;&lt;auth-address&gt;Department of Medicine, Faculty of Medical and Health Sciences, University of Auckland, Private Bag 92019, Auckland, New Zealand.&lt;/auth-address&gt;&lt;titles&gt;&lt;title&gt;Vascular events in healthy older women receiving calcium supplementation: randomised controlled trial&lt;/title&gt;&lt;secondary-title&gt;Bmj&lt;/secondary-title&gt;&lt;/titles&gt;&lt;periodical&gt;&lt;full-title&gt;BMJ&lt;/full-title&gt;&lt;/periodical&gt;&lt;pages&gt;262-6&lt;/pages&gt;&lt;volume&gt;336&lt;/volume&gt;&lt;number&gt;7638&lt;/number&gt;&lt;edition&gt;2008/01/17&lt;/edition&gt;&lt;keywords&gt;&lt;keyword&gt;Aged Bone Density Calcium, Dietary/administration &amp;amp; dosage/ adverse effects Death, Sudden, Cardiac/ etiology Dietary Supplements/ adverse effects Female Fractures, Bone/prevention &amp;amp; control Humans Myocardial Infarction/ chemically induced Postmenopause &lt;/keyword&gt;&lt;/keywords&gt;&lt;dates&gt;&lt;year&gt;2008&lt;/year&gt;&lt;pub-dates&gt;&lt;date&gt;Feb 2&lt;/date&gt;&lt;/pub-dates&gt;&lt;/dates&gt;&lt;isbn&gt;1468-5833 (Electronic)&lt;/isbn&gt;&lt;accession-num&gt;18198394&lt;/accession-num&gt;&lt;urls&gt;&lt;/urls&gt;&lt;custom1&gt; PubMed. KQ1 - Calcium. &lt;/custom1&gt;&lt;custom2&gt;YL.&lt;/custom2&gt;&lt;custom6&gt;Include&lt;/custom6&gt;&lt;electronic-resource-num&gt;bmj.39440.525752.BE [pii] 10.1136/bmj.39440.525752.BE [doi]&lt;/electronic-resource-num&gt;&lt;remote-database-provider&gt;Nlm&lt;/remote-database-provider&gt;&lt;language&gt;eng&lt;/language&gt;&lt;/record&gt;&lt;/Cite&gt;&lt;/EndNote&gt;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469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Calcium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Calcium vs Placebo: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Angina: 6.8%(50/732) vs 9.6%(71/739)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Death: 4.6%(34/732) vs 3.9%(29/739)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Myocardial infarction: 4.2%(31/732) vs 1.9%(14/739)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Other chest pain: 2.2%(16/732) vs 2.0%(15/739)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Stroke: 5.5%(40/732) vs 3.8%(28/739)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Sudden death: 0.5%(4/732) vs 0.1%(1/739)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Transient ischaemic attack: 4.5%(33/732) vs 2.8%(21/739)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Lewis et al., 2011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ExcludeYear="1"&gt;&lt;RecNum&gt;9931&lt;/RecNum&gt;&lt;DisplayText&gt;&lt;style face="superscript"&gt;527&lt;/style&gt;&lt;/DisplayText&gt;&lt;record&gt;&lt;rec-number&gt;9931&lt;/rec-number&gt;&lt;foreign-keys&gt;&lt;key app="EN" db-id="29ezzfre25wfzbe5ttpvt0wkar525pde22z5"&gt;9931&lt;/key&gt;&lt;/foreign-keys&gt;&lt;ref-type name="Journal Article"&gt;17&lt;/ref-type&gt;&lt;contributors&gt;&lt;authors&gt;&lt;author&gt;Lewis, J. R. &lt;/author&gt;&lt;author&gt;Calver, J. &lt;/author&gt;&lt;author&gt;Zhu, K. &lt;/author&gt;&lt;author&gt;Flicker, L. &lt;/author&gt;&lt;author&gt;Prince, R. L.&lt;/author&gt;&lt;/authors&gt;&lt;/contributors&gt;&lt;auth-address&gt;Department of Endocrinology and Diabetes, Sir Charles Gairdner Hospital, Nedlands, Perth, Australia. josh.lewis@meddent.uwa.edu.au&lt;/auth-address&gt;&lt;titles&gt;&lt;title&gt;Calcium supplementation and the risks of atherosclerotic vascular disease in older women: results of a 5-year RCT and a 4.5-year follow-up&lt;/title&gt;&lt;secondary-title&gt;J Bone Miner Res&lt;/secondary-title&gt;&lt;/titles&gt;&lt;periodical&gt;&lt;full-title&gt;J Bone Miner Res&lt;/full-title&gt;&lt;/periodical&gt;&lt;pages&gt;35-41&lt;/pages&gt;&lt;volume&gt;26&lt;/volume&gt;&lt;number&gt;1&lt;/number&gt;&lt;edition&gt;2010/07/09&lt;/edition&gt;&lt;dates&gt;&lt;year&gt;2011&lt;/year&gt;&lt;pub-dates&gt;&lt;date&gt;Jan&lt;/date&gt;&lt;/pub-dates&gt;&lt;/dates&gt;&lt;isbn&gt;1523-4681 (Electronic) 0884-0431 (Linking)&lt;/isbn&gt;&lt;accession-num&gt;20614474&lt;/accession-num&gt;&lt;urls&gt;&lt;/urls&gt;&lt;custom1&gt; PubMed. Other. &lt;/custom1&gt;&lt;custom4&gt; Sydne 4/18 Sydne 4/18/2011&lt;/custom4&gt;&lt;custom6&gt;Include&lt;/custom6&gt;&lt;electronic-resource-num&gt;10.1002/jbmr.176 [doi]&lt;/electronic-resource-num&gt;&lt;remote-database-provider&gt;Nlm&lt;/remote-database-provider&gt;&lt;language&gt;eng&lt;/language&gt;&lt;/record&gt;&lt;/Cite&gt;&lt;/EndNote&gt;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527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Calcium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Trial: CAIFOS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Calcium vs Placebo: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At least one vascular event: 13.2%(96/730) vs 14.0%(102/730)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Deaths: Arrhythmia: 1.4%(10/730) vs 2.2%(16/730)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Deaths: Cerebrovascular disease (excl. hemorrhage): 2.7%(20/730) vs 3.0%(22/730)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Deaths: Heart failure: 1.9%(14/730) vs 3.7%(27/730)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Deaths: Ischemic heart disease: 4.7%(34/730) vs 4.9%(36/730)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Deaths: Peripheral arterial disease (excl. hemorrhage): 0.1%(1/730) vs 0.5%(4/730)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Hospitalization: Arrhythmia: 5.3%(39/730) vs 5.5%(40/730)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Hospitalization: Cerebrovascular disease (excl. hemorrhage): 6.2%(45/730) vs 7.8%(57/730)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Hospitalization: Heart failure: 3.0%(22/730) vs 3.8%(28/730)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Hospitalization: Ischemic heart disease: 11.6%(85/730) vs 11.6%(85/730)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Hospitalization: Peripheral arterial disease (excl. hemorrhage): 2.6%(19/730) vs 2.5%(18/730)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Total vascular deaths: 8.1%(59/730) vs 9.9%(72/730)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Total vascular hospitalization: 21.9%(160/730) vs 23.2%(169/730)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Matsumoto et al., 2005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>
                <w:fldData xml:space="preserve">PEVuZE5vdGU+PENpdGUgRXhjbHVkZUF1dGg9IjEiIEV4Y2x1ZGVZZWFyPSIxIj48UmVjTnVtPjc0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</w:fldData>
              </w:fldChar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>
                <w:fldData xml:space="preserve">PEVuZE5vdGU+PENpdGUgRXhjbHVkZUF1dGg9IjEiIEV4Y2x1ZGVZZWFyPSIxIj48UmVjTnVtPjc0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</w:fldData>
              </w:fldChar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EN.CITE.DATA 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 w:rsidR="005F6BCB">
              <w:rPr>
                <w:rFonts w:cs="Times"/>
                <w:color w:val="000000"/>
                <w:sz w:val="18"/>
                <w:szCs w:val="18"/>
              </w:rPr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470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Vitamin D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ED-71 0.5ug/d vs ED-71 0.75ug/d vs ED-71 1.0ug/d vs Placebo: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t>≥1 episode of hypercalcemia over 2.6mmol/liter: 7.3%(4/55) vs 5.5%(3/55) vs 23.2%(13/56) vs 0.0%(0/53)</w:t>
            </w:r>
            <w:r>
              <w:rPr>
                <w:color w:val="000000"/>
                <w:sz w:val="18"/>
                <w:szCs w:val="18"/>
              </w:rPr>
              <w:br/>
              <w:t>≥1 episode of hypercalciuria over 0.1mmol/liter GF: 7.3%(4/55) vs 9.1%(5/55) vs 25.0%(14/56) vs 0.0%(0/53)</w:t>
            </w:r>
            <w:r>
              <w:rPr>
                <w:color w:val="000000"/>
                <w:sz w:val="18"/>
                <w:szCs w:val="18"/>
              </w:rPr>
              <w:br/>
              <w:t>AEs: any serious AE: 10.9%(6/55) vs 12.7%(7/55) vs 5.4%(3/56) vs 7.5%(4/53)</w:t>
            </w:r>
            <w:r>
              <w:rPr>
                <w:color w:val="000000"/>
                <w:sz w:val="18"/>
                <w:szCs w:val="18"/>
              </w:rPr>
              <w:br/>
              <w:t>Blood calcium increased: 7.3%(4/55) vs 5.5%(3/55) vs 23.2%(13/56) vs 0.0%(0/53)</w:t>
            </w:r>
            <w:r>
              <w:rPr>
                <w:color w:val="000000"/>
                <w:sz w:val="18"/>
                <w:szCs w:val="18"/>
              </w:rPr>
              <w:br/>
              <w:t>Conjunctivitis: 3.6%(2/55) vs 5.5%(3/55) vs 0.0%(0/56) vs 0.0%(0/53)</w:t>
            </w:r>
            <w:r>
              <w:rPr>
                <w:color w:val="000000"/>
                <w:sz w:val="18"/>
                <w:szCs w:val="18"/>
              </w:rPr>
              <w:br/>
              <w:t>Cystitis NOS: 7.3%(4/55) vs 10.9%(6/55) vs 1.8%(1/56) vs 1.9%(1/53)</w:t>
            </w:r>
            <w:r>
              <w:rPr>
                <w:color w:val="000000"/>
                <w:sz w:val="18"/>
                <w:szCs w:val="18"/>
              </w:rPr>
              <w:br/>
              <w:t>Headache: 1.8%(1/55) vs 5.5%(3/55) vs 5.4%(3/56) vs 0.0%(0/53)</w:t>
            </w:r>
            <w:r>
              <w:rPr>
                <w:color w:val="000000"/>
                <w:sz w:val="18"/>
                <w:szCs w:val="18"/>
              </w:rPr>
              <w:br/>
              <w:t>Stomachache NOS: 7.3%(4/55) vs 0.0%(0/55) vs 1.8%(1/56) vs 0.0%(0/53)</w:t>
            </w:r>
            <w:r>
              <w:rPr>
                <w:color w:val="000000"/>
                <w:sz w:val="18"/>
                <w:szCs w:val="18"/>
              </w:rPr>
              <w:br/>
              <w:t>Urine calcium increased: 7.3%(4/55) vs 9.1%(5/55) vs 25.0%(14/56) vs 1.9%(1/53)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Sanders et al., 2010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ExcludeYear="1"&gt;&lt;RecNum&gt;9743&lt;/RecNum&gt;&lt;DisplayText&gt;&lt;style face="superscript"&gt;164&lt;/style&gt;&lt;/DisplayText&gt;&lt;record&gt;&lt;rec-number&gt;9743&lt;/rec-number&gt;&lt;foreign-keys&gt;&lt;key app="EN" db-id="29ezzfre25wfzbe5ttpvt0wkar525pde22z5"&gt;9743&lt;/key&gt;&lt;/foreign-keys&gt;&lt;ref-type name="Journal Article"&gt;17&lt;/ref-type&gt;&lt;contributors&gt;&lt;authors&gt;&lt;author&gt;Sanders, K. M. &lt;/author&gt;&lt;author&gt;Stuart, A. L. &lt;/author&gt;&lt;author&gt;Williamson, E. J. &lt;/author&gt;&lt;author&gt;Simpson, J. A. &lt;/author&gt;&lt;author&gt;Kotowicz, M. A.&lt;/author&gt;&lt;author&gt;Young, D. &lt;/author&gt;&lt;author&gt;Nicholson, G. C.&lt;/author&gt;&lt;/authors&gt;&lt;/contributors&gt;&lt;auth-address&gt;Department of Clinical and Biomedical Sciences, Barwon Health, University of Melbourne, Geelong, Victoria, Australia 3220. kerrie@barwonhealth.org.au&lt;/auth-address&gt;&lt;titles&gt;&lt;title&gt;Annual high-dose oral vitamin D and falls and fractures in older women: a randomized controlled trial&lt;/title&gt;&lt;secondary-title&gt;JAMA&lt;/secondary-title&gt;&lt;/titles&gt;&lt;periodical&gt;&lt;full-title&gt;JAMA&lt;/full-title&gt;&lt;/periodical&gt;&lt;pages&gt;1815-22&lt;/pages&gt;&lt;volume&gt;303&lt;/volume&gt;&lt;number&gt;18&lt;/number&gt;&lt;edition&gt;2010/05/13&lt;/edition&gt;&lt;keywords&gt;&lt;keyword&gt;Accidental Falls/ prevention &amp;amp; control Administration, Oral Aged Aged, 80 and over Bone Density Conservation Agents/ administration &amp;amp; dosage/adverse effects Cholecalciferol/ administration &amp;amp; dosage/adverse effects Double-Blind Method Drug Administration&lt;/keyword&gt;&lt;/keywords&gt;&lt;dates&gt;&lt;year&gt;2010&lt;/year&gt;&lt;pub-dates&gt;&lt;date&gt;May 12&lt;/date&gt;&lt;/pub-dates&gt;&lt;/dates&gt;&lt;isbn&gt;1538-3598 (Electronic) 0098-7484 (Linking)&lt;/isbn&gt;&lt;accession-num&gt;20460620&lt;/accession-num&gt;&lt;urls&gt;&lt;related-urls&gt;&lt;url&gt;http://jama.ama-assn.org/content/303/18/1815.full.pdf&lt;/url&gt;&lt;/related-urls&gt;&lt;/urls&gt;&lt;custom1&gt; PubMed. Strontium and others. 2010 update.&lt;/custom1&gt;&lt;custom4&gt;Sydne&lt;/custom4&gt;&lt;custom6&gt;Include&lt;/custom6&gt;&lt;electronic-resource-num&gt;303/18/1815 [pii] 10.1001/jama.2010.594 [doi]&lt;/electronic-resource-num&gt;&lt;remote-database-provider&gt;Nlm&lt;/remote-database-provider&gt;&lt;language&gt;eng&lt;/language&gt;&lt;/record&gt;&lt;/Cite&gt;&lt;/EndNote&gt;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164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Vitamin D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Trial: VIT. D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Vitamin D vs Placebo: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Cancer: 0.6%(7/1,131) vs 0.9%(10/1,125)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Cardiovascular events: 15.1%(171/1,131) vs 1.2%(13/1,125)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 nos: 3.5%(40/1,131) vs 4.2%(47/1,125)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Injury including fracture: 15.2%(172/1,131) vs 12.1%(136/1,125)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keepNext/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lastRenderedPageBreak/>
              <w:t>Salovaara et al., 2010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ExcludeYear="1"&gt;&lt;RecNum&gt;9748&lt;/RecNum&gt;&lt;DisplayText&gt;&lt;style face="superscript"&gt;154&lt;/style&gt;&lt;/DisplayText&gt;&lt;record&gt;&lt;rec-number&gt;9748&lt;/rec-number&gt;&lt;foreign-keys&gt;&lt;key app="EN" db-id="29ezzfre25wfzbe5ttpvt0wkar525pde22z5"&gt;9748&lt;/key&gt;&lt;/foreign-keys&gt;&lt;ref-type name="Journal Article"&gt;17&lt;/ref-type&gt;&lt;contributors&gt;&lt;authors&gt;&lt;author&gt;Salovaara, K. &lt;/author&gt;&lt;author&gt;Tuppurainen, M. &lt;/author&gt;&lt;author&gt;Karkkainen, M. &lt;/author&gt;&lt;author&gt;Rikkonen, T. &lt;/author&gt;&lt;author&gt;Sandini, L. &lt;/author&gt;&lt;author&gt;Sirola, J. &lt;/author&gt;&lt;author&gt;Honkanen, R. &lt;/author&gt;&lt;author&gt;Alhava, E. &lt;/author&gt;&lt;author&gt;Kroger, H.&lt;/author&gt;&lt;/authors&gt;&lt;/contributors&gt;&lt;auth-address&gt;Bone and Cartilage Research Unit, Clinical Research Centre, University of Kuopio, Kuopio, Finland. kari.salovaara@kuh.fi&lt;/auth-address&gt;&lt;titles&gt;&lt;title&gt;Effect of vitamin D(3) and calcium on fracture risk in 65- to 71-year-old women: a population-based 3-year randomized, controlled trial--the OSTPRE-FPS&lt;/title&gt;&lt;secondary-title&gt;J Bone Miner Res&lt;/secondary-title&gt;&lt;/titles&gt;&lt;periodical&gt;&lt;full-title&gt;J Bone Miner Res&lt;/full-title&gt;&lt;/periodical&gt;&lt;pages&gt;1487-95&lt;/pages&gt;&lt;volume&gt;25&lt;/volume&gt;&lt;number&gt;7&lt;/number&gt;&lt;edition&gt;2010/03/05&lt;/edition&gt;&lt;dates&gt;&lt;year&gt;2010&lt;/year&gt;&lt;pub-dates&gt;&lt;date&gt;Jul&lt;/date&gt;&lt;/pub-dates&gt;&lt;/dates&gt;&lt;isbn&gt;1523-4681 (Electronic) 0884-0431 (Linking)&lt;/isbn&gt;&lt;accession-num&gt;20200964&lt;/accession-num&gt;&lt;urls&gt;&lt;related-urls&gt;&lt;url&gt;http://onlinelibrary.wiley.com/doi/10.1002/jbmr.48/abstract&lt;/url&gt;&lt;/related-urls&gt;&lt;/urls&gt;&lt;custom1&gt; PubMed. Strontium and others. 2010 update.&lt;/custom1&gt;&lt;custom4&gt;Sydne&lt;/custom4&gt;&lt;custom6&gt;Include&lt;/custom6&gt;&lt;electronic-resource-num&gt;10.1002/jbmr.48 [doi]&lt;/electronic-resource-num&gt;&lt;remote-database-provider&gt;Nlm&lt;/remote-database-provider&gt;&lt;language&gt;eng&lt;/language&gt;&lt;/record&gt;&lt;/Cite&gt;&lt;/EndNote&gt;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154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Calcium, Vitamin D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Trial: OSPRE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keepNext/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Vitamin D + calcium vs Placebo: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 NOS: 0.9%(15/1,586) vs 0.8%(13/1,609)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Xia et al., 2009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ExcludeYear="1"&gt;&lt;RecNum&gt;7303&lt;/RecNum&gt;&lt;DisplayText&gt;&lt;style face="superscript"&gt;227&lt;/style&gt;&lt;/DisplayText&gt;&lt;record&gt;&lt;rec-number&gt;7303&lt;/rec-number&gt;&lt;foreign-keys&gt;&lt;key app="EN" db-id="29ezzfre25wfzbe5ttpvt0wkar525pde22z5"&gt;7303&lt;/key&gt;&lt;/foreign-keys&gt;&lt;ref-type name="Journal Article"&gt;17&lt;/ref-type&gt;&lt;contributors&gt;&lt;authors&gt;&lt;author&gt;Xia, W. B. &lt;/author&gt;&lt;author&gt;Zhang, Z. L. &lt;/author&gt;&lt;author&gt;Wang, H. F. &lt;/author&gt;&lt;author&gt;Meng, X. W. &lt;/author&gt;&lt;author&gt;Zhang, Y.&lt;/author&gt;&lt;author&gt; Zhu, G. Y. &lt;/author&gt;&lt;author&gt;Xing, X. P. &lt;/author&gt;&lt;author&gt;Liu, J. L. &lt;/author&gt;&lt;author&gt;Wang, L. H. &lt;/author&gt;&lt;author&gt;Jiang, Y. &lt;/author&gt;&lt;author&gt;Weng, S. F. &lt;/author&gt;&lt;author&gt;Xu, T. &lt;/author&gt;&lt;author&gt;Hu, Y. Y. &lt;/author&gt;&lt;author&gt;Yu, W. &lt;/author&gt;&lt;author&gt;Tian, J. P.&lt;/author&gt;&lt;/authors&gt;&lt;/contributors&gt;&lt;auth-address&gt;Department of Endocrinology, Peking Union Medical College Hospital, Chinese Academy of Medical Sciences, Peking Union Medical College, Beijing, China.&lt;/auth-address&gt;&lt;titles&gt;&lt;title&gt;The efficacy and safety of calcitriol and/or Caltrate D in elderly Chinese women with low bone mass&lt;/title&gt;&lt;secondary-title&gt;Acta Pharmacol Sin&lt;/secondary-title&gt;&lt;/titles&gt;&lt;periodical&gt;&lt;full-title&gt;Acta Pharmacol Sin&lt;/full-title&gt;&lt;/periodical&gt;&lt;pages&gt;372-8&lt;/pages&gt;&lt;volume&gt;30&lt;/volume&gt;&lt;number&gt;3&lt;/number&gt;&lt;edition&gt;2009/03/06&lt;/edition&gt;&lt;keywords&gt;&lt;keyword&gt;Aged Asian Continental Ancestry Group Bone Density Bone Density Conservation Agents/therapeutic use Calcitriol/ therapeutic use Calcium Carbonate/ therapeutic use Female Humans Lumbar Vertebrae/pathology/radiography Male Osteoporosis/complications/ drug&lt;/keyword&gt;&lt;/keywords&gt;&lt;dates&gt;&lt;year&gt;2009&lt;/year&gt;&lt;pub-dates&gt;&lt;date&gt;Mar&lt;/date&gt;&lt;/pub-dates&gt;&lt;/dates&gt;&lt;isbn&gt;1745-7254 (Electronic)&lt;/isbn&gt;&lt;accession-num&gt;19262561&lt;/accession-num&gt;&lt;urls&gt;&lt;/urls&gt;&lt;custom1&gt; PubMed. KQ1 - Calcium. &lt;/custom1&gt;&lt;custom2&gt;YL&lt;/custom2&gt;&lt;custom6&gt;Include&lt;/custom6&gt;&lt;electronic-resource-num&gt;aps200912 [pii] 10.1038/aps.2009.12 [doi]&lt;/electronic-resource-num&gt;&lt;remote-database-provider&gt;Nlm&lt;/remote-database-provider&gt;&lt;language&gt;eng&lt;/language&gt;&lt;/record&gt;&lt;/Cite&gt;&lt;/EndNote&gt;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227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Calcium, Vitamin D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Caltrate D (600 mg calcium and 125 iu vitamin D) vs Rocaltrol (0.25 ug/d) +Caltrate D  (600 mg calcium and 125 iu vitamin D):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Calcification: 0.0%(0/76) vs 0.0%(0/74)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Renal lithiasis: 0.0%(0/76) vs 0.0%(0/74)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Withdrawals: total: 5.3%(4/76) vs 5.4%(4/74)</w:t>
            </w:r>
          </w:p>
        </w:tc>
      </w:tr>
    </w:tbl>
    <w:p w:rsidR="00241625" w:rsidRDefault="00241625" w:rsidP="00241625">
      <w:pPr>
        <w:adjustRightInd w:val="0"/>
        <w:rPr>
          <w:rFonts w:cs="Times"/>
          <w:color w:val="000000"/>
          <w:sz w:val="18"/>
          <w:szCs w:val="18"/>
        </w:rPr>
        <w:sectPr w:rsidR="00241625" w:rsidSect="002174AA">
          <w:headerReference w:type="default" r:id="rId15"/>
          <w:pgSz w:w="15840" w:h="12240" w:orient="landscape"/>
          <w:pgMar w:top="360" w:right="360" w:bottom="360" w:left="360" w:header="720" w:footer="720" w:gutter="0"/>
          <w:cols w:space="720"/>
        </w:sectPr>
      </w:pPr>
    </w:p>
    <w:tbl>
      <w:tblPr>
        <w:tblW w:w="0" w:type="auto"/>
        <w:tblInd w:w="6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1"/>
        <w:gridCol w:w="12908"/>
      </w:tblGrid>
      <w:tr w:rsidR="00241625" w:rsidTr="001D0AC8">
        <w:trPr>
          <w:cantSplit/>
          <w:tblHeader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vAlign w:val="bottom"/>
          </w:tcPr>
          <w:p w:rsidR="00241625" w:rsidRDefault="00241625" w:rsidP="001D0AC8">
            <w:pPr>
              <w:keepNext/>
              <w:adjustRightInd w:val="0"/>
              <w:spacing w:before="60" w:after="60"/>
              <w:jc w:val="center"/>
              <w:rPr>
                <w:rFonts w:cs="Times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Times"/>
                <w:b/>
                <w:bCs/>
                <w:color w:val="000000"/>
                <w:sz w:val="18"/>
                <w:szCs w:val="18"/>
              </w:rPr>
              <w:lastRenderedPageBreak/>
              <w:t>Author, Year, Drug, Trial name</w:t>
            </w:r>
          </w:p>
        </w:tc>
        <w:tc>
          <w:tcPr>
            <w:tcW w:w="1290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241625" w:rsidRDefault="00241625" w:rsidP="001D0AC8">
            <w:pPr>
              <w:keepNext/>
              <w:adjustRightInd w:val="0"/>
              <w:spacing w:before="60" w:after="60"/>
              <w:jc w:val="center"/>
              <w:rPr>
                <w:rFonts w:cs="Times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Times"/>
                <w:b/>
                <w:bCs/>
                <w:color w:val="000000"/>
                <w:sz w:val="18"/>
                <w:szCs w:val="18"/>
              </w:rPr>
              <w:t>Adverse events reported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Korpelainen et al., 2010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ExcludeYear="1"&gt;&lt;RecNum&gt;9792&lt;/RecNum&gt;&lt;DisplayText&gt;&lt;style face="superscript"&gt;215&lt;/style&gt;&lt;/DisplayText&gt;&lt;record&gt;&lt;rec-number&gt;9792&lt;/rec-number&gt;&lt;foreign-keys&gt;&lt;key app="EN" db-id="29ezzfre25wfzbe5ttpvt0wkar525pde22z5"&gt;9792&lt;/key&gt;&lt;/foreign-keys&gt;&lt;ref-type name="Journal Article"&gt;17&lt;/ref-type&gt;&lt;contributors&gt;&lt;authors&gt;&lt;author&gt;Korpelainen, R. &lt;/author&gt;&lt;author&gt;Keinanen-Kiukaanniemi, S. &lt;/author&gt;&lt;author&gt;Nieminen, P. &lt;/author&gt;&lt;author&gt;Heikkinen, J. &lt;/author&gt;&lt;author&gt;Vaananen, K. &lt;/author&gt;&lt;author&gt;Korpelainen, J.&lt;/author&gt;&lt;/authors&gt;&lt;/contributors&gt;&lt;auth-address&gt;Department of Sports and Exercise Medicine, Oulu Deaconess Institute, 90100 Oulu, Finland. raija.korpelainen@odl.fi&lt;/auth-address&gt;&lt;titles&gt;&lt;title&gt;Long-term outcomes of exercise: follow-up of a randomized trial in older women with osteopenia&lt;/title&gt;&lt;secondary-title&gt;Arch Intern Med&lt;/secondary-title&gt;&lt;/titles&gt;&lt;periodical&gt;&lt;full-title&gt;Arch Intern Med&lt;/full-title&gt;&lt;/periodical&gt;&lt;pages&gt;1548-56&lt;/pages&gt;&lt;volume&gt;170&lt;/volume&gt;&lt;number&gt;17&lt;/number&gt;&lt;edition&gt;2010/09/30&lt;/edition&gt;&lt;keywords&gt;&lt;keyword&gt;Accidental Falls/prevention &amp;amp; control Aged Bone Density Bone Diseases, Metabolic/ rehabilitation Confidence Intervals Exercise Female Follow-Up Studies Fractures, Bone/prevention &amp;amp; control Hip Fractures/prevention &amp;amp; control Humans Incidence Life Style O&lt;/keyword&gt;&lt;/keywords&gt;&lt;dates&gt;&lt;year&gt;2010&lt;/year&gt;&lt;pub-dates&gt;&lt;date&gt;Sep 27&lt;/date&gt;&lt;/pub-dates&gt;&lt;/dates&gt;&lt;isbn&gt;1538-3679 (Electronic) 0003-9926 (Linking)&lt;/isbn&gt;&lt;accession-num&gt;20876406&lt;/accession-num&gt;&lt;urls&gt;&lt;/urls&gt;&lt;custom1&gt; PubMed. Testosterone and Exercise. 2010 update.&lt;/custom1&gt;&lt;custom4&gt;Carolyn&lt;/custom4&gt;&lt;custom6&gt;Include&lt;/custom6&gt;&lt;electronic-resource-num&gt;170/17/1548 [pii] 10.1001/archinternmed.2010.311 [doi]&lt;/electronic-resource-num&gt;&lt;remote-database-provider&gt;Nlm&lt;/remote-database-provider&gt;&lt;language&gt;eng&lt;/language&gt;&lt;/record&gt;&lt;/Cite&gt;&lt;/EndNote&gt;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215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Physical activity</w:t>
            </w:r>
          </w:p>
        </w:tc>
        <w:tc>
          <w:tcPr>
            <w:tcW w:w="12908" w:type="dxa"/>
            <w:tcBorders>
              <w:top w:val="nil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Exercise vs Placebo: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 due to cancer: 1.2%(1/84) vs 2.6%(2/76)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 due to cardiovascular disease: 0.0%(0/84) vs 6.6%(5/76)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Death due to external cause: 0.0%(0/84) vs 1.3%(1/76)</w:t>
            </w:r>
          </w:p>
        </w:tc>
      </w:tr>
    </w:tbl>
    <w:p w:rsidR="00241625" w:rsidRDefault="00241625" w:rsidP="00241625">
      <w:pPr>
        <w:adjustRightInd w:val="0"/>
        <w:jc w:val="center"/>
        <w:rPr>
          <w:szCs w:val="24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120"/>
      </w:tblGrid>
      <w:tr w:rsidR="00241625" w:rsidTr="001D0AC8">
        <w:trPr>
          <w:cantSplit/>
        </w:trPr>
        <w:tc>
          <w:tcPr>
            <w:tcW w:w="15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41625" w:rsidRDefault="00241625" w:rsidP="001D0AC8">
            <w:pPr>
              <w:keepNext/>
              <w:adjustRightInd w:val="0"/>
              <w:spacing w:before="10" w:after="10"/>
              <w:rPr>
                <w:rFonts w:cs="Times"/>
                <w:color w:val="000000"/>
              </w:rPr>
            </w:pPr>
            <w:r>
              <w:rPr>
                <w:rFonts w:cs="Times"/>
                <w:color w:val="000000"/>
              </w:rPr>
              <w:t>Drugs:  CEE=Conjugated Equine Estrogen, PTH=Parathyroid Hormone</w:t>
            </w:r>
          </w:p>
        </w:tc>
      </w:tr>
      <w:tr w:rsidR="00241625" w:rsidTr="001D0AC8">
        <w:trPr>
          <w:cantSplit/>
        </w:trPr>
        <w:tc>
          <w:tcPr>
            <w:tcW w:w="15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10" w:after="10"/>
              <w:rPr>
                <w:rFonts w:cs="Times"/>
                <w:color w:val="000000"/>
              </w:rPr>
            </w:pPr>
            <w:r>
              <w:rPr>
                <w:rFonts w:cs="Times"/>
                <w:color w:val="000000"/>
              </w:rPr>
              <w:t>AEs:   MI=Myocardial Infarction, UTI=Urinary Tract Infection, GI=Gastrointestinal</w:t>
            </w:r>
          </w:p>
        </w:tc>
      </w:tr>
    </w:tbl>
    <w:p w:rsidR="00241625" w:rsidRDefault="00241625" w:rsidP="00241625">
      <w:pPr>
        <w:sectPr w:rsidR="00241625" w:rsidSect="002174AA">
          <w:headerReference w:type="default" r:id="rId16"/>
          <w:pgSz w:w="15840" w:h="12240" w:orient="landscape"/>
          <w:pgMar w:top="360" w:right="360" w:bottom="360" w:left="360" w:header="720" w:footer="720" w:gutter="0"/>
          <w:cols w:space="720"/>
        </w:sectPr>
      </w:pPr>
    </w:p>
    <w:tbl>
      <w:tblPr>
        <w:tblW w:w="0" w:type="auto"/>
        <w:tblInd w:w="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1E0" w:firstRow="1" w:lastRow="1" w:firstColumn="1" w:lastColumn="1" w:noHBand="0" w:noVBand="0"/>
      </w:tblPr>
      <w:tblGrid>
        <w:gridCol w:w="1520"/>
        <w:gridCol w:w="1705"/>
        <w:gridCol w:w="953"/>
        <w:gridCol w:w="1701"/>
        <w:gridCol w:w="1188"/>
        <w:gridCol w:w="2227"/>
        <w:gridCol w:w="945"/>
        <w:gridCol w:w="901"/>
        <w:gridCol w:w="998"/>
        <w:gridCol w:w="894"/>
      </w:tblGrid>
      <w:tr w:rsidR="00241625" w:rsidRPr="009708F1" w:rsidTr="001D0AC8">
        <w:trPr>
          <w:tblHeader/>
        </w:trPr>
        <w:tc>
          <w:tcPr>
            <w:tcW w:w="1639" w:type="dxa"/>
          </w:tcPr>
          <w:p w:rsidR="00241625" w:rsidRPr="009708F1" w:rsidRDefault="00241625" w:rsidP="001D0AC8">
            <w:pPr>
              <w:rPr>
                <w:b/>
                <w:sz w:val="18"/>
                <w:szCs w:val="18"/>
              </w:rPr>
            </w:pPr>
            <w:r w:rsidRPr="009708F1">
              <w:rPr>
                <w:b/>
                <w:sz w:val="18"/>
                <w:szCs w:val="18"/>
              </w:rPr>
              <w:lastRenderedPageBreak/>
              <w:t>Citations</w:t>
            </w:r>
          </w:p>
        </w:tc>
        <w:tc>
          <w:tcPr>
            <w:tcW w:w="1720" w:type="dxa"/>
          </w:tcPr>
          <w:p w:rsidR="00241625" w:rsidRPr="009708F1" w:rsidRDefault="00241625" w:rsidP="001D0AC8">
            <w:pPr>
              <w:rPr>
                <w:b/>
                <w:sz w:val="18"/>
                <w:szCs w:val="18"/>
              </w:rPr>
            </w:pPr>
            <w:r w:rsidRPr="009708F1">
              <w:rPr>
                <w:b/>
                <w:sz w:val="18"/>
                <w:szCs w:val="18"/>
              </w:rPr>
              <w:t>Drugs</w:t>
            </w:r>
          </w:p>
        </w:tc>
        <w:tc>
          <w:tcPr>
            <w:tcW w:w="1000" w:type="dxa"/>
          </w:tcPr>
          <w:p w:rsidR="00241625" w:rsidRPr="009708F1" w:rsidRDefault="00241625" w:rsidP="001D0AC8">
            <w:pPr>
              <w:rPr>
                <w:b/>
                <w:color w:val="000000"/>
                <w:sz w:val="18"/>
                <w:szCs w:val="18"/>
              </w:rPr>
            </w:pPr>
            <w:r w:rsidRPr="009708F1">
              <w:rPr>
                <w:b/>
                <w:color w:val="000000"/>
                <w:sz w:val="18"/>
                <w:szCs w:val="18"/>
              </w:rPr>
              <w:t>Primary Care</w:t>
            </w:r>
          </w:p>
        </w:tc>
        <w:tc>
          <w:tcPr>
            <w:tcW w:w="1726" w:type="dxa"/>
          </w:tcPr>
          <w:p w:rsidR="00241625" w:rsidRPr="009708F1" w:rsidRDefault="00241625" w:rsidP="001D0AC8">
            <w:pPr>
              <w:rPr>
                <w:b/>
                <w:color w:val="000000"/>
                <w:sz w:val="18"/>
                <w:szCs w:val="18"/>
              </w:rPr>
            </w:pPr>
            <w:r w:rsidRPr="009708F1">
              <w:rPr>
                <w:b/>
                <w:color w:val="000000"/>
                <w:sz w:val="18"/>
                <w:szCs w:val="18"/>
              </w:rPr>
              <w:t>Inclusion/exclusion minimal*</w:t>
            </w:r>
          </w:p>
        </w:tc>
        <w:tc>
          <w:tcPr>
            <w:tcW w:w="1259" w:type="dxa"/>
          </w:tcPr>
          <w:p w:rsidR="00241625" w:rsidRPr="009708F1" w:rsidRDefault="00241625" w:rsidP="001D0AC8">
            <w:pPr>
              <w:rPr>
                <w:b/>
                <w:color w:val="000000"/>
                <w:sz w:val="18"/>
                <w:szCs w:val="18"/>
              </w:rPr>
            </w:pPr>
            <w:r w:rsidRPr="009708F1">
              <w:rPr>
                <w:b/>
                <w:color w:val="000000"/>
                <w:sz w:val="18"/>
                <w:szCs w:val="18"/>
              </w:rPr>
              <w:t>Outcome= fx</w:t>
            </w:r>
          </w:p>
        </w:tc>
        <w:tc>
          <w:tcPr>
            <w:tcW w:w="2227" w:type="dxa"/>
          </w:tcPr>
          <w:p w:rsidR="00241625" w:rsidRPr="009708F1" w:rsidRDefault="00241625" w:rsidP="001D0AC8">
            <w:pPr>
              <w:rPr>
                <w:b/>
                <w:color w:val="000000"/>
                <w:sz w:val="18"/>
                <w:szCs w:val="18"/>
              </w:rPr>
            </w:pPr>
            <w:r w:rsidRPr="009708F1">
              <w:rPr>
                <w:b/>
                <w:color w:val="000000"/>
                <w:sz w:val="18"/>
                <w:szCs w:val="18"/>
              </w:rPr>
              <w:t>Duration&gt;6mos/Adherence</w:t>
            </w:r>
          </w:p>
        </w:tc>
        <w:tc>
          <w:tcPr>
            <w:tcW w:w="996" w:type="dxa"/>
          </w:tcPr>
          <w:p w:rsidR="00241625" w:rsidRPr="009708F1" w:rsidRDefault="00241625" w:rsidP="001D0AC8">
            <w:pPr>
              <w:rPr>
                <w:b/>
                <w:color w:val="000000"/>
                <w:sz w:val="18"/>
                <w:szCs w:val="18"/>
              </w:rPr>
            </w:pPr>
            <w:r w:rsidRPr="009708F1">
              <w:rPr>
                <w:b/>
                <w:color w:val="000000"/>
                <w:sz w:val="18"/>
                <w:szCs w:val="18"/>
              </w:rPr>
              <w:t>Adverse events</w:t>
            </w:r>
          </w:p>
        </w:tc>
        <w:tc>
          <w:tcPr>
            <w:tcW w:w="956" w:type="dxa"/>
          </w:tcPr>
          <w:p w:rsidR="00241625" w:rsidRPr="009708F1" w:rsidRDefault="00241625" w:rsidP="001D0AC8">
            <w:pPr>
              <w:rPr>
                <w:b/>
                <w:color w:val="000000"/>
                <w:sz w:val="18"/>
                <w:szCs w:val="18"/>
              </w:rPr>
            </w:pPr>
            <w:r w:rsidRPr="009708F1">
              <w:rPr>
                <w:b/>
                <w:color w:val="000000"/>
                <w:sz w:val="18"/>
                <w:szCs w:val="18"/>
              </w:rPr>
              <w:t>Sample size**</w:t>
            </w:r>
          </w:p>
        </w:tc>
        <w:tc>
          <w:tcPr>
            <w:tcW w:w="1023" w:type="dxa"/>
          </w:tcPr>
          <w:p w:rsidR="00241625" w:rsidRPr="009708F1" w:rsidRDefault="00241625" w:rsidP="001D0AC8">
            <w:pPr>
              <w:rPr>
                <w:b/>
                <w:color w:val="000000"/>
                <w:sz w:val="18"/>
                <w:szCs w:val="18"/>
              </w:rPr>
            </w:pPr>
            <w:r w:rsidRPr="009708F1">
              <w:rPr>
                <w:b/>
                <w:color w:val="000000"/>
                <w:sz w:val="18"/>
                <w:szCs w:val="18"/>
              </w:rPr>
              <w:t>ITT</w:t>
            </w:r>
          </w:p>
        </w:tc>
        <w:tc>
          <w:tcPr>
            <w:tcW w:w="995" w:type="dxa"/>
          </w:tcPr>
          <w:p w:rsidR="00241625" w:rsidRPr="009708F1" w:rsidRDefault="00241625" w:rsidP="001D0AC8">
            <w:pPr>
              <w:rPr>
                <w:b/>
                <w:color w:val="000000"/>
                <w:sz w:val="18"/>
                <w:szCs w:val="18"/>
              </w:rPr>
            </w:pPr>
            <w:r w:rsidRPr="009708F1">
              <w:rPr>
                <w:b/>
                <w:color w:val="000000"/>
                <w:sz w:val="18"/>
                <w:szCs w:val="18"/>
              </w:rPr>
              <w:t>Total</w:t>
            </w:r>
          </w:p>
        </w:tc>
      </w:tr>
      <w:tr w:rsidR="00241625" w:rsidRPr="009708F1" w:rsidTr="001D0AC8">
        <w:tc>
          <w:tcPr>
            <w:tcW w:w="163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Bone, 2008</w:t>
            </w:r>
            <w:r w:rsidR="005F6BCB">
              <w:rPr>
                <w:color w:val="000000"/>
                <w:sz w:val="18"/>
                <w:szCs w:val="18"/>
              </w:rPr>
              <w:fldChar w:fldCharType="begin"/>
            </w:r>
            <w:r>
              <w:rPr>
                <w:color w:val="000000"/>
                <w:sz w:val="18"/>
                <w:szCs w:val="18"/>
              </w:rPr>
              <w:instrText xml:space="preserve"> ADDIN EN.CITE &lt;EndNote&gt;&lt;Cite ExcludeAuth="1" ExcludeYear="1"&gt;&lt;RecNum&gt;7592&lt;/RecNum&gt;&lt;DisplayText&gt;&lt;style face="superscript"&gt;117&lt;/style&gt;&lt;/DisplayText&gt;&lt;record&gt;&lt;rec-number&gt;7592&lt;/rec-number&gt;&lt;foreign-keys&gt;&lt;key app="EN" db-id="29ezzfre25wfzbe5ttpvt0wkar525pde22z5"&gt;7592&lt;/key&gt;&lt;/foreign-keys&gt;&lt;ref-type name="Journal Article"&gt;17&lt;/ref-type&gt;&lt;contributors&gt;&lt;authors&gt;&lt;author&gt;Bone, H. G. &lt;/author&gt;&lt;author&gt;Bolognese, M. A. &lt;/author&gt;&lt;author&gt;Yuen, C. K. &lt;/author&gt;&lt;author&gt;Kendler, D. L. &lt;/author&gt;&lt;author&gt;Wang, H. &lt;/author&gt;&lt;author&gt;Liu, Y. &lt;/author&gt;&lt;author&gt;San Martin, J.&lt;/author&gt;&lt;/authors&gt;&lt;/contributors&gt;&lt;auth-address&gt;Michigan Bone and Mineral Clinic, 22201 Moross Road, Detroit, MI 48236, USA. hgbone.md@att.net&lt;/auth-address&gt;&lt;titles&gt;&lt;title&gt;Effects of denosumab on bone mineral density and bone turnover in postmenopausal women&lt;/title&gt;&lt;secondary-title&gt;J Clin Endocrinol Metab&lt;/secondary-title&gt;&lt;/titles&gt;&lt;periodical&gt;&lt;full-title&gt;J Clin Endocrinol Metab&lt;/full-title&gt;&lt;/periodical&gt;&lt;pages&gt;2149-57&lt;/pages&gt;&lt;volume&gt;93&lt;/volume&gt;&lt;number&gt;6&lt;/number&gt;&lt;keywords&gt;&lt;keyword&gt;Clinical Trial, Phase III Journal Article Multicenter Study Randomized Controlled Trial Research Support, Non-U.S. Gov&amp;apos;t Algorithms Antibodies, Monoclonal/adverse effects/pharmacology/ therapeutic use Bone Density/ drug effects Bone Density Conservation&lt;/keyword&gt;&lt;/keywords&gt;&lt;dates&gt;&lt;year&gt;2008&lt;/year&gt;&lt;pub-dates&gt;&lt;date&gt;Jun&lt;/date&gt;&lt;/pub-dates&gt;&lt;/dates&gt;&lt;isbn&gt;0021-972X (Print)&lt;/isbn&gt;&lt;accession-num&gt;18381571&lt;/accession-num&gt;&lt;urls&gt;&lt;/urls&gt;&lt;custom1&gt; PubMed. Specific bisphosphonates. &lt;/custom1&gt;&lt;custom2&gt;YW.AD.&lt;/custom2&gt;&lt;custom6&gt;Include&lt;/custom6&gt;&lt;language&gt;eng&lt;/language&gt;&lt;/record&gt;&lt;/Cite&gt;&lt;/EndNote&gt;</w:instrText>
            </w:r>
            <w:r w:rsidR="005F6BCB">
              <w:rPr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noProof/>
                <w:color w:val="000000"/>
                <w:sz w:val="18"/>
                <w:szCs w:val="18"/>
                <w:vertAlign w:val="superscript"/>
              </w:rPr>
              <w:t>117</w:t>
            </w:r>
            <w:r w:rsidR="005F6BCB">
              <w:rPr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72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Denosumab</w:t>
            </w:r>
          </w:p>
        </w:tc>
        <w:tc>
          <w:tcPr>
            <w:tcW w:w="100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172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125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2227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y/n</w:t>
            </w:r>
          </w:p>
        </w:tc>
        <w:tc>
          <w:tcPr>
            <w:tcW w:w="99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56" w:type="dxa"/>
            <w:vAlign w:val="bottom"/>
          </w:tcPr>
          <w:p w:rsidR="00241625" w:rsidRPr="009708F1" w:rsidRDefault="00241625" w:rsidP="001D0AC8">
            <w:pPr>
              <w:jc w:val="right"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332</w:t>
            </w:r>
          </w:p>
        </w:tc>
        <w:tc>
          <w:tcPr>
            <w:tcW w:w="1023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995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5.5 out of 7</w:t>
            </w:r>
          </w:p>
        </w:tc>
      </w:tr>
      <w:tr w:rsidR="00241625" w:rsidRPr="009708F1" w:rsidTr="001D0AC8">
        <w:tc>
          <w:tcPr>
            <w:tcW w:w="163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Bonnick, 2007</w:t>
            </w:r>
            <w:r w:rsidR="005F6BCB">
              <w:rPr>
                <w:color w:val="000000"/>
                <w:sz w:val="18"/>
                <w:szCs w:val="18"/>
              </w:rPr>
              <w:fldChar w:fldCharType="begin"/>
            </w:r>
            <w:r>
              <w:rPr>
                <w:color w:val="000000"/>
                <w:sz w:val="18"/>
                <w:szCs w:val="18"/>
              </w:rPr>
              <w:instrText xml:space="preserve"> ADDIN EN.CITE &lt;EndNote&gt;&lt;Cite ExcludeAuth="1" ExcludeYear="1"&gt;&lt;RecNum&gt;7595&lt;/RecNum&gt;&lt;DisplayText&gt;&lt;style face="superscript"&gt;226&lt;/style&gt;&lt;/DisplayText&gt;&lt;record&gt;&lt;rec-number&gt;7595&lt;/rec-number&gt;&lt;foreign-keys&gt;&lt;key app="EN" db-id="29ezzfre25wfzbe5ttpvt0wkar525pde22z5"&gt;7595&lt;/key&gt;&lt;/foreign-keys&gt;&lt;ref-type name="Journal Article"&gt;17&lt;/ref-type&gt;&lt;contributors&gt;&lt;authors&gt;&lt;author&gt;Bonnick, S. &lt;/author&gt;&lt;author&gt;Broy, S. &lt;/author&gt;&lt;author&gt;Kaiser, F. &lt;/author&gt;&lt;author&gt;Teutsch, C. &lt;/author&gt;&lt;author&gt;Rosenberg, E. &lt;/author&gt;&lt;author&gt;DeLucca, P. &lt;/author&gt;&lt;author&gt;Melton, M.&lt;/author&gt;&lt;/authors&gt;&lt;/contributors&gt;&lt;auth-address&gt;Clinical Research Center of North Texas, Denton, TX 76210, USA. sbonnickcrcnt@verizon.net&lt;/auth-address&gt;&lt;titles&gt;&lt;title&gt;Treatment with alendronate plus calcium, alendronate alone, or calcium alone for postmenopausal low bone mineral density&lt;/title&gt;&lt;secondary-title&gt;Curr Med Res Opin&lt;/secondary-title&gt;&lt;/titles&gt;&lt;periodical&gt;&lt;full-title&gt;Curr Med Res Opin&lt;/full-title&gt;&lt;/periodical&gt;&lt;pages&gt;1341-9&lt;/pages&gt;&lt;volume&gt;23&lt;/volume&gt;&lt;number&gt;6&lt;/number&gt;&lt;keywords&gt;&lt;keyword&gt;Journal Article Multicenter Study Randomized Controlled Trial Research Support, Non-U.S. Gov&amp;apos;t Absorptiometry, Photon Aged Alendronate/ therapeutic use Analysis of Variance Bone Density/drug effects Bone Density Conservation Agents/ therapeutic use Bone&lt;/keyword&gt;&lt;/keywords&gt;&lt;dates&gt;&lt;year&gt;2007&lt;/year&gt;&lt;pub-dates&gt;&lt;date&gt;Jun&lt;/date&gt;&lt;/pub-dates&gt;&lt;/dates&gt;&lt;isbn&gt;1473-4877 (Electronic)&lt;/isbn&gt;&lt;accession-num&gt;17594775&lt;/accession-num&gt;&lt;urls&gt;&lt;/urls&gt;&lt;custom1&gt; PubMed. Specific bisphosphonates. &lt;/custom1&gt;&lt;custom2&gt;YW.CC.AD.&lt;/custom2&gt;&lt;custom6&gt;Include&lt;/custom6&gt;&lt;language&gt;eng&lt;/language&gt;&lt;/record&gt;&lt;/Cite&gt;&lt;/EndNote&gt;</w:instrText>
            </w:r>
            <w:r w:rsidR="005F6BCB">
              <w:rPr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noProof/>
                <w:color w:val="000000"/>
                <w:sz w:val="18"/>
                <w:szCs w:val="18"/>
                <w:vertAlign w:val="superscript"/>
              </w:rPr>
              <w:t>226</w:t>
            </w:r>
            <w:r w:rsidR="005F6BCB">
              <w:rPr>
                <w:color w:val="000000"/>
                <w:sz w:val="18"/>
                <w:szCs w:val="18"/>
              </w:rPr>
              <w:fldChar w:fldCharType="end"/>
            </w:r>
            <w:r w:rsidRPr="009708F1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2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alendronate vs. alendronate+calcium</w:t>
            </w:r>
          </w:p>
        </w:tc>
        <w:tc>
          <w:tcPr>
            <w:tcW w:w="100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172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 (many exclusion criteria)</w:t>
            </w:r>
          </w:p>
        </w:tc>
        <w:tc>
          <w:tcPr>
            <w:tcW w:w="125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n (fx reported as AEs)</w:t>
            </w:r>
          </w:p>
        </w:tc>
        <w:tc>
          <w:tcPr>
            <w:tcW w:w="2227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y/y</w:t>
            </w:r>
          </w:p>
        </w:tc>
        <w:tc>
          <w:tcPr>
            <w:tcW w:w="99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56" w:type="dxa"/>
            <w:vAlign w:val="bottom"/>
          </w:tcPr>
          <w:p w:rsidR="00241625" w:rsidRPr="009708F1" w:rsidRDefault="00241625" w:rsidP="001D0AC8">
            <w:pPr>
              <w:jc w:val="right"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484</w:t>
            </w:r>
          </w:p>
        </w:tc>
        <w:tc>
          <w:tcPr>
            <w:tcW w:w="1023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 (modified)</w:t>
            </w:r>
          </w:p>
        </w:tc>
        <w:tc>
          <w:tcPr>
            <w:tcW w:w="995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6 out of 7</w:t>
            </w:r>
          </w:p>
        </w:tc>
      </w:tr>
      <w:tr w:rsidR="00241625" w:rsidRPr="009708F1" w:rsidTr="001D0AC8">
        <w:tc>
          <w:tcPr>
            <w:tcW w:w="163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Boone, 2006</w:t>
            </w:r>
            <w:r w:rsidR="005F6BCB">
              <w:rPr>
                <w:color w:val="000000"/>
                <w:sz w:val="18"/>
                <w:szCs w:val="18"/>
              </w:rPr>
              <w:fldChar w:fldCharType="begin"/>
            </w:r>
            <w:r>
              <w:rPr>
                <w:color w:val="000000"/>
                <w:sz w:val="18"/>
                <w:szCs w:val="18"/>
              </w:rPr>
              <w:instrText xml:space="preserve"> ADDIN EN.CITE &lt;EndNote&gt;&lt;Cite ExcludeAuth="1" ExcludeYear="1"&gt;&lt;RecNum&gt;7459&lt;/RecNum&gt;&lt;DisplayText&gt;&lt;style face="superscript"&gt;136&lt;/style&gt;&lt;/DisplayText&gt;&lt;record&gt;&lt;rec-number&gt;7459&lt;/rec-number&gt;&lt;foreign-keys&gt;&lt;key app="EN" db-id="29ezzfre25wfzbe5ttpvt0wkar525pde22z5"&gt;7459&lt;/key&gt;&lt;/foreign-keys&gt;&lt;ref-type name="Journal Article"&gt;17&lt;/ref-type&gt;&lt;contributors&gt;&lt;authors&gt;&lt;author&gt;Boone, R. H. &lt;/author&gt;&lt;author&gt;Cheung, A. M.&lt;/author&gt;&lt;author&gt;Girlan, L. M. &lt;/author&gt;&lt;author&gt;Heathcote, E. J.&lt;/author&gt;&lt;/authors&gt;&lt;/contributors&gt;&lt;auth-address&gt;Department of Medicine, University of Toronto, Toronto, Ontario, Canada.&lt;/auth-address&gt;&lt;titles&gt;&lt;title&gt;Osteoporosis in primary biliary cirrhosis: a randomized trial of the efficacy and feasibility of estrogen/progestin&lt;/title&gt;&lt;secondary-title&gt;Dig Dis Sci&lt;/secondary-title&gt;&lt;/titles&gt;&lt;periodical&gt;&lt;full-title&gt;Dig Dis Sci&lt;/full-title&gt;&lt;/periodical&gt;&lt;pages&gt;1103-12&lt;/pages&gt;&lt;volume&gt;51&lt;/volume&gt;&lt;number&gt;6&lt;/number&gt;&lt;edition&gt;2006/07/26&lt;/edition&gt;&lt;keywords&gt;&lt;keyword&gt;Administration, Cutaneous Bilirubin/blood Bone Density Double-Blind Method Estradiol/ administration &amp;amp; dosage Estrogen Replacement Therapy Female Humans Liver Cirrhosis, Biliary Middle Aged Norethindrone/administration &amp;amp; dosage/ analogs &amp;amp; derivatives Os&lt;/keyword&gt;&lt;/keywords&gt;&lt;dates&gt;&lt;year&gt;2006&lt;/year&gt;&lt;pub-dates&gt;&lt;date&gt;Jun&lt;/date&gt;&lt;/pub-dates&gt;&lt;/dates&gt;&lt;isbn&gt;0163-2116 (Print)&lt;/isbn&gt;&lt;accession-num&gt;16865577 Reviewers: AD&lt;/accession-num&gt;&lt;urls&gt;&lt;/urls&gt;&lt;custom1&gt; PubMed. KQ1 - Estrogen.  AD&lt;/custom1&gt;&lt;custom2&gt;AD&lt;/custom2&gt;&lt;custom6&gt;Include&lt;/custom6&gt;&lt;electronic-resource-num&gt;10.1007/s10620-006-8015-x [doi]&lt;/electronic-resource-num&gt;&lt;remote-database-provider&gt;Nlm&lt;/remote-database-provider&gt;&lt;language&gt;eng&lt;/language&gt;&lt;/record&gt;&lt;/Cite&gt;&lt;/EndNote&gt;</w:instrText>
            </w:r>
            <w:r w:rsidR="005F6BCB">
              <w:rPr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noProof/>
                <w:color w:val="000000"/>
                <w:sz w:val="18"/>
                <w:szCs w:val="18"/>
                <w:vertAlign w:val="superscript"/>
              </w:rPr>
              <w:t>136</w:t>
            </w:r>
            <w:r w:rsidR="005F6BCB">
              <w:rPr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72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estrogen</w:t>
            </w:r>
          </w:p>
        </w:tc>
        <w:tc>
          <w:tcPr>
            <w:tcW w:w="100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172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n (PM women with primary biliary cirrhosis)</w:t>
            </w:r>
          </w:p>
        </w:tc>
        <w:tc>
          <w:tcPr>
            <w:tcW w:w="125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2227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y/y</w:t>
            </w:r>
          </w:p>
        </w:tc>
        <w:tc>
          <w:tcPr>
            <w:tcW w:w="99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56" w:type="dxa"/>
            <w:vAlign w:val="bottom"/>
          </w:tcPr>
          <w:p w:rsidR="00241625" w:rsidRPr="009708F1" w:rsidRDefault="00241625" w:rsidP="001D0AC8">
            <w:pPr>
              <w:jc w:val="right"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1023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995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3 out of  7</w:t>
            </w:r>
          </w:p>
        </w:tc>
      </w:tr>
      <w:tr w:rsidR="00241625" w:rsidRPr="009708F1" w:rsidTr="001D0AC8">
        <w:tc>
          <w:tcPr>
            <w:tcW w:w="163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Boonen, 2009</w:t>
            </w:r>
            <w:r w:rsidR="005F6BCB">
              <w:rPr>
                <w:color w:val="000000"/>
                <w:sz w:val="18"/>
                <w:szCs w:val="18"/>
              </w:rPr>
              <w:fldChar w:fldCharType="begin"/>
            </w:r>
            <w:r>
              <w:rPr>
                <w:color w:val="000000"/>
                <w:sz w:val="18"/>
                <w:szCs w:val="18"/>
              </w:rPr>
              <w:instrText xml:space="preserve"> ADDIN EN.CITE &lt;EndNote&gt;&lt;Cite ExcludeAuth="1" ExcludeYear="1"&gt;&lt;RecNum&gt;7606&lt;/RecNum&gt;&lt;DisplayText&gt;&lt;style face="superscript"&gt;74&lt;/style&gt;&lt;/DisplayText&gt;&lt;record&gt;&lt;rec-number&gt;7606&lt;/rec-number&gt;&lt;foreign-keys&gt;&lt;key app="EN" db-id="29ezzfre25wfzbe5ttpvt0wkar525pde22z5"&gt;7606&lt;/key&gt;&lt;/foreign-keys&gt;&lt;ref-type name="Journal Article"&gt;17&lt;/ref-type&gt;&lt;contributors&gt;&lt;authors&gt;&lt;author&gt;Boonen, S. &lt;/author&gt;&lt;author&gt;Orwoll, E. S. &lt;/author&gt;&lt;author&gt;Wenderoth, D. &lt;/author&gt;&lt;author&gt;Stoner, K. J. &lt;/author&gt;&lt;author&gt;Eusebio, R. &lt;/author&gt;&lt;author&gt;Delmas, P. D.&lt;/author&gt;&lt;/authors&gt;&lt;/contributors&gt;&lt;auth-address&gt;Leuven University Center for Metabolic Bone Diseases, Division of Geriatric Medicine, University Hospitals Leuven, Leuven, Belgium. steven.boonen@uz.kuleuven.ac.be&lt;/auth-address&gt;&lt;titles&gt;&lt;title&gt;Once-weekly risedronate in men with osteoporosis: results of a 2-year, placebo-controlled, double-blind, multicenter study&lt;/title&gt;&lt;secondary-title&gt;J Bone Miner Res&lt;/secondary-title&gt;&lt;/titles&gt;&lt;periodical&gt;&lt;full-title&gt;J Bone Miner Res&lt;/full-title&gt;&lt;/periodical&gt;&lt;pages&gt;719-25&lt;/pages&gt;&lt;volume&gt;24&lt;/volume&gt;&lt;number&gt;4&lt;/number&gt;&lt;keywords&gt;&lt;keyword&gt;Journal Article Multicenter Study Randomized Controlled Trial Research Support, Non-U.S. Gov&amp;apos;t Adult Aged Aged, 80 and over Bone Density/drug effects/physiology Bone Density Conservation Agents/ administration &amp;amp; dosage/adverse effects/pharmacology/ ther&lt;/keyword&gt;&lt;/keywords&gt;&lt;dates&gt;&lt;year&gt;2009&lt;/year&gt;&lt;pub-dates&gt;&lt;date&gt;Apr&lt;/date&gt;&lt;/pub-dates&gt;&lt;/dates&gt;&lt;isbn&gt;1523-4681 (Electronic)&lt;/isbn&gt;&lt;accession-num&gt;19049326&lt;/accession-num&gt;&lt;urls&gt;&lt;/urls&gt;&lt;custom1&gt; PubMed. Specific bisphosphonates. &lt;/custom1&gt;&lt;custom2&gt;YW.CC.AD.&lt;/custom2&gt;&lt;custom6&gt;Include&lt;/custom6&gt;&lt;language&gt;eng&lt;/language&gt;&lt;/record&gt;&lt;/Cite&gt;&lt;/EndNote&gt;</w:instrText>
            </w:r>
            <w:r w:rsidR="005F6BCB">
              <w:rPr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noProof/>
                <w:color w:val="000000"/>
                <w:sz w:val="18"/>
                <w:szCs w:val="18"/>
                <w:vertAlign w:val="superscript"/>
              </w:rPr>
              <w:t>74</w:t>
            </w:r>
            <w:r w:rsidR="005F6BCB">
              <w:rPr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72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risedronate</w:t>
            </w:r>
          </w:p>
        </w:tc>
        <w:tc>
          <w:tcPr>
            <w:tcW w:w="100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172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 (male)</w:t>
            </w:r>
          </w:p>
        </w:tc>
        <w:tc>
          <w:tcPr>
            <w:tcW w:w="125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2227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y/n</w:t>
            </w:r>
          </w:p>
        </w:tc>
        <w:tc>
          <w:tcPr>
            <w:tcW w:w="99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56" w:type="dxa"/>
            <w:vAlign w:val="bottom"/>
          </w:tcPr>
          <w:p w:rsidR="00241625" w:rsidRPr="009708F1" w:rsidRDefault="00241625" w:rsidP="001D0AC8">
            <w:pPr>
              <w:jc w:val="right"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284</w:t>
            </w:r>
          </w:p>
        </w:tc>
        <w:tc>
          <w:tcPr>
            <w:tcW w:w="1023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95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6.5 out of 7 but men</w:t>
            </w:r>
          </w:p>
        </w:tc>
      </w:tr>
      <w:tr w:rsidR="00241625" w:rsidRPr="009708F1" w:rsidTr="001D0AC8">
        <w:tc>
          <w:tcPr>
            <w:tcW w:w="163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smartTag w:uri="urn:schemas-microsoft-com:office:smarttags" w:element="place">
              <w:smartTag w:uri="urn:schemas-microsoft-com:office:smarttags" w:element="City">
                <w:r w:rsidRPr="009708F1">
                  <w:rPr>
                    <w:color w:val="000000"/>
                    <w:sz w:val="18"/>
                    <w:szCs w:val="18"/>
                  </w:rPr>
                  <w:t>Campbell</w:t>
                </w:r>
              </w:smartTag>
            </w:smartTag>
            <w:r w:rsidRPr="009708F1">
              <w:rPr>
                <w:color w:val="000000"/>
                <w:sz w:val="18"/>
                <w:szCs w:val="18"/>
              </w:rPr>
              <w:t>, 2009</w:t>
            </w:r>
            <w:r w:rsidR="005F6BCB">
              <w:rPr>
                <w:color w:val="000000"/>
                <w:sz w:val="18"/>
                <w:szCs w:val="18"/>
              </w:rPr>
              <w:fldChar w:fldCharType="begin"/>
            </w:r>
            <w:r>
              <w:rPr>
                <w:color w:val="000000"/>
                <w:sz w:val="18"/>
                <w:szCs w:val="18"/>
              </w:rPr>
              <w:instrText xml:space="preserve"> ADDIN EN.CITE &lt;EndNote&gt;&lt;Cite ExcludeAuth="1" ExcludeYear="1"&gt;&lt;RecNum&gt;7637&lt;/RecNum&gt;&lt;DisplayText&gt;&lt;style face="superscript"&gt;231&lt;/style&gt;&lt;/DisplayText&gt;&lt;record&gt;&lt;rec-number&gt;7637&lt;/rec-number&gt;&lt;foreign-keys&gt;&lt;key app="EN" db-id="29ezzfre25wfzbe5ttpvt0wkar525pde22z5"&gt;7637&lt;/key&gt;&lt;/foreign-keys&gt;&lt;ref-type name="Journal Article"&gt;17&lt;/ref-type&gt;&lt;contributors&gt;&lt;authors&gt;&lt;author&gt;Campbell, I. A. &lt;/author&gt;&lt;author&gt;Douglas, J. G. &lt;/author&gt;&lt;author&gt;Francis, R. M. &lt;/author&gt;&lt;author&gt;Prescott, R. J. &lt;/author&gt;&lt;author&gt;Reid, D. M.&lt;/author&gt;&lt;/authors&gt;&lt;/contributors&gt;&lt;auth-address&gt;Chest Department, Llandough Hospital, Penarth, UK. ian.campbell@cardiffandvale.wales.nhs.uk&lt;/auth-address&gt;&lt;titles&gt;&lt;title&gt;Hormone replacement therapy (HRT) or etidronate for osteoporosis in postmenopausal asthmatics on glucocorticoids: a randomised factorial trial&lt;/title&gt;&lt;secondary-title&gt;Scott Med J&lt;/secondary-title&gt;&lt;/titles&gt;&lt;periodical&gt;&lt;full-title&gt;Scott Med J&lt;/full-title&gt;&lt;/periodical&gt;&lt;pages&gt;21-5&lt;/pages&gt;&lt;volume&gt;54&lt;/volume&gt;&lt;number&gt;1&lt;/number&gt;&lt;keywords&gt;&lt;keyword&gt;Journal Article Multicenter Study Randomized Controlled Trial Research Support, Non-U.S. Gov&amp;apos;t Anti-Asthmatic Agents/therapeutic use Asthma/ complications/drug therapy Bone Density Conservation Agents/ therapeutic use Cohort Studies Estrogen Replacement&lt;/keyword&gt;&lt;/keywords&gt;&lt;dates&gt;&lt;year&gt;2009&lt;/year&gt;&lt;pub-dates&gt;&lt;date&gt;Feb&lt;/date&gt;&lt;/pub-dates&gt;&lt;/dates&gt;&lt;isbn&gt;0036-9330 (Print)&lt;/isbn&gt;&lt;accession-num&gt;19291931&lt;/accession-num&gt;&lt;urls&gt;&lt;/urls&gt;&lt;custom1&gt; PubMed. Specific bisphosphonates. &lt;/custom1&gt;&lt;custom2&gt;YW.CC.AD.&lt;/custom2&gt;&lt;custom6&gt;Include&lt;/custom6&gt;&lt;language&gt;eng&lt;/language&gt;&lt;/record&gt;&lt;/Cite&gt;&lt;/EndNote&gt;</w:instrText>
            </w:r>
            <w:r w:rsidR="005F6BCB">
              <w:rPr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noProof/>
                <w:color w:val="000000"/>
                <w:sz w:val="18"/>
                <w:szCs w:val="18"/>
                <w:vertAlign w:val="superscript"/>
              </w:rPr>
              <w:t>231</w:t>
            </w:r>
            <w:r w:rsidR="005F6BCB">
              <w:rPr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72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estrogen (and etidronate)</w:t>
            </w:r>
          </w:p>
        </w:tc>
        <w:tc>
          <w:tcPr>
            <w:tcW w:w="100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172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n (GC users w/asthma)</w:t>
            </w:r>
          </w:p>
        </w:tc>
        <w:tc>
          <w:tcPr>
            <w:tcW w:w="125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2227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y/n</w:t>
            </w:r>
          </w:p>
        </w:tc>
        <w:tc>
          <w:tcPr>
            <w:tcW w:w="99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956" w:type="dxa"/>
            <w:vAlign w:val="bottom"/>
          </w:tcPr>
          <w:p w:rsidR="00241625" w:rsidRPr="009708F1" w:rsidRDefault="00241625" w:rsidP="001D0AC8">
            <w:pPr>
              <w:jc w:val="right"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47</w:t>
            </w:r>
          </w:p>
        </w:tc>
        <w:tc>
          <w:tcPr>
            <w:tcW w:w="1023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995" w:type="dxa"/>
            <w:vAlign w:val="bottom"/>
          </w:tcPr>
          <w:p w:rsidR="00241625" w:rsidRPr="009708F1" w:rsidRDefault="00241625" w:rsidP="001D0AC8">
            <w:pPr>
              <w:jc w:val="right"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2.5 out of 7</w:t>
            </w:r>
          </w:p>
        </w:tc>
      </w:tr>
      <w:tr w:rsidR="00241625" w:rsidRPr="009708F1" w:rsidTr="001D0AC8">
        <w:tc>
          <w:tcPr>
            <w:tcW w:w="163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Chapman, 2009</w:t>
            </w:r>
            <w:r w:rsidR="005F6BCB">
              <w:rPr>
                <w:color w:val="000000"/>
                <w:sz w:val="18"/>
                <w:szCs w:val="18"/>
              </w:rPr>
              <w:fldChar w:fldCharType="begin"/>
            </w:r>
            <w:r>
              <w:rPr>
                <w:color w:val="000000"/>
                <w:sz w:val="18"/>
                <w:szCs w:val="18"/>
              </w:rPr>
              <w:instrText xml:space="preserve"> ADDIN EN.CITE &lt;EndNote&gt;&lt;Cite ExcludeAuth="1" ExcludeYear="1"&gt;&lt;RecNum&gt;9659&lt;/RecNum&gt;&lt;DisplayText&gt;&lt;style face="superscript"&gt;114&lt;/style&gt;&lt;/DisplayText&gt;&lt;record&gt;&lt;rec-number&gt;9659&lt;/rec-number&gt;&lt;foreign-keys&gt;&lt;key app="EN" db-id="29ezzfre25wfzbe5ttpvt0wkar525pde22z5"&gt;9659&lt;/key&gt;&lt;/foreign-keys&gt;&lt;ref-type name="Journal Article"&gt;17&lt;/ref-type&gt;&lt;contributors&gt;&lt;authors&gt;&lt;author&gt;Chapman, I. &lt;/author&gt;&lt;author&gt;Greville, H. &lt;/author&gt;&lt;author&gt;Ebeling, P. R. &lt;/author&gt;&lt;author&gt;King, S. J. &lt;/author&gt;&lt;author&gt;Kotsimbos, T. &lt;/author&gt;&lt;author&gt;Nugent, P. &lt;/author&gt;&lt;author&gt;Player, R. &lt;/author&gt;&lt;author&gt;Topliss, D. J. &lt;/author&gt;&lt;author&gt;Warner, J. &lt;/author&gt;&lt;author&gt;Wilson, J. W.&lt;/author&gt;&lt;/authors&gt;&lt;/contributors&gt;&lt;auth-address&gt;Endocrinology Department, Royal Adelaide Hospital, North Terrace, Adelaide, Australia.&lt;/auth-address&gt;&lt;titles&gt;&lt;title&gt;Intravenous zoledronate improves bone density in adults with cystic fibrosis (CF)&lt;/title&gt;&lt;secondary-title&gt;Clin Endocrinol (Oxf)&lt;/secondary-title&gt;&lt;/titles&gt;&lt;periodical&gt;&lt;full-title&gt;Clin Endocrinol (Oxf)&lt;/full-title&gt;&lt;/periodical&gt;&lt;pages&gt;838-46&lt;/pages&gt;&lt;volume&gt;70&lt;/volume&gt;&lt;number&gt;6&lt;/number&gt;&lt;edition&gt;2008/10/01&lt;/edition&gt;&lt;keywords&gt;&lt;keyword&gt;Adult Bone Density/*drug effects Bone Density Conservation Agents/*therapeutic use Cystic Fibrosis/*complications/drug therapy Diphosphonates/*therapeutic use Double-Blind Method Female Humans Imidazoles/*therapeutic use Male Osteoporosis/*drug therapy/&lt;/keyword&gt;&lt;/keywords&gt;&lt;dates&gt;&lt;year&gt;2009&lt;/year&gt;&lt;pub-dates&gt;&lt;date&gt;Jun&lt;/date&gt;&lt;/pub-dates&gt;&lt;/dates&gt;&lt;isbn&gt;1365-2265 (Electronic) 0300-0664 (Linking)&lt;/isbn&gt;&lt;accession-num&gt;18823395&lt;/accession-num&gt;&lt;urls&gt;&lt;related-urls&gt;&lt;url&gt;http://www.ncbi.nlm.nih.gov/entrez/query.fcgi?cmd=Retrieve&amp;amp;db=PubMed&amp;amp;dopt=Citation&amp;amp;list_uids=18823395&lt;/url&gt;&lt;/related-urls&gt;&lt;/urls&gt;&lt;custom6&gt;Include&lt;/custom6&gt;&lt;electronic-resource-num&gt;CEN3434 [pii] 10.1111/j.1365-2265.2008.03434.x&lt;/electronic-resource-num&gt;&lt;language&gt;eng&lt;/language&gt;&lt;/record&gt;&lt;/Cite&gt;&lt;/EndNote&gt;</w:instrText>
            </w:r>
            <w:r w:rsidR="005F6BCB">
              <w:rPr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noProof/>
                <w:color w:val="000000"/>
                <w:sz w:val="18"/>
                <w:szCs w:val="18"/>
                <w:vertAlign w:val="superscript"/>
              </w:rPr>
              <w:t>114</w:t>
            </w:r>
            <w:r w:rsidR="005F6BCB">
              <w:rPr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72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zoledronic acid</w:t>
            </w:r>
          </w:p>
        </w:tc>
        <w:tc>
          <w:tcPr>
            <w:tcW w:w="100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172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n(CF)</w:t>
            </w:r>
          </w:p>
        </w:tc>
        <w:tc>
          <w:tcPr>
            <w:tcW w:w="125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2227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y/y</w:t>
            </w:r>
          </w:p>
        </w:tc>
        <w:tc>
          <w:tcPr>
            <w:tcW w:w="99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56" w:type="dxa"/>
            <w:vAlign w:val="bottom"/>
          </w:tcPr>
          <w:p w:rsidR="00241625" w:rsidRPr="009708F1" w:rsidRDefault="00241625" w:rsidP="001D0AC8">
            <w:pPr>
              <w:jc w:val="right"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1023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95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4 out of 7</w:t>
            </w:r>
          </w:p>
        </w:tc>
      </w:tr>
      <w:tr w:rsidR="00241625" w:rsidRPr="009708F1" w:rsidTr="001D0AC8">
        <w:tc>
          <w:tcPr>
            <w:tcW w:w="163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Cummings, 2009</w:t>
            </w:r>
            <w:r w:rsidR="005F6BCB">
              <w:rPr>
                <w:color w:val="000000"/>
                <w:sz w:val="18"/>
                <w:szCs w:val="18"/>
              </w:rPr>
              <w:fldChar w:fldCharType="begin">
                <w:fldData xml:space="preserve">PEVuZE5vdGU+PENpdGUgRXhjbHVkZUF1dGg9IjEiIEV4Y2x1ZGVZZWFyPSIxIj48UmVjTnVtPjcw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</w:fldData>
              </w:fldChar>
            </w:r>
            <w:r>
              <w:rPr>
                <w:color w:val="000000"/>
                <w:sz w:val="18"/>
                <w:szCs w:val="18"/>
              </w:rPr>
              <w:instrText xml:space="preserve"> ADDIN EN.CITE </w:instrText>
            </w:r>
            <w:r w:rsidR="005F6BCB">
              <w:rPr>
                <w:color w:val="000000"/>
                <w:sz w:val="18"/>
                <w:szCs w:val="18"/>
              </w:rPr>
              <w:fldChar w:fldCharType="begin">
                <w:fldData xml:space="preserve">PEVuZE5vdGU+PENpdGUgRXhjbHVkZUF1dGg9IjEiIEV4Y2x1ZGVZZWFyPSIxIj48UmVjTnVtPjcw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</w:fldData>
              </w:fldChar>
            </w:r>
            <w:r>
              <w:rPr>
                <w:color w:val="000000"/>
                <w:sz w:val="18"/>
                <w:szCs w:val="18"/>
              </w:rPr>
              <w:instrText xml:space="preserve"> ADDIN EN.CITE.DATA </w:instrText>
            </w:r>
            <w:r w:rsidR="005F6BCB">
              <w:rPr>
                <w:color w:val="000000"/>
                <w:sz w:val="18"/>
                <w:szCs w:val="18"/>
              </w:rPr>
            </w:r>
            <w:r w:rsidR="005F6BCB">
              <w:rPr>
                <w:color w:val="000000"/>
                <w:sz w:val="18"/>
                <w:szCs w:val="18"/>
              </w:rPr>
              <w:fldChar w:fldCharType="end"/>
            </w:r>
            <w:r w:rsidR="005F6BCB">
              <w:rPr>
                <w:color w:val="000000"/>
                <w:sz w:val="18"/>
                <w:szCs w:val="18"/>
              </w:rPr>
            </w:r>
            <w:r w:rsidR="005F6BCB">
              <w:rPr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noProof/>
                <w:color w:val="000000"/>
                <w:sz w:val="18"/>
                <w:szCs w:val="18"/>
                <w:vertAlign w:val="superscript"/>
              </w:rPr>
              <w:t>118</w:t>
            </w:r>
            <w:r w:rsidR="005F6BCB">
              <w:rPr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72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Denosumab</w:t>
            </w:r>
          </w:p>
        </w:tc>
        <w:tc>
          <w:tcPr>
            <w:tcW w:w="100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172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 (many exclusion criteria)</w:t>
            </w:r>
          </w:p>
        </w:tc>
        <w:tc>
          <w:tcPr>
            <w:tcW w:w="125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2227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y/y</w:t>
            </w:r>
          </w:p>
        </w:tc>
        <w:tc>
          <w:tcPr>
            <w:tcW w:w="99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56" w:type="dxa"/>
            <w:vAlign w:val="bottom"/>
          </w:tcPr>
          <w:p w:rsidR="00241625" w:rsidRPr="009708F1" w:rsidRDefault="00241625" w:rsidP="001D0AC8">
            <w:pPr>
              <w:jc w:val="right"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7,868</w:t>
            </w:r>
          </w:p>
        </w:tc>
        <w:tc>
          <w:tcPr>
            <w:tcW w:w="1023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95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7 out of 7</w:t>
            </w:r>
          </w:p>
        </w:tc>
      </w:tr>
      <w:tr w:rsidR="00241625" w:rsidRPr="009708F1" w:rsidTr="001D0AC8">
        <w:tc>
          <w:tcPr>
            <w:tcW w:w="163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de Nijs, 2006</w:t>
            </w:r>
            <w:r w:rsidR="005F6BCB">
              <w:rPr>
                <w:color w:val="000000"/>
                <w:sz w:val="18"/>
                <w:szCs w:val="18"/>
              </w:rPr>
              <w:fldChar w:fldCharType="begin"/>
            </w:r>
            <w:r>
              <w:rPr>
                <w:color w:val="000000"/>
                <w:sz w:val="18"/>
                <w:szCs w:val="18"/>
              </w:rPr>
              <w:instrText xml:space="preserve"> ADDIN EN.CITE &lt;EndNote&gt;&lt;Cite ExcludeAuth="1" ExcludeYear="1"&gt;&lt;RecNum&gt;7719&lt;/RecNum&gt;&lt;DisplayText&gt;&lt;style face="superscript"&gt;57&lt;/style&gt;&lt;/DisplayText&gt;&lt;record&gt;&lt;rec-number&gt;7719&lt;/rec-number&gt;&lt;foreign-keys&gt;&lt;key app="EN" db-id="29ezzfre25wfzbe5ttpvt0wkar525pde22z5"&gt;7719&lt;/key&gt;&lt;/foreign-keys&gt;&lt;ref-type name="Journal Article"&gt;17&lt;/ref-type&gt;&lt;contributors&gt;&lt;authors&gt;&lt;author&gt;de Nijs, R. N. &lt;/author&gt;&lt;author&gt;Jacobs, J. W. &lt;/author&gt;&lt;author&gt;Lems, W. F. &lt;/author&gt;&lt;author&gt;Laan, R. F. &lt;/author&gt;&lt;author&gt;Algra, A. &lt;/author&gt;&lt;author&gt;Huisman, A. M. &lt;/author&gt;&lt;author&gt;Buskens, E. &lt;/author&gt;&lt;author&gt;de Laet, C. E. &lt;/author&gt;&lt;author&gt;Oostveen, A. C. &lt;/author&gt;&lt;author&gt;Geusens, P. P. &lt;/author&gt;&lt;author&gt;Bruyn, G. A. &lt;/author&gt;&lt;author&gt;Dijkmans, B. A. &lt;/author&gt;&lt;author&gt;Bijlsma, J. W.&lt;/author&gt;&lt;/authors&gt;&lt;/contributors&gt;&lt;auth-address&gt;Department of Rheumatology and Clinical Immunology, University Medical Center Utrecht, Utrecht, The Netherlands. r.denijs@mmc.nl&lt;/auth-address&gt;&lt;titles&gt;&lt;title&gt;Alendronate or alfacalcidol in glucocorticoid-induced osteoporosis&lt;/title&gt;&lt;secondary-title&gt;N Engl J Med&lt;/secondary-title&gt;&lt;/titles&gt;&lt;periodical&gt;&lt;full-title&gt;N Engl J Med&lt;/full-title&gt;&lt;/periodical&gt;&lt;pages&gt;675-84&lt;/pages&gt;&lt;volume&gt;355&lt;/volume&gt;&lt;number&gt;7&lt;/number&gt;&lt;keywords&gt;&lt;keyword&gt;Comparative Study Journal Article Randomized Controlled Trial Research Support, Non-U.S. Gov&amp;apos;t Aged Alendronate/ therapeutic use Bone Density Bone Density Conservation Agents/ therapeutic use Double-Blind Method Female Glucocorticoids/ adverse effects/t&lt;/keyword&gt;&lt;/keywords&gt;&lt;dates&gt;&lt;year&gt;2006&lt;/year&gt;&lt;pub-dates&gt;&lt;date&gt;Aug 17&lt;/date&gt;&lt;/pub-dates&gt;&lt;/dates&gt;&lt;isbn&gt;1533-4406 (Electronic)&lt;/isbn&gt;&lt;accession-num&gt;16914703&lt;/accession-num&gt;&lt;urls&gt;&lt;/urls&gt;&lt;custom1&gt; PubMed. Specific bisphosphonates. &lt;/custom1&gt;&lt;custom2&gt;YW.CC.AD.&lt;/custom2&gt;&lt;custom6&gt;Include&lt;/custom6&gt;&lt;language&gt;eng&lt;/language&gt;&lt;/record&gt;&lt;/Cite&gt;&lt;/EndNote&gt;</w:instrText>
            </w:r>
            <w:r w:rsidR="005F6BCB">
              <w:rPr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noProof/>
                <w:color w:val="000000"/>
                <w:sz w:val="18"/>
                <w:szCs w:val="18"/>
                <w:vertAlign w:val="superscript"/>
              </w:rPr>
              <w:t>57</w:t>
            </w:r>
            <w:r w:rsidR="005F6BCB">
              <w:rPr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72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alendronate and vitamin D</w:t>
            </w:r>
          </w:p>
        </w:tc>
        <w:tc>
          <w:tcPr>
            <w:tcW w:w="100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172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n (GC-users w/autoimmune diseases)</w:t>
            </w:r>
          </w:p>
        </w:tc>
        <w:tc>
          <w:tcPr>
            <w:tcW w:w="125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2227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y/n</w:t>
            </w:r>
          </w:p>
        </w:tc>
        <w:tc>
          <w:tcPr>
            <w:tcW w:w="99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56" w:type="dxa"/>
            <w:vAlign w:val="bottom"/>
          </w:tcPr>
          <w:p w:rsidR="00241625" w:rsidRPr="009708F1" w:rsidRDefault="00241625" w:rsidP="001D0AC8">
            <w:pPr>
              <w:jc w:val="right"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163</w:t>
            </w:r>
          </w:p>
        </w:tc>
        <w:tc>
          <w:tcPr>
            <w:tcW w:w="1023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995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3.5 out of 7</w:t>
            </w:r>
          </w:p>
        </w:tc>
      </w:tr>
      <w:tr w:rsidR="00241625" w:rsidRPr="009708F1" w:rsidTr="001D0AC8">
        <w:tc>
          <w:tcPr>
            <w:tcW w:w="163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Delmas, 2008</w:t>
            </w:r>
            <w:r w:rsidR="005F6BCB">
              <w:rPr>
                <w:color w:val="000000"/>
                <w:sz w:val="18"/>
                <w:szCs w:val="18"/>
              </w:rPr>
              <w:fldChar w:fldCharType="begin"/>
            </w:r>
            <w:r>
              <w:rPr>
                <w:color w:val="000000"/>
                <w:sz w:val="18"/>
                <w:szCs w:val="18"/>
              </w:rPr>
              <w:instrText xml:space="preserve"> ADDIN EN.CITE &lt;EndNote&gt;&lt;Cite ExcludeAuth="1" ExcludeYear="1"&gt;&lt;RecNum&gt;7009&lt;/RecNum&gt;&lt;DisplayText&gt;&lt;style face="superscript"&gt;85&lt;/style&gt;&lt;/DisplayText&gt;&lt;record&gt;&lt;rec-number&gt;7009&lt;/rec-number&gt;&lt;foreign-keys&gt;&lt;key app="EN" db-id="29ezzfre25wfzbe5ttpvt0wkar525pde22z5"&gt;7009&lt;/key&gt;&lt;/foreign-keys&gt;&lt;ref-type name="Journal Article"&gt;17&lt;/ref-type&gt;&lt;contributors&gt;&lt;authors&gt;&lt;author&gt;Delmas, P. D. &lt;/author&gt;&lt;author&gt;Benhamou, C. L. &lt;/author&gt;&lt;author&gt;Man, Z. &lt;/author&gt;&lt;author&gt;Tlustochowicz, W. &lt;/author&gt;&lt;author&gt;Matzkin, E. &lt;/author&gt;&lt;author&gt;Eusebio, R. &lt;/author&gt;&lt;author&gt;Zanchetta, J. &lt;/author&gt;&lt;author&gt;Olszynski, W. P. &lt;/author&gt;&lt;author&gt;Recker, R. R. &lt;/author&gt;&lt;author&gt;McClung, M. R.&lt;/author&gt;&lt;/authors&gt;&lt;/contributors&gt;&lt;auth-address&gt;University of Lyon and INSERM Research Unit 831, Lyon, France. delmas@lyon.inserm.fr&lt;/auth-address&gt;&lt;titles&gt;&lt;title&gt;Monthly dosing of 75 mg risedronate on 2 consecutive days a month: efficacy and safety results&lt;/title&gt;&lt;secondary-title&gt;Osteoporos Int&lt;/secondary-title&gt;&lt;/titles&gt;&lt;periodical&gt;&lt;full-title&gt;Osteoporos Int&lt;/full-title&gt;&lt;/periodical&gt;&lt;pages&gt;1039-45&lt;/pages&gt;&lt;volume&gt;19&lt;/volume&gt;&lt;number&gt;7&lt;/number&gt;&lt;edition&gt;2007/12/19&lt;/edition&gt;&lt;dates&gt;&lt;year&gt;2008&lt;/year&gt;&lt;pub-dates&gt;&lt;date&gt;Jul&lt;/date&gt;&lt;/pub-dates&gt;&lt;/dates&gt;&lt;isbn&gt;0937-941X (Print)&lt;/isbn&gt;&lt;accession-num&gt;18087660&lt;/accession-num&gt;&lt;urls&gt;&lt;related-urls&gt;&lt;url&gt;http://www.ncbi.nlm.nih.gov/entrez/query.fcgi?cmd=Retrieve&amp;amp;db=PubMed&amp;amp;dopt=Citation&amp;amp;list_uids=18087660&lt;/url&gt;&lt;/related-urls&gt;&lt;/urls&gt;&lt;custom5&gt;From &amp;apos;09 CER update report&lt;/custom5&gt;&lt;custom6&gt;Include&lt;/custom6&gt;&lt;electronic-resource-num&gt;10.1007/s00198-007-0531-9&lt;/electronic-resource-num&gt;&lt;research-notes&gt;CER 12&lt;/research-notes&gt;&lt;language&gt;eng&lt;/language&gt;&lt;/record&gt;&lt;/Cite&gt;&lt;/EndNote&gt;</w:instrText>
            </w:r>
            <w:r w:rsidR="005F6BCB">
              <w:rPr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noProof/>
                <w:color w:val="000000"/>
                <w:sz w:val="18"/>
                <w:szCs w:val="18"/>
                <w:vertAlign w:val="superscript"/>
              </w:rPr>
              <w:t>85</w:t>
            </w:r>
            <w:r w:rsidR="005F6BCB">
              <w:rPr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72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risedronate</w:t>
            </w:r>
          </w:p>
        </w:tc>
        <w:tc>
          <w:tcPr>
            <w:tcW w:w="100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172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p (excl users of other osteoporosis meds and obese women)</w:t>
            </w:r>
          </w:p>
        </w:tc>
        <w:tc>
          <w:tcPr>
            <w:tcW w:w="125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2227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y/y</w:t>
            </w:r>
          </w:p>
        </w:tc>
        <w:tc>
          <w:tcPr>
            <w:tcW w:w="99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56" w:type="dxa"/>
            <w:vAlign w:val="bottom"/>
          </w:tcPr>
          <w:p w:rsidR="00241625" w:rsidRPr="009708F1" w:rsidRDefault="00241625" w:rsidP="001D0AC8">
            <w:pPr>
              <w:jc w:val="right"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1,231</w:t>
            </w:r>
          </w:p>
        </w:tc>
        <w:tc>
          <w:tcPr>
            <w:tcW w:w="1023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995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5 out of 7</w:t>
            </w:r>
          </w:p>
        </w:tc>
      </w:tr>
      <w:tr w:rsidR="00241625" w:rsidRPr="009708F1" w:rsidTr="001D0AC8">
        <w:tc>
          <w:tcPr>
            <w:tcW w:w="163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Delmas, 2008</w:t>
            </w:r>
            <w:r w:rsidR="005F6BCB">
              <w:rPr>
                <w:color w:val="000000"/>
                <w:sz w:val="18"/>
                <w:szCs w:val="18"/>
              </w:rPr>
              <w:fldChar w:fldCharType="begin"/>
            </w:r>
            <w:r>
              <w:rPr>
                <w:color w:val="000000"/>
                <w:sz w:val="18"/>
                <w:szCs w:val="18"/>
              </w:rPr>
              <w:instrText xml:space="preserve"> ADDIN EN.CITE &lt;EndNote&gt;&lt;Cite ExcludeAuth="1" ExcludeYear="1"&gt;&lt;RecNum&gt;7010&lt;/RecNum&gt;&lt;DisplayText&gt;&lt;style face="superscript"&gt;86&lt;/style&gt;&lt;/DisplayText&gt;&lt;record&gt;&lt;rec-number&gt;7010&lt;/rec-number&gt;&lt;foreign-keys&gt;&lt;key app="EN" db-id="29ezzfre25wfzbe5ttpvt0wkar525pde22z5"&gt;7010&lt;/key&gt;&lt;/foreign-keys&gt;&lt;ref-type name="Journal Article"&gt;17&lt;/ref-type&gt;&lt;contributors&gt;&lt;authors&gt;&lt;author&gt;Delmas, P. D. &lt;/author&gt;&lt;author&gt;McClung, M. R. &lt;/author&gt;&lt;author&gt;Zanchetta, J. R. &lt;/author&gt;&lt;author&gt;Racewicz, A. &lt;/author&gt;&lt;author&gt;Roux, C. &lt;/author&gt;&lt;author&gt;Benhamou, C. L. &lt;/author&gt;&lt;author&gt;Man, Z. &lt;/author&gt;&lt;author&gt;Eusebio, R. A. &lt;/author&gt;&lt;author&gt;Beary, J. F. &lt;/author&gt;&lt;author&gt;Burgio, D. E. &lt;/author&gt;&lt;author&gt;Matzkin, E. &lt;/author&gt;&lt;author&gt;Boonen, S.&lt;/author&gt;&lt;/authors&gt;&lt;/contributors&gt;&lt;auth-address&gt;INSERM Research Unit 831 and University of Lyon, Lyon, France. delmas@lyon.inserm.fr&lt;/auth-address&gt;&lt;titles&gt;&lt;title&gt;Efficacy and safety of risedronate 150 mg once a month in the treatment of postmenopausal osteoporosis&lt;/title&gt;&lt;secondary-title&gt;Bone&lt;/secondary-title&gt;&lt;/titles&gt;&lt;periodical&gt;&lt;full-title&gt;Bone&lt;/full-title&gt;&lt;/periodical&gt;&lt;pages&gt;36-42&lt;/pages&gt;&lt;volume&gt;42&lt;/volume&gt;&lt;number&gt;1&lt;/number&gt;&lt;edition&gt;2007/10/09&lt;/edition&gt;&lt;keywords&gt;&lt;keyword&gt;Bone Density/drug effects Drug Toxicity Etidronic Acid/adverse effects/*analogs &amp;amp; derivatives/therapeutic use Female Humans Middle Aged Osteoporosis, Postmenopausal/*drug therapy Time Factors&lt;/keyword&gt;&lt;/keywords&gt;&lt;dates&gt;&lt;year&gt;2008&lt;/year&gt;&lt;pub-dates&gt;&lt;date&gt;Jan&lt;/date&gt;&lt;/pub-dates&gt;&lt;/dates&gt;&lt;isbn&gt;8756-3282 (Print)&lt;/isbn&gt;&lt;accession-num&gt;17920005&lt;/accession-num&gt;&lt;urls&gt;&lt;related-urls&gt;&lt;url&gt;http://www.ncbi.nlm.nih.gov/entrez/query.fcgi?cmd=Retrieve&amp;amp;db=PubMed&amp;amp;dopt=Citation&amp;amp;list_uids=17920005&lt;/url&gt;&lt;/related-urls&gt;&lt;/urls&gt;&lt;custom5&gt;From &amp;apos;09 CER update report&lt;/custom5&gt;&lt;custom6&gt;Include&lt;/custom6&gt;&lt;electronic-resource-num&gt;S8756-3282(07)00678-3 [pii] 10.1016/j.bone.2007.09.001&lt;/electronic-resource-num&gt;&lt;research-notes&gt;CER 12&lt;/research-notes&gt;&lt;language&gt;eng&lt;/language&gt;&lt;/record&gt;&lt;/Cite&gt;&lt;/EndNote&gt;</w:instrText>
            </w:r>
            <w:r w:rsidR="005F6BCB">
              <w:rPr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noProof/>
                <w:color w:val="000000"/>
                <w:sz w:val="18"/>
                <w:szCs w:val="18"/>
                <w:vertAlign w:val="superscript"/>
              </w:rPr>
              <w:t>86</w:t>
            </w:r>
            <w:r w:rsidR="005F6BCB">
              <w:rPr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72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risedronate</w:t>
            </w:r>
          </w:p>
        </w:tc>
        <w:tc>
          <w:tcPr>
            <w:tcW w:w="100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172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p (excl users of other osteoporosis meds and many comorbidities)</w:t>
            </w:r>
          </w:p>
        </w:tc>
        <w:tc>
          <w:tcPr>
            <w:tcW w:w="125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2227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y/y</w:t>
            </w:r>
          </w:p>
        </w:tc>
        <w:tc>
          <w:tcPr>
            <w:tcW w:w="99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56" w:type="dxa"/>
            <w:vAlign w:val="bottom"/>
          </w:tcPr>
          <w:p w:rsidR="00241625" w:rsidRPr="009708F1" w:rsidRDefault="00241625" w:rsidP="001D0AC8">
            <w:pPr>
              <w:jc w:val="right"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1,294</w:t>
            </w:r>
          </w:p>
        </w:tc>
        <w:tc>
          <w:tcPr>
            <w:tcW w:w="1023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995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5 out of 7</w:t>
            </w:r>
          </w:p>
        </w:tc>
      </w:tr>
      <w:tr w:rsidR="00241625" w:rsidRPr="009708F1" w:rsidTr="001D0AC8">
        <w:tc>
          <w:tcPr>
            <w:tcW w:w="163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Ensrud, 2008</w:t>
            </w:r>
            <w:r w:rsidR="005F6BCB">
              <w:rPr>
                <w:color w:val="000000"/>
                <w:sz w:val="18"/>
                <w:szCs w:val="18"/>
              </w:rPr>
              <w:fldChar w:fldCharType="begin"/>
            </w:r>
            <w:r>
              <w:rPr>
                <w:color w:val="000000"/>
                <w:sz w:val="18"/>
                <w:szCs w:val="18"/>
              </w:rPr>
              <w:instrText xml:space="preserve"> ADDIN EN.CITE &lt;EndNote&gt;&lt;Cite ExcludeAuth="1" ExcludeYear="1"&gt;&lt;RecNum&gt;7011&lt;/RecNum&gt;&lt;DisplayText&gt;&lt;style face="superscript"&gt;120&lt;/style&gt;&lt;/DisplayText&gt;&lt;record&gt;&lt;rec-number&gt;7011&lt;/rec-number&gt;&lt;foreign-keys&gt;&lt;key app="EN" db-id="29ezzfre25wfzbe5ttpvt0wkar525pde22z5"&gt;7011&lt;/key&gt;&lt;/foreign-keys&gt;&lt;ref-type name="Journal Article"&gt;17&lt;/ref-type&gt;&lt;contributors&gt;&lt;authors&gt;&lt;author&gt;Ensrud, K. E. &lt;/author&gt;&lt;author&gt;Stock, J. L. &lt;/author&gt;&lt;author&gt;Barrett-Connor, E. &lt;/author&gt;&lt;author&gt;Grady, D. &lt;/author&gt;&lt;author&gt;Mosca, L. &lt;/author&gt;&lt;author&gt;Khaw, K. T. &lt;/author&gt;&lt;author&gt;Zhao, Q. &lt;/author&gt;&lt;author&gt;Agnusdei, D. &lt;/author&gt;&lt;author&gt;Cauley, J. A.&lt;/author&gt;&lt;/authors&gt;&lt;/contributors&gt;&lt;auth-address&gt;Center for Chronic Disease Outcomes Research, Veterans Affairs Medical Center, Minneapolis, Minnesota, USA. ensru001@.umn.edu&lt;/auth-address&gt;&lt;titles&gt;&lt;title&gt;Effects of raloxifene on fracture risk in postmenopausal women: the Raloxifene Use for the Heart Trial&lt;/title&gt;&lt;secondary-title&gt;J Bone Miner Res&lt;/secondary-title&gt;&lt;/titles&gt;&lt;periodical&gt;&lt;full-title&gt;J Bone Miner Res&lt;/full-title&gt;&lt;/periodical&gt;&lt;pages&gt;112-20&lt;/pages&gt;&lt;volume&gt;23&lt;/volume&gt;&lt;number&gt;1&lt;/number&gt;&lt;edition&gt;2007/09/26&lt;/edition&gt;&lt;keywords&gt;&lt;keyword&gt;Aged Coronary Disease/prevention &amp;amp; control Double-Blind Method Female Fractures, Bone/epidemiology/*prevention &amp;amp; control Humans Incidence Middle Aged Postmenopause Raloxifene/*therapeutic use Risk Spinal Fractures/epidemiology/prevention &amp;amp; control&lt;/keyword&gt;&lt;/keywords&gt;&lt;dates&gt;&lt;year&gt;2008&lt;/year&gt;&lt;pub-dates&gt;&lt;date&gt;Jan&lt;/date&gt;&lt;/pub-dates&gt;&lt;/dates&gt;&lt;isbn&gt;0884-0431 (Print)&lt;/isbn&gt;&lt;accession-num&gt;17892376&lt;/accession-num&gt;&lt;urls&gt;&lt;related-urls&gt;&lt;url&gt;http://www.ncbi.nlm.nih.gov/entrez/query.fcgi?cmd=Retrieve&amp;amp;db=PubMed&amp;amp;dopt=Citation&amp;amp;list_uids=17892376&lt;/url&gt;&lt;/related-urls&gt;&lt;/urls&gt;&lt;custom5&gt;From &amp;apos;09 CER update report&lt;/custom5&gt;&lt;custom6&gt;Include&lt;/custom6&gt;&lt;electronic-resource-num&gt;10.1359/jbmr.070904&lt;/electronic-resource-num&gt;&lt;research-notes&gt;CER 12&lt;/research-notes&gt;&lt;language&gt;eng&lt;/language&gt;&lt;/record&gt;&lt;/Cite&gt;&lt;/EndNote&gt;</w:instrText>
            </w:r>
            <w:r w:rsidR="005F6BCB">
              <w:rPr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noProof/>
                <w:color w:val="000000"/>
                <w:sz w:val="18"/>
                <w:szCs w:val="18"/>
                <w:vertAlign w:val="superscript"/>
              </w:rPr>
              <w:t>120</w:t>
            </w:r>
            <w:r w:rsidR="005F6BCB">
              <w:rPr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72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raloxifene</w:t>
            </w:r>
          </w:p>
        </w:tc>
        <w:tc>
          <w:tcPr>
            <w:tcW w:w="100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172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n (women w/CHD; many exclusion criteria)</w:t>
            </w:r>
          </w:p>
        </w:tc>
        <w:tc>
          <w:tcPr>
            <w:tcW w:w="125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2227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y/y</w:t>
            </w:r>
          </w:p>
        </w:tc>
        <w:tc>
          <w:tcPr>
            <w:tcW w:w="99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56" w:type="dxa"/>
            <w:vAlign w:val="bottom"/>
          </w:tcPr>
          <w:p w:rsidR="00241625" w:rsidRPr="009708F1" w:rsidRDefault="00241625" w:rsidP="001D0AC8">
            <w:pPr>
              <w:jc w:val="right"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10,101</w:t>
            </w:r>
          </w:p>
        </w:tc>
        <w:tc>
          <w:tcPr>
            <w:tcW w:w="1023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95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6 out of 7</w:t>
            </w:r>
          </w:p>
        </w:tc>
      </w:tr>
      <w:tr w:rsidR="00241625" w:rsidRPr="009708F1" w:rsidTr="001D0AC8">
        <w:tc>
          <w:tcPr>
            <w:tcW w:w="163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sz w:val="18"/>
                <w:szCs w:val="18"/>
              </w:rPr>
              <w:t>Fahrleitner-Pammer, 2009</w:t>
            </w:r>
            <w:r w:rsidR="005F6BCB"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ADDIN EN.CITE &lt;EndNote&gt;&lt;Cite ExcludeAuth="1" ExcludeYear="1"&gt;&lt;RecNum&gt;7779&lt;/RecNum&gt;&lt;DisplayText&gt;&lt;style face="superscript"&gt;106&lt;/style&gt;&lt;/DisplayText&gt;&lt;record&gt;&lt;rec-number&gt;7779&lt;/rec-number&gt;&lt;foreign-keys&gt;&lt;key app="EN" db-id="29ezzfre25wfzbe5ttpvt0wkar525pde22z5"&gt;7779&lt;/key&gt;&lt;/foreign-keys&gt;&lt;ref-type name="Journal Article"&gt;17&lt;/ref-type&gt;&lt;contributors&gt;&lt;authors&gt;&lt;author&gt;Fahrleitner-Pammer, A. &lt;/author&gt;&lt;author&gt;Piswanger-Soelkner, J. C. &lt;/author&gt;&lt;author&gt;Pieber, T. R. &lt;/author&gt;&lt;author&gt;Obermayer-Pietsch, B. M. &lt;/author&gt;&lt;author&gt;Pilz, S. &lt;/author&gt;&lt;author&gt;Dimai, H. P. &lt;/author&gt;&lt;author&gt;Prenner, G. &lt;/author&gt;&lt;author&gt;Tscheliessnigg, K. H. &lt;/author&gt;&lt;author&gt;Hauge, E. &lt;/author&gt;&lt;author&gt;Portugaller, R. H. &lt;/author&gt;&lt;author&gt;Dobnig, H.&lt;/author&gt;&lt;/authors&gt;&lt;/contributors&gt;&lt;auth-address&gt;Department of Internal Medicine, Division of Endocrinology and Nuclear Medicine, Medical University of Graz, Graz, Austria. astrid.fahrleitner@meduni-graz.at&lt;/auth-address&gt;&lt;titles&gt;&lt;title&gt;Ibandronate prevents bone loss and reduces vertebral fracture risk in male cardiac transplant patients: a randomized double-blind, placebo-controlled trial&lt;/title&gt;&lt;secondary-title&gt;J Bone Miner Res&lt;/secondary-title&gt;&lt;/titles&gt;&lt;periodical&gt;&lt;full-title&gt;J Bone Miner Res&lt;/full-title&gt;&lt;/periodical&gt;&lt;pages&gt;1335-44&lt;/pages&gt;&lt;volume&gt;24&lt;/volume&gt;&lt;number&gt;7&lt;/number&gt;&lt;keywords&gt;&lt;keyword&gt;Journal Article&lt;/keyword&gt;&lt;/keywords&gt;&lt;dates&gt;&lt;year&gt;2009&lt;/year&gt;&lt;pub-dates&gt;&lt;date&gt;Jul&lt;/date&gt;&lt;/pub-dates&gt;&lt;/dates&gt;&lt;isbn&gt;1523-4681 (Electronic)&lt;/isbn&gt;&lt;accession-num&gt;19257824&lt;/accession-num&gt;&lt;urls&gt;&lt;/urls&gt;&lt;custom1&gt; PubMed. Specific bisphosphonates. &lt;/custom1&gt;&lt;custom2&gt;YW.AD.&lt;/custom2&gt;&lt;custom6&gt;Include&lt;/custom6&gt;&lt;language&gt;eng&lt;/language&gt;&lt;/record&gt;&lt;/Cite&gt;&lt;/EndNote&gt;</w:instrText>
            </w:r>
            <w:r w:rsidR="005F6BCB">
              <w:rPr>
                <w:sz w:val="18"/>
                <w:szCs w:val="18"/>
              </w:rPr>
              <w:fldChar w:fldCharType="separate"/>
            </w:r>
            <w:r w:rsidRPr="00662F04">
              <w:rPr>
                <w:noProof/>
                <w:sz w:val="18"/>
                <w:szCs w:val="18"/>
                <w:vertAlign w:val="superscript"/>
              </w:rPr>
              <w:t>106</w:t>
            </w:r>
            <w:r w:rsidR="005F6BCB">
              <w:rPr>
                <w:sz w:val="18"/>
                <w:szCs w:val="18"/>
              </w:rPr>
              <w:fldChar w:fldCharType="end"/>
            </w:r>
          </w:p>
        </w:tc>
        <w:tc>
          <w:tcPr>
            <w:tcW w:w="172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ibandronate</w:t>
            </w:r>
          </w:p>
        </w:tc>
        <w:tc>
          <w:tcPr>
            <w:tcW w:w="100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172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n (male heart transplant)</w:t>
            </w:r>
          </w:p>
        </w:tc>
        <w:tc>
          <w:tcPr>
            <w:tcW w:w="125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2227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y/n</w:t>
            </w:r>
          </w:p>
        </w:tc>
        <w:tc>
          <w:tcPr>
            <w:tcW w:w="99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56" w:type="dxa"/>
            <w:vAlign w:val="bottom"/>
          </w:tcPr>
          <w:p w:rsidR="00241625" w:rsidRPr="009708F1" w:rsidRDefault="00241625" w:rsidP="001D0AC8">
            <w:pPr>
              <w:jc w:val="right"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1023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995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2.5 out of 7</w:t>
            </w:r>
          </w:p>
        </w:tc>
      </w:tr>
      <w:tr w:rsidR="00241625" w:rsidRPr="009708F1" w:rsidTr="001D0AC8">
        <w:tc>
          <w:tcPr>
            <w:tcW w:w="163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Frost, 2007</w:t>
            </w:r>
            <w:r w:rsidR="005F6BCB">
              <w:rPr>
                <w:color w:val="000000"/>
                <w:sz w:val="18"/>
                <w:szCs w:val="18"/>
              </w:rPr>
              <w:fldChar w:fldCharType="begin"/>
            </w:r>
            <w:r>
              <w:rPr>
                <w:color w:val="000000"/>
                <w:sz w:val="18"/>
                <w:szCs w:val="18"/>
              </w:rPr>
              <w:instrText xml:space="preserve"> ADDIN EN.CITE &lt;EndNote&gt;&lt;Cite ExcludeAuth="1" ExcludeYear="1"&gt;&lt;RecNum&gt;7260&lt;/RecNum&gt;&lt;DisplayText&gt;&lt;style face="superscript"&gt;157&lt;/style&gt;&lt;/DisplayText&gt;&lt;record&gt;&lt;rec-number&gt;7260&lt;/rec-number&gt;&lt;foreign-keys&gt;&lt;key app="EN" db-id="29ezzfre25wfzbe5ttpvt0wkar525pde22z5"&gt;7260&lt;/key&gt;&lt;/foreign-keys&gt;&lt;ref-type name="Journal Article"&gt;17&lt;/ref-type&gt;&lt;contributors&gt;&lt;authors&gt;&lt;author&gt;Frost, R. J. &lt;/author&gt;&lt;author&gt;Sonne, C. &lt;/author&gt;&lt;author&gt;Wehr, U. &lt;/author&gt;&lt;author&gt;Stempfle, H. U.&lt;/author&gt;&lt;/authors&gt;&lt;/contributors&gt;&lt;auth-address&gt;Medizinische Poliklinik, Klinikum Innenstadt, Department of Cardiology, Ludwig-Maximilians University, Munich, Germany.&lt;/auth-address&gt;&lt;titles&gt;&lt;title&gt;Effects of calcium supplementation on bone loss and fractures in congestive heart failure&lt;/title&gt;&lt;secondary-title&gt;Eur J Endocrinol&lt;/secondary-title&gt;&lt;/titles&gt;&lt;periodical&gt;&lt;full-title&gt;Eur J Endocrinol&lt;/full-title&gt;&lt;/periodical&gt;&lt;pages&gt;309-14&lt;/pages&gt;&lt;volume&gt;156&lt;/volume&gt;&lt;number&gt;3&lt;/number&gt;&lt;edition&gt;2007/02/27&lt;/edition&gt;&lt;keywords&gt;&lt;keyword&gt;Absorptiometry, Photon Adult Amino Acids/urine Bone Density/drug effects Bone Diseases, Metabolic/etiology/physiopathology/ prevention &amp;amp; control Calcium, Dietary/ administration &amp;amp; dosage/therapeutic use Creatinine/blood Fractures, Bone/etiology/physiopa&lt;/keyword&gt;&lt;/keywords&gt;&lt;dates&gt;&lt;year&gt;2007&lt;/year&gt;&lt;pub-dates&gt;&lt;date&gt;Mar&lt;/date&gt;&lt;/pub-dates&gt;&lt;/dates&gt;&lt;isbn&gt;0804-4643 (Print)&lt;/isbn&gt;&lt;accession-num&gt;17322490&lt;/accession-num&gt;&lt;urls&gt;&lt;/urls&gt;&lt;custom1&gt; PubMed. KQ1 - Calcium. &lt;/custom1&gt;&lt;custom2&gt;YL.&lt;/custom2&gt;&lt;custom6&gt;Include&lt;/custom6&gt;&lt;electronic-resource-num&gt;156/3/309 [pii] 10.1530/EJE-06-0614 [doi]&lt;/electronic-resource-num&gt;&lt;remote-database-provider&gt;Nlm&lt;/remote-database-provider&gt;&lt;language&gt;eng&lt;/language&gt;&lt;/record&gt;&lt;/Cite&gt;&lt;/EndNote&gt;</w:instrText>
            </w:r>
            <w:r w:rsidR="005F6BCB">
              <w:rPr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noProof/>
                <w:color w:val="000000"/>
                <w:sz w:val="18"/>
                <w:szCs w:val="18"/>
                <w:vertAlign w:val="superscript"/>
              </w:rPr>
              <w:t>157</w:t>
            </w:r>
            <w:r w:rsidR="005F6BCB">
              <w:rPr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72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calcium</w:t>
            </w:r>
          </w:p>
        </w:tc>
        <w:tc>
          <w:tcPr>
            <w:tcW w:w="100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172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n (men with CHF)</w:t>
            </w:r>
          </w:p>
        </w:tc>
        <w:tc>
          <w:tcPr>
            <w:tcW w:w="125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2227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y/n</w:t>
            </w:r>
          </w:p>
        </w:tc>
        <w:tc>
          <w:tcPr>
            <w:tcW w:w="99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56" w:type="dxa"/>
            <w:vAlign w:val="bottom"/>
          </w:tcPr>
          <w:p w:rsidR="00241625" w:rsidRPr="009708F1" w:rsidRDefault="00241625" w:rsidP="001D0AC8">
            <w:pPr>
              <w:jc w:val="right"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1023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995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2.5 out of 7</w:t>
            </w:r>
          </w:p>
        </w:tc>
      </w:tr>
      <w:tr w:rsidR="00241625" w:rsidRPr="009708F1" w:rsidTr="001D0AC8">
        <w:tc>
          <w:tcPr>
            <w:tcW w:w="163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Fujita, 2004</w:t>
            </w:r>
            <w:r w:rsidR="005F6BCB">
              <w:rPr>
                <w:color w:val="000000"/>
                <w:sz w:val="18"/>
                <w:szCs w:val="18"/>
              </w:rPr>
              <w:fldChar w:fldCharType="begin"/>
            </w:r>
            <w:r>
              <w:rPr>
                <w:color w:val="000000"/>
                <w:sz w:val="18"/>
                <w:szCs w:val="18"/>
              </w:rPr>
              <w:instrText xml:space="preserve"> ADDIN EN.CITE &lt;EndNote&gt;&lt;Cite ExcludeAuth="1" ExcludeYear="1"&gt;&lt;RecNum&gt;9462&lt;/RecNum&gt;&lt;DisplayText&gt;&lt;style face="superscript"&gt;158&lt;/style&gt;&lt;/DisplayText&gt;&lt;record&gt;&lt;rec-number&gt;9462&lt;/rec-number&gt;&lt;foreign-keys&gt;&lt;key app="EN" db-id="29ezzfre25wfzbe5ttpvt0wkar525pde22z5"&gt;9462&lt;/key&gt;&lt;/foreign-keys&gt;&lt;ref-type name="Journal Article"&gt;17&lt;/ref-type&gt;&lt;contributors&gt;&lt;authors&gt;&lt;author&gt;Fujita, T. &lt;/author&gt;&lt;author&gt;Ohue, M. &lt;/author&gt;&lt;author&gt;Fujii, Y. &lt;/author&gt;&lt;author&gt;Miyauchi, A. &lt;/author&gt;&lt;author&gt;Takagi, Y.&lt;/author&gt;&lt;/authors&gt;&lt;/contributors&gt;&lt;auth-address&gt;Katsuragi Hospital, 250 Makamicho, Kishiwada, Osaka, Japan. fujita@katsuragi-hosp.or.jp&lt;/auth-address&gt;&lt;titles&gt;&lt;title&gt;Reappraisal of Katsuragi calcium study, a prospective, double-blind, placebo-controlled study of the effect of active absorbable algal calcium (AAACa) on vertebral deformity and fracture&lt;/title&gt;&lt;secondary-title&gt;J Bone Miner Metab&lt;/secondary-title&gt;&lt;/titles&gt;&lt;periodical&gt;&lt;full-title&gt;J Bone Miner Metab&lt;/full-title&gt;&lt;/periodical&gt;&lt;pages&gt;32-8&lt;/pages&gt;&lt;volume&gt;22&lt;/volume&gt;&lt;number&gt;1&lt;/number&gt;&lt;edition&gt;2003/12/24&lt;/edition&gt;&lt;keywords&gt;&lt;keyword&gt;Absorptiometry, Photon Aged Aged, 80 and over Algae/chemistry Body Weight/drug effects Bone Density/drug effects Bone and Bones/drug effects Calcium/administration &amp;amp; dosage/pharmacology/*therapeutic use Calcium Carbonate/pharmacology/therapeutic use Dat&lt;/keyword&gt;&lt;/keywords&gt;&lt;dates&gt;&lt;year&gt;2004&lt;/year&gt;&lt;/dates&gt;&lt;isbn&gt;0914-8779 (Print) 0914-8779 (Linking)&lt;/isbn&gt;&lt;accession-num&gt;14691684&lt;/accession-num&gt;&lt;urls&gt;&lt;related-urls&gt;&lt;url&gt;http://www.ncbi.nlm.nih.gov/entrez/query.fcgi?cmd=Retrieve&amp;amp;db=PubMed&amp;amp;dopt=Citation&amp;amp;list_uids=14691684&lt;/url&gt;&lt;/related-urls&gt;&lt;/urls&gt;&lt;custom6&gt;Include&lt;/custom6&gt;&lt;electronic-resource-num&gt;10.1007/s00774-003-0445-3&lt;/electronic-resource-num&gt;&lt;language&gt;eng&lt;/language&gt;&lt;/record&gt;&lt;/Cite&gt;&lt;/EndNote&gt;</w:instrText>
            </w:r>
            <w:r w:rsidR="005F6BCB">
              <w:rPr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noProof/>
                <w:color w:val="000000"/>
                <w:sz w:val="18"/>
                <w:szCs w:val="18"/>
                <w:vertAlign w:val="superscript"/>
              </w:rPr>
              <w:t>158</w:t>
            </w:r>
            <w:r w:rsidR="005F6BCB">
              <w:rPr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72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calcium</w:t>
            </w:r>
          </w:p>
        </w:tc>
        <w:tc>
          <w:tcPr>
            <w:tcW w:w="100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172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n(hosp women)</w:t>
            </w:r>
          </w:p>
        </w:tc>
        <w:tc>
          <w:tcPr>
            <w:tcW w:w="125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2227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y/n</w:t>
            </w:r>
          </w:p>
        </w:tc>
        <w:tc>
          <w:tcPr>
            <w:tcW w:w="99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956" w:type="dxa"/>
            <w:vAlign w:val="bottom"/>
          </w:tcPr>
          <w:p w:rsidR="00241625" w:rsidRPr="009708F1" w:rsidRDefault="00241625" w:rsidP="001D0AC8">
            <w:pPr>
              <w:jc w:val="right"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1023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995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1.5 out of 7</w:t>
            </w:r>
          </w:p>
        </w:tc>
      </w:tr>
      <w:tr w:rsidR="00241625" w:rsidRPr="009708F1" w:rsidTr="001D0AC8">
        <w:tc>
          <w:tcPr>
            <w:tcW w:w="163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Ishani, 2008</w:t>
            </w:r>
            <w:r w:rsidR="005F6BCB">
              <w:rPr>
                <w:color w:val="000000"/>
                <w:sz w:val="18"/>
                <w:szCs w:val="18"/>
              </w:rPr>
              <w:fldChar w:fldCharType="begin"/>
            </w:r>
            <w:r>
              <w:rPr>
                <w:color w:val="000000"/>
                <w:sz w:val="18"/>
                <w:szCs w:val="18"/>
              </w:rPr>
              <w:instrText xml:space="preserve"> ADDIN EN.CITE &lt;EndNote&gt;&lt;Cite ExcludeAuth="1" ExcludeYear="1"&gt;&lt;RecNum&gt;7343&lt;/RecNum&gt;&lt;DisplayText&gt;&lt;style face="superscript"&gt;255&lt;/style&gt;&lt;/DisplayText&gt;&lt;record&gt;&lt;rec-number&gt;7343&lt;/rec-number&gt;&lt;foreign-keys&gt;&lt;key app="EN" db-id="29ezzfre25wfzbe5ttpvt0wkar525pde22z5"&gt;7343&lt;/key&gt;&lt;/foreign-keys&gt;&lt;ref-type name="Journal Article"&gt;17&lt;/ref-type&gt;&lt;contributors&gt;&lt;authors&gt;&lt;author&gt;Ishani, A. &lt;/author&gt;&lt;author&gt;Blackwell, T. &lt;/author&gt;&lt;author&gt;Jamal, S. A. &lt;/author&gt;&lt;author&gt;Cummings, S. R. &lt;/author&gt;&lt;author&gt;Ensrud, K. E.&lt;/author&gt;&lt;/authors&gt;&lt;/contributors&gt;&lt;auth-address&gt;Center for Chronic Disease Outcomes Research, Veterans Affairs Medical Center, and Department of Medicine and Division of Epidemiology and Community Health, University of Minnesota, Minneapolis, MN 55417, USA. isha0012@umn.edu&lt;/auth-address&gt;&lt;titles&gt;&lt;title&gt;The effect of raloxifene treatment in postmenopausal women with CKD&lt;/title&gt;&lt;secondary-title&gt;J Am Soc Nephrol&lt;/secondary-title&gt;&lt;/titles&gt;&lt;periodical&gt;&lt;full-title&gt;J Am Soc Nephrol&lt;/full-title&gt;&lt;/periodical&gt;&lt;pages&gt;1430-8&lt;/pages&gt;&lt;volume&gt;19&lt;/volume&gt;&lt;number&gt;7&lt;/number&gt;&lt;edition&gt;2008/04/11&lt;/edition&gt;&lt;keywords&gt;&lt;keyword&gt;Adult Aged Aged, 80 and over Bone Density/drug effects Bone Density Conservation Agents/adverse effects/ therapeutic use Female Humans Kidney Failure, Chronic/ complications Middle Aged Osteoporosis, Postmenopausal/complications/ drug therapy Raloxifene&lt;/keyword&gt;&lt;/keywords&gt;&lt;dates&gt;&lt;year&gt;2008&lt;/year&gt;&lt;pub-dates&gt;&lt;date&gt;Jul&lt;/date&gt;&lt;/pub-dates&gt;&lt;/dates&gt;&lt;isbn&gt;1533-3450 (Electronic)&lt;/isbn&gt;&lt;accession-num&gt;18400939&lt;/accession-num&gt;&lt;urls&gt;&lt;/urls&gt;&lt;custom1&gt; PubMed. KQ1 - SERMS. &lt;/custom1&gt;&lt;custom2&gt;AD.YL. &lt;/custom2&gt;&lt;custom6&gt;No relevant outcomes&lt;/custom6&gt;&lt;electronic-resource-num&gt;ASN.2007050555 [pii] 10.1681/ASN.2007050555 [doi]&lt;/electronic-resource-num&gt;&lt;remote-database-provider&gt;Nlm&lt;/remote-database-provider&gt;&lt;language&gt;eng&lt;/language&gt;&lt;/record&gt;&lt;/Cite&gt;&lt;/EndNote&gt;</w:instrText>
            </w:r>
            <w:r w:rsidR="005F6BCB">
              <w:rPr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noProof/>
                <w:color w:val="000000"/>
                <w:sz w:val="18"/>
                <w:szCs w:val="18"/>
                <w:vertAlign w:val="superscript"/>
              </w:rPr>
              <w:t>255</w:t>
            </w:r>
            <w:r w:rsidR="005F6BCB">
              <w:rPr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72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raloxifene</w:t>
            </w:r>
          </w:p>
        </w:tc>
        <w:tc>
          <w:tcPr>
            <w:tcW w:w="100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172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 (stratification by renal failure status)</w:t>
            </w:r>
          </w:p>
        </w:tc>
        <w:tc>
          <w:tcPr>
            <w:tcW w:w="125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2227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y/n</w:t>
            </w:r>
          </w:p>
        </w:tc>
        <w:tc>
          <w:tcPr>
            <w:tcW w:w="99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56" w:type="dxa"/>
            <w:vAlign w:val="bottom"/>
          </w:tcPr>
          <w:p w:rsidR="00241625" w:rsidRPr="009708F1" w:rsidRDefault="00241625" w:rsidP="001D0AC8">
            <w:pPr>
              <w:jc w:val="right"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7,492</w:t>
            </w:r>
          </w:p>
        </w:tc>
        <w:tc>
          <w:tcPr>
            <w:tcW w:w="1023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95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6.5 out of 7</w:t>
            </w:r>
          </w:p>
        </w:tc>
      </w:tr>
      <w:tr w:rsidR="00241625" w:rsidRPr="009708F1" w:rsidTr="001D0AC8">
        <w:tc>
          <w:tcPr>
            <w:tcW w:w="163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rFonts w:cs="Arial"/>
                <w:sz w:val="18"/>
                <w:szCs w:val="18"/>
              </w:rPr>
              <w:t>Korpelainen, 2010</w:t>
            </w:r>
            <w:r w:rsidR="005F6BCB">
              <w:rPr>
                <w:rFonts w:cs="Arial"/>
                <w:sz w:val="18"/>
                <w:szCs w:val="18"/>
              </w:rPr>
              <w:fldChar w:fldCharType="begin"/>
            </w:r>
            <w:r>
              <w:rPr>
                <w:rFonts w:cs="Arial"/>
                <w:sz w:val="18"/>
                <w:szCs w:val="18"/>
              </w:rPr>
              <w:instrText xml:space="preserve"> ADDIN EN.CITE &lt;EndNote&gt;&lt;Cite ExcludeAuth="1" ExcludeYear="1"&gt;&lt;RecNum&gt;9792&lt;/RecNum&gt;&lt;DisplayText&gt;&lt;style face="superscript"&gt;215&lt;/style&gt;&lt;/DisplayText&gt;&lt;record&gt;&lt;rec-number&gt;9792&lt;/rec-number&gt;&lt;foreign-keys&gt;&lt;key app="EN" db-id="29ezzfre25wfzbe5ttpvt0wkar525pde22z5"&gt;9792&lt;/key&gt;&lt;/foreign-keys&gt;&lt;ref-type name="Journal Article"&gt;17&lt;/ref-type&gt;&lt;contributors&gt;&lt;authors&gt;&lt;author&gt;Korpelainen, R. &lt;/author&gt;&lt;author&gt;Keinanen-Kiukaanniemi, S. &lt;/author&gt;&lt;author&gt;Nieminen, P. &lt;/author&gt;&lt;author&gt;Heikkinen, J. &lt;/author&gt;&lt;author&gt;Vaananen, K. &lt;/author&gt;&lt;author&gt;Korpelainen, J.&lt;/author&gt;&lt;/authors&gt;&lt;/contributors&gt;&lt;auth-address&gt;Department of Sports and Exercise Medicine, Oulu Deaconess Institute, 90100 Oulu, Finland. raija.korpelainen@odl.fi&lt;/auth-address&gt;&lt;titles&gt;&lt;title&gt;Long-term outcomes of exercise: follow-up of a randomized trial in older women with osteopenia&lt;/title&gt;&lt;secondary-title&gt;Arch Intern Med&lt;/secondary-title&gt;&lt;/titles&gt;&lt;periodical&gt;&lt;full-title&gt;Arch Intern Med&lt;/full-title&gt;&lt;/periodical&gt;&lt;pages&gt;1548-56&lt;/pages&gt;&lt;volume&gt;170&lt;/volume&gt;&lt;number&gt;17&lt;/number&gt;&lt;edition&gt;2010/09/30&lt;/edition&gt;&lt;keywords&gt;&lt;keyword&gt;Accidental Falls/prevention &amp;amp; control Aged Bone Density Bone Diseases, Metabolic/ rehabilitation Confidence Intervals Exercise Female Follow-Up Studies Fractures, Bone/prevention &amp;amp; control Hip Fractures/prevention &amp;amp; control Humans Incidence Life Style O&lt;/keyword&gt;&lt;/keywords&gt;&lt;dates&gt;&lt;year&gt;2010&lt;/year&gt;&lt;pub-dates&gt;&lt;date&gt;Sep 27&lt;/date&gt;&lt;/pub-dates&gt;&lt;/dates&gt;&lt;isbn&gt;1538-3679 (Electronic) 0003-9926 (Linking)&lt;/isbn&gt;&lt;accession-num&gt;20876406&lt;/accession-num&gt;&lt;urls&gt;&lt;/urls&gt;&lt;custom1&gt; PubMed. Testosterone and Exercise. 2010 update.&lt;/custom1&gt;&lt;custom4&gt;Carolyn&lt;/custom4&gt;&lt;custom6&gt;Include&lt;/custom6&gt;&lt;electronic-resource-num&gt;170/17/1548 [pii] 10.1001/archinternmed.2010.311 [doi]&lt;/electronic-resource-num&gt;&lt;remote-database-provider&gt;Nlm&lt;/remote-database-provider&gt;&lt;language&gt;eng&lt;/language&gt;&lt;/record&gt;&lt;/Cite&gt;&lt;/EndNote&gt;</w:instrText>
            </w:r>
            <w:r w:rsidR="005F6BCB">
              <w:rPr>
                <w:rFonts w:cs="Arial"/>
                <w:sz w:val="18"/>
                <w:szCs w:val="18"/>
              </w:rPr>
              <w:fldChar w:fldCharType="separate"/>
            </w:r>
            <w:r w:rsidRPr="00662F04">
              <w:rPr>
                <w:rFonts w:cs="Arial"/>
                <w:noProof/>
                <w:sz w:val="18"/>
                <w:szCs w:val="18"/>
                <w:vertAlign w:val="superscript"/>
              </w:rPr>
              <w:t>215</w:t>
            </w:r>
            <w:r w:rsidR="005F6BCB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72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Physical activity</w:t>
            </w:r>
          </w:p>
        </w:tc>
        <w:tc>
          <w:tcPr>
            <w:tcW w:w="100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172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 (population based)</w:t>
            </w:r>
          </w:p>
        </w:tc>
        <w:tc>
          <w:tcPr>
            <w:tcW w:w="125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2227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n/n</w:t>
            </w:r>
          </w:p>
        </w:tc>
        <w:tc>
          <w:tcPr>
            <w:tcW w:w="99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56" w:type="dxa"/>
            <w:vAlign w:val="bottom"/>
          </w:tcPr>
          <w:p w:rsidR="00241625" w:rsidRPr="009708F1" w:rsidRDefault="00241625" w:rsidP="001D0AC8">
            <w:pPr>
              <w:jc w:val="right"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160</w:t>
            </w:r>
          </w:p>
        </w:tc>
        <w:tc>
          <w:tcPr>
            <w:tcW w:w="1023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95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6 out of 7</w:t>
            </w:r>
          </w:p>
        </w:tc>
      </w:tr>
      <w:tr w:rsidR="00241625" w:rsidRPr="009708F1" w:rsidTr="001D0AC8">
        <w:tc>
          <w:tcPr>
            <w:tcW w:w="1639" w:type="dxa"/>
            <w:vAlign w:val="bottom"/>
          </w:tcPr>
          <w:p w:rsidR="00241625" w:rsidRPr="009708F1" w:rsidRDefault="00241625" w:rsidP="00241625">
            <w:pPr>
              <w:keepNext/>
              <w:keepLines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lastRenderedPageBreak/>
              <w:t>Larsen, 2004</w:t>
            </w:r>
            <w:r w:rsidR="005F6BCB">
              <w:rPr>
                <w:color w:val="000000"/>
                <w:sz w:val="18"/>
                <w:szCs w:val="18"/>
              </w:rPr>
              <w:fldChar w:fldCharType="begin"/>
            </w:r>
            <w:r>
              <w:rPr>
                <w:color w:val="000000"/>
                <w:sz w:val="18"/>
                <w:szCs w:val="18"/>
              </w:rPr>
              <w:instrText xml:space="preserve"> ADDIN EN.CITE &lt;EndNote&gt;&lt;Cite ExcludeAuth="1" ExcludeYear="1"&gt;&lt;RecNum&gt;9442&lt;/RecNum&gt;&lt;DisplayText&gt;&lt;style face="superscript"&gt;150&lt;/style&gt;&lt;/DisplayText&gt;&lt;record&gt;&lt;rec-number&gt;9442&lt;/rec-number&gt;&lt;foreign-keys&gt;&lt;key app="EN" db-id="29ezzfre25wfzbe5ttpvt0wkar525pde22z5"&gt;9442&lt;/key&gt;&lt;/foreign-keys&gt;&lt;ref-type name="Journal Article"&gt;17&lt;/ref-type&gt;&lt;contributors&gt;&lt;authors&gt;&lt;author&gt;Larsen, E. R. &lt;/author&gt;&lt;author&gt;Mosekilde, L. &lt;/author&gt;&lt;author&gt;Foldspang, A.&lt;/author&gt;&lt;/authors&gt;&lt;/contributors&gt;&lt;auth-address&gt;Department of Orthopaedic Surgery, Randers Central Hospital, Randers, Denmark. erl@inet.uni2.dk&lt;/auth-address&gt;&lt;titles&gt;&lt;title&gt;Vitamin D and calcium supplementation prevents osteoporotic fractures in elderly community dwelling residents: a pragmatic population-based 3-year intervention study&lt;/title&gt;&lt;secondary-title&gt;J Bone Miner Res&lt;/secondary-title&gt;&lt;/titles&gt;&lt;periodical&gt;&lt;full-title&gt;J Bone Miner Res&lt;/full-title&gt;&lt;/periodical&gt;&lt;pages&gt;370-8&lt;/pages&gt;&lt;volume&gt;19&lt;/volume&gt;&lt;number&gt;3&lt;/number&gt;&lt;edition&gt;2004/03/26&lt;/edition&gt;&lt;keywords&gt;&lt;keyword&gt;Aged Calcium, Dietary/*therapeutic use Community Health Services Denmark Female Fractures, Bone/*prevention &amp;amp; control Hospitalization Humans Male Mortality Osteoporosis/*prevention &amp;amp; control Population Program Evaluation Time Factors Treatment Outcome V&lt;/keyword&gt;&lt;/keywords&gt;&lt;dates&gt;&lt;year&gt;2004&lt;/year&gt;&lt;pub-dates&gt;&lt;date&gt;Mar&lt;/date&gt;&lt;/pub-dates&gt;&lt;/dates&gt;&lt;isbn&gt;0884-0431 (Print) 0884-0431 (Linking)&lt;/isbn&gt;&lt;accession-num&gt;15040824&lt;/accession-num&gt;&lt;urls&gt;&lt;related-urls&gt;&lt;url&gt;http://www.ncbi.nlm.nih.gov/entrez/query.fcgi?cmd=Retrieve&amp;amp;db=PubMed&amp;amp;dopt=Citation&amp;amp;list_uids=15040824&lt;/url&gt;&lt;/related-urls&gt;&lt;/urls&gt;&lt;custom6&gt;Include&lt;/custom6&gt;&lt;electronic-resource-num&gt;10.1359/JBMR.0301240&lt;/electronic-resource-num&gt;&lt;language&gt;eng&lt;/language&gt;&lt;/record&gt;&lt;/Cite&gt;&lt;/EndNote&gt;</w:instrText>
            </w:r>
            <w:r w:rsidR="005F6BCB">
              <w:rPr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noProof/>
                <w:color w:val="000000"/>
                <w:sz w:val="18"/>
                <w:szCs w:val="18"/>
                <w:vertAlign w:val="superscript"/>
              </w:rPr>
              <w:t>150</w:t>
            </w:r>
            <w:r w:rsidR="005F6BCB">
              <w:rPr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720" w:type="dxa"/>
            <w:vAlign w:val="bottom"/>
          </w:tcPr>
          <w:p w:rsidR="00241625" w:rsidRPr="009708F1" w:rsidRDefault="00241625" w:rsidP="00241625">
            <w:pPr>
              <w:keepNext/>
              <w:keepLines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Calcium and Vitamin D</w:t>
            </w:r>
          </w:p>
        </w:tc>
        <w:tc>
          <w:tcPr>
            <w:tcW w:w="1000" w:type="dxa"/>
            <w:vAlign w:val="bottom"/>
          </w:tcPr>
          <w:p w:rsidR="00241625" w:rsidRPr="009708F1" w:rsidRDefault="00241625" w:rsidP="00241625">
            <w:pPr>
              <w:keepNext/>
              <w:keepLines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1726" w:type="dxa"/>
            <w:vAlign w:val="bottom"/>
          </w:tcPr>
          <w:p w:rsidR="00241625" w:rsidRPr="009708F1" w:rsidRDefault="00241625" w:rsidP="00241625">
            <w:pPr>
              <w:keepNext/>
              <w:keepLines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1259" w:type="dxa"/>
            <w:vAlign w:val="bottom"/>
          </w:tcPr>
          <w:p w:rsidR="00241625" w:rsidRPr="009708F1" w:rsidRDefault="00241625" w:rsidP="00241625">
            <w:pPr>
              <w:keepNext/>
              <w:keepLines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2227" w:type="dxa"/>
            <w:vAlign w:val="bottom"/>
          </w:tcPr>
          <w:p w:rsidR="00241625" w:rsidRPr="009708F1" w:rsidRDefault="00241625" w:rsidP="00241625">
            <w:pPr>
              <w:keepNext/>
              <w:keepLines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y/n</w:t>
            </w:r>
          </w:p>
        </w:tc>
        <w:tc>
          <w:tcPr>
            <w:tcW w:w="996" w:type="dxa"/>
            <w:vAlign w:val="bottom"/>
          </w:tcPr>
          <w:p w:rsidR="00241625" w:rsidRPr="009708F1" w:rsidRDefault="00241625" w:rsidP="00241625">
            <w:pPr>
              <w:keepNext/>
              <w:keepLines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956" w:type="dxa"/>
            <w:vAlign w:val="bottom"/>
          </w:tcPr>
          <w:p w:rsidR="00241625" w:rsidRPr="009708F1" w:rsidRDefault="00241625" w:rsidP="00241625">
            <w:pPr>
              <w:keepNext/>
              <w:keepLines/>
              <w:jc w:val="right"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9,605</w:t>
            </w:r>
          </w:p>
        </w:tc>
        <w:tc>
          <w:tcPr>
            <w:tcW w:w="1023" w:type="dxa"/>
            <w:vAlign w:val="bottom"/>
          </w:tcPr>
          <w:p w:rsidR="00241625" w:rsidRPr="009708F1" w:rsidRDefault="00241625" w:rsidP="00241625">
            <w:pPr>
              <w:keepNext/>
              <w:keepLines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95" w:type="dxa"/>
            <w:vAlign w:val="bottom"/>
          </w:tcPr>
          <w:p w:rsidR="00241625" w:rsidRPr="009708F1" w:rsidRDefault="00241625" w:rsidP="00241625">
            <w:pPr>
              <w:keepNext/>
              <w:keepLines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5.5 out of 7</w:t>
            </w:r>
          </w:p>
        </w:tc>
      </w:tr>
      <w:tr w:rsidR="00241625" w:rsidRPr="009708F1" w:rsidTr="001D0AC8">
        <w:tc>
          <w:tcPr>
            <w:tcW w:w="1639" w:type="dxa"/>
            <w:vAlign w:val="bottom"/>
          </w:tcPr>
          <w:p w:rsidR="00241625" w:rsidRPr="009708F1" w:rsidRDefault="00241625" w:rsidP="00241625">
            <w:pPr>
              <w:keepNext/>
              <w:keepLines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Law, 2006</w:t>
            </w:r>
            <w:r w:rsidR="005F6BCB">
              <w:rPr>
                <w:color w:val="000000"/>
                <w:sz w:val="18"/>
                <w:szCs w:val="18"/>
              </w:rPr>
              <w:fldChar w:fldCharType="begin"/>
            </w:r>
            <w:r>
              <w:rPr>
                <w:color w:val="000000"/>
                <w:sz w:val="18"/>
                <w:szCs w:val="18"/>
              </w:rPr>
              <w:instrText xml:space="preserve"> ADDIN EN.CITE &lt;EndNote&gt;&lt;Cite ExcludeAuth="1" ExcludeYear="1"&gt;&lt;RecNum&gt;7337&lt;/RecNum&gt;&lt;DisplayText&gt;&lt;style face="superscript"&gt;163&lt;/style&gt;&lt;/DisplayText&gt;&lt;record&gt;&lt;rec-number&gt;7337&lt;/rec-number&gt;&lt;foreign-keys&gt;&lt;key app="EN" db-id="29ezzfre25wfzbe5ttpvt0wkar525pde22z5"&gt;7337&lt;/key&gt;&lt;/foreign-keys&gt;&lt;ref-type name="Journal Article"&gt;17&lt;/ref-type&gt;&lt;contributors&gt;&lt;authors&gt;&lt;author&gt;Law, M. &lt;/author&gt;&lt;author&gt;Withers, H. &lt;/author&gt;&lt;author&gt;Morris, J. &lt;/author&gt;&lt;author&gt;Anderson, F.&lt;/author&gt;&lt;/authors&gt;&lt;/contributors&gt;&lt;auth-address&gt;Centre for Environmental and Preventive Medicine, Wolfson Institute of Preventive Medicine, Barts and The London, Queen Mary&amp;apos;s School of Medicine and Dentistry, Charterhouse Square, London EC1M 6BQ, UK. m.r.law@qmul.ac.uk&lt;/auth-address&gt;&lt;titles&gt;&lt;title&gt;Vitamin D supplementation and the prevention of fractures and falls: results of a randomised trial in elderly people in residential accommodation&lt;/title&gt;&lt;secondary-title&gt;Age Ageing&lt;/secondary-title&gt;&lt;/titles&gt;&lt;periodical&gt;&lt;full-title&gt;Age Ageing&lt;/full-title&gt;&lt;/periodical&gt;&lt;pages&gt;482-6&lt;/pages&gt;&lt;volume&gt;35&lt;/volume&gt;&lt;number&gt;5&lt;/number&gt;&lt;edition&gt;2006/04/28&lt;/edition&gt;&lt;keywords&gt;&lt;keyword&gt;Accidental Falls/ prevention &amp;amp; control Aged, 80 and over Bone Density Conservation Agents/pharmacokinetics/ therapeutic use Calcium/blood Ergocalciferols/pharmacokinetics/ therapeutic use Female Fractures, Bone/ prevention &amp;amp; control Homes for the Aged H&lt;/keyword&gt;&lt;/keywords&gt;&lt;dates&gt;&lt;year&gt;2006&lt;/year&gt;&lt;pub-dates&gt;&lt;date&gt;Sep&lt;/date&gt;&lt;/pub-dates&gt;&lt;/dates&gt;&lt;isbn&gt;0002-0729 (Print)&lt;/isbn&gt;&lt;accession-num&gt;16641143&lt;/accession-num&gt;&lt;urls&gt;&lt;/urls&gt;&lt;custom1&gt; PubMed. KQ1 - PTH. &lt;/custom1&gt;&lt;custom2&gt;AD.YL. &lt;/custom2&gt;&lt;custom6&gt;Include&lt;/custom6&gt;&lt;electronic-resource-num&gt;afj080 [pii] 10.1093/ageing/afj080 [doi]&lt;/electronic-resource-num&gt;&lt;remote-database-provider&gt;Nlm&lt;/remote-database-provider&gt;&lt;language&gt;eng&lt;/language&gt;&lt;/record&gt;&lt;/Cite&gt;&lt;/EndNote&gt;</w:instrText>
            </w:r>
            <w:r w:rsidR="005F6BCB">
              <w:rPr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noProof/>
                <w:color w:val="000000"/>
                <w:sz w:val="18"/>
                <w:szCs w:val="18"/>
                <w:vertAlign w:val="superscript"/>
              </w:rPr>
              <w:t>163</w:t>
            </w:r>
            <w:r w:rsidR="005F6BCB">
              <w:rPr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720" w:type="dxa"/>
            <w:vAlign w:val="bottom"/>
          </w:tcPr>
          <w:p w:rsidR="00241625" w:rsidRPr="009708F1" w:rsidRDefault="00241625" w:rsidP="00241625">
            <w:pPr>
              <w:keepNext/>
              <w:keepLines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Vitamin D</w:t>
            </w:r>
          </w:p>
        </w:tc>
        <w:tc>
          <w:tcPr>
            <w:tcW w:w="1000" w:type="dxa"/>
            <w:vAlign w:val="bottom"/>
          </w:tcPr>
          <w:p w:rsidR="00241625" w:rsidRPr="009708F1" w:rsidRDefault="00241625" w:rsidP="00241625">
            <w:pPr>
              <w:keepNext/>
              <w:keepLines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1726" w:type="dxa"/>
            <w:vAlign w:val="bottom"/>
          </w:tcPr>
          <w:p w:rsidR="00241625" w:rsidRPr="009708F1" w:rsidRDefault="00241625" w:rsidP="00241625">
            <w:pPr>
              <w:keepNext/>
              <w:keepLines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1259" w:type="dxa"/>
            <w:vAlign w:val="bottom"/>
          </w:tcPr>
          <w:p w:rsidR="00241625" w:rsidRPr="009708F1" w:rsidRDefault="00241625" w:rsidP="00241625">
            <w:pPr>
              <w:keepNext/>
              <w:keepLines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2227" w:type="dxa"/>
            <w:vAlign w:val="bottom"/>
          </w:tcPr>
          <w:p w:rsidR="00241625" w:rsidRPr="009708F1" w:rsidRDefault="00241625" w:rsidP="00241625">
            <w:pPr>
              <w:keepNext/>
              <w:keepLines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y/n</w:t>
            </w:r>
          </w:p>
        </w:tc>
        <w:tc>
          <w:tcPr>
            <w:tcW w:w="996" w:type="dxa"/>
            <w:vAlign w:val="bottom"/>
          </w:tcPr>
          <w:p w:rsidR="00241625" w:rsidRPr="009708F1" w:rsidRDefault="00241625" w:rsidP="00241625">
            <w:pPr>
              <w:keepNext/>
              <w:keepLines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956" w:type="dxa"/>
            <w:vAlign w:val="bottom"/>
          </w:tcPr>
          <w:p w:rsidR="00241625" w:rsidRPr="009708F1" w:rsidRDefault="00241625" w:rsidP="00241625">
            <w:pPr>
              <w:keepNext/>
              <w:keepLines/>
              <w:jc w:val="right"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3,717</w:t>
            </w:r>
          </w:p>
        </w:tc>
        <w:tc>
          <w:tcPr>
            <w:tcW w:w="1023" w:type="dxa"/>
            <w:vAlign w:val="bottom"/>
          </w:tcPr>
          <w:p w:rsidR="00241625" w:rsidRPr="009708F1" w:rsidRDefault="00241625" w:rsidP="00241625">
            <w:pPr>
              <w:keepNext/>
              <w:keepLines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95" w:type="dxa"/>
            <w:vAlign w:val="bottom"/>
          </w:tcPr>
          <w:p w:rsidR="00241625" w:rsidRPr="009708F1" w:rsidRDefault="00241625" w:rsidP="00241625">
            <w:pPr>
              <w:keepNext/>
              <w:keepLines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5.5 out of 7</w:t>
            </w:r>
          </w:p>
        </w:tc>
      </w:tr>
      <w:tr w:rsidR="00241625" w:rsidRPr="009708F1" w:rsidTr="001D0AC8">
        <w:tc>
          <w:tcPr>
            <w:tcW w:w="163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Lyles, 2007</w:t>
            </w:r>
            <w:r w:rsidR="005F6BCB">
              <w:rPr>
                <w:color w:val="000000"/>
                <w:sz w:val="18"/>
                <w:szCs w:val="18"/>
              </w:rPr>
              <w:fldChar w:fldCharType="begin">
                <w:fldData xml:space="preserve">PEVuZE5vdGU+PENpdGUgRXhjbHVkZUF1dGg9IjEiIEV4Y2x1ZGVZZWFyPSIxIj48UmVjTnVtPjcw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</w:fldData>
              </w:fldChar>
            </w:r>
            <w:r>
              <w:rPr>
                <w:color w:val="000000"/>
                <w:sz w:val="18"/>
                <w:szCs w:val="18"/>
              </w:rPr>
              <w:instrText xml:space="preserve"> ADDIN EN.CITE </w:instrText>
            </w:r>
            <w:r w:rsidR="005F6BCB">
              <w:rPr>
                <w:color w:val="000000"/>
                <w:sz w:val="18"/>
                <w:szCs w:val="18"/>
              </w:rPr>
              <w:fldChar w:fldCharType="begin">
                <w:fldData xml:space="preserve">PEVuZE5vdGU+PENpdGUgRXhjbHVkZUF1dGg9IjEiIEV4Y2x1ZGVZZWFyPSIxIj48UmVjTnVtPjcw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</w:fldData>
              </w:fldChar>
            </w:r>
            <w:r>
              <w:rPr>
                <w:color w:val="000000"/>
                <w:sz w:val="18"/>
                <w:szCs w:val="18"/>
              </w:rPr>
              <w:instrText xml:space="preserve"> ADDIN EN.CITE.DATA </w:instrText>
            </w:r>
            <w:r w:rsidR="005F6BCB">
              <w:rPr>
                <w:color w:val="000000"/>
                <w:sz w:val="18"/>
                <w:szCs w:val="18"/>
              </w:rPr>
            </w:r>
            <w:r w:rsidR="005F6BCB">
              <w:rPr>
                <w:color w:val="000000"/>
                <w:sz w:val="18"/>
                <w:szCs w:val="18"/>
              </w:rPr>
              <w:fldChar w:fldCharType="end"/>
            </w:r>
            <w:r w:rsidR="005F6BCB">
              <w:rPr>
                <w:color w:val="000000"/>
                <w:sz w:val="18"/>
                <w:szCs w:val="18"/>
              </w:rPr>
            </w:r>
            <w:r w:rsidR="005F6BCB">
              <w:rPr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noProof/>
                <w:color w:val="000000"/>
                <w:sz w:val="18"/>
                <w:szCs w:val="18"/>
                <w:vertAlign w:val="superscript"/>
              </w:rPr>
              <w:t>113</w:t>
            </w:r>
            <w:r w:rsidR="005F6BCB">
              <w:rPr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72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zoledronic acid</w:t>
            </w:r>
          </w:p>
        </w:tc>
        <w:tc>
          <w:tcPr>
            <w:tcW w:w="100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172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 (prior hip fx)</w:t>
            </w:r>
          </w:p>
        </w:tc>
        <w:tc>
          <w:tcPr>
            <w:tcW w:w="125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2227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y/nr (not relevant, once-yearly)</w:t>
            </w:r>
          </w:p>
        </w:tc>
        <w:tc>
          <w:tcPr>
            <w:tcW w:w="99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56" w:type="dxa"/>
            <w:vAlign w:val="bottom"/>
          </w:tcPr>
          <w:p w:rsidR="00241625" w:rsidRPr="009708F1" w:rsidRDefault="00241625" w:rsidP="001D0AC8">
            <w:pPr>
              <w:jc w:val="right"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2,127</w:t>
            </w:r>
          </w:p>
        </w:tc>
        <w:tc>
          <w:tcPr>
            <w:tcW w:w="1023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95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7 out of 7</w:t>
            </w:r>
          </w:p>
        </w:tc>
      </w:tr>
      <w:tr w:rsidR="00241625" w:rsidRPr="009708F1" w:rsidTr="001D0AC8">
        <w:tc>
          <w:tcPr>
            <w:tcW w:w="163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smartTag w:uri="urn:schemas-microsoft-com:office:smarttags" w:element="place">
              <w:smartTag w:uri="urn:schemas-microsoft-com:office:smarttags" w:element="City">
                <w:r w:rsidRPr="009708F1">
                  <w:rPr>
                    <w:color w:val="000000"/>
                    <w:sz w:val="18"/>
                    <w:szCs w:val="18"/>
                  </w:rPr>
                  <w:t>Lyons</w:t>
                </w:r>
              </w:smartTag>
            </w:smartTag>
            <w:r w:rsidRPr="009708F1">
              <w:rPr>
                <w:color w:val="000000"/>
                <w:sz w:val="18"/>
                <w:szCs w:val="18"/>
              </w:rPr>
              <w:t>. 2007</w:t>
            </w:r>
            <w:r w:rsidR="005F6BCB">
              <w:rPr>
                <w:color w:val="000000"/>
                <w:sz w:val="18"/>
                <w:szCs w:val="18"/>
              </w:rPr>
              <w:fldChar w:fldCharType="begin"/>
            </w:r>
            <w:r>
              <w:rPr>
                <w:color w:val="000000"/>
                <w:sz w:val="18"/>
                <w:szCs w:val="18"/>
              </w:rPr>
              <w:instrText xml:space="preserve"> ADDIN EN.CITE &lt;EndNote&gt;&lt;Cite ExcludeAuth="1" ExcludeYear="1"&gt;&lt;RecNum&gt;7021&lt;/RecNum&gt;&lt;DisplayText&gt;&lt;style face="superscript"&gt;203&lt;/style&gt;&lt;/DisplayText&gt;&lt;record&gt;&lt;rec-number&gt;7021&lt;/rec-number&gt;&lt;foreign-keys&gt;&lt;key app="EN" db-id="29ezzfre25wfzbe5ttpvt0wkar525pde22z5"&gt;7021&lt;/key&gt;&lt;/foreign-keys&gt;&lt;ref-type name="Journal Article"&gt;17&lt;/ref-type&gt;&lt;contributors&gt;&lt;authors&gt;&lt;author&gt;Lyons, R. A. &lt;/author&gt;&lt;author&gt;Johansen, A. &lt;/author&gt;&lt;author&gt;Brophy, S. &lt;/author&gt;&lt;author&gt;Newcombe, R. G. &lt;/author&gt;&lt;author&gt;Phillips, C. J. &lt;/author&gt;&lt;author&gt;Lervy, B. &lt;/author&gt;&lt;author&gt;Evans, R. &lt;/author&gt;&lt;author&gt;Wareham, K. &lt;/author&gt;&lt;author&gt;Stone, M. D.&lt;/author&gt;&lt;/authors&gt;&lt;/contributors&gt;&lt;auth-address&gt;School of Medicine, University of Wales Swansea, Singleton Park, SA2 8PP, Swansea, UK. r.a.lyons@swansea.ac.uk&lt;/auth-address&gt;&lt;titles&gt;&lt;title&gt;Preventing fractures among older people living in institutional care: a pragmatic randomised double blind placebo controlled trial of vitamin D supplementation&lt;/title&gt;&lt;secondary-title&gt;Osteoporos Int&lt;/secondary-title&gt;&lt;/titles&gt;&lt;periodical&gt;&lt;full-title&gt;Osteoporos Int&lt;/full-title&gt;&lt;/periodical&gt;&lt;pages&gt;811-8&lt;/pages&gt;&lt;volume&gt;18&lt;/volume&gt;&lt;number&gt;6&lt;/number&gt;&lt;edition&gt;2007/05/03&lt;/edition&gt;&lt;keywords&gt;&lt;keyword&gt;Aged Bone Density Conservation Agents/administration &amp;amp; dosage/*therapeutic use Double-Blind Method Drug Administration Schedule Ergocalciferols/administration &amp;amp; dosage/*therapeutic use Female Fractures, Bone/etiology/*prevention &amp;amp; control Homes for the &lt;/keyword&gt;&lt;/keywords&gt;&lt;dates&gt;&lt;year&gt;2007&lt;/year&gt;&lt;pub-dates&gt;&lt;date&gt;Jun&lt;/date&gt;&lt;/pub-dates&gt;&lt;/dates&gt;&lt;isbn&gt;0937-941X (Print)&lt;/isbn&gt;&lt;accession-num&gt;17473911&lt;/accession-num&gt;&lt;urls&gt;&lt;related-urls&gt;&lt;url&gt;http://www.ncbi.nlm.nih.gov/entrez/query.fcgi?cmd=Retrieve&amp;amp;db=PubMed&amp;amp;dopt=Citation&amp;amp;list_uids=17473911&lt;/url&gt;&lt;/related-urls&gt;&lt;/urls&gt;&lt;custom5&gt;From &amp;apos;09 CER update report&lt;/custom5&gt;&lt;custom6&gt;Include&lt;/custom6&gt;&lt;electronic-resource-num&gt;10.1007/s00198-006-0309-5&lt;/electronic-resource-num&gt;&lt;research-notes&gt;CER 12&lt;/research-notes&gt;&lt;language&gt;eng&lt;/language&gt;&lt;/record&gt;&lt;/Cite&gt;&lt;/EndNote&gt;</w:instrText>
            </w:r>
            <w:r w:rsidR="005F6BCB">
              <w:rPr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noProof/>
                <w:color w:val="000000"/>
                <w:sz w:val="18"/>
                <w:szCs w:val="18"/>
                <w:vertAlign w:val="superscript"/>
              </w:rPr>
              <w:t>203</w:t>
            </w:r>
            <w:r w:rsidR="005F6BCB">
              <w:rPr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72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Vitamin D</w:t>
            </w:r>
          </w:p>
        </w:tc>
        <w:tc>
          <w:tcPr>
            <w:tcW w:w="100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172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125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2227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y/y</w:t>
            </w:r>
          </w:p>
        </w:tc>
        <w:tc>
          <w:tcPr>
            <w:tcW w:w="99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y(mort only)</w:t>
            </w:r>
          </w:p>
        </w:tc>
        <w:tc>
          <w:tcPr>
            <w:tcW w:w="956" w:type="dxa"/>
            <w:vAlign w:val="bottom"/>
          </w:tcPr>
          <w:p w:rsidR="00241625" w:rsidRPr="009708F1" w:rsidRDefault="00241625" w:rsidP="001D0AC8">
            <w:pPr>
              <w:jc w:val="right"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3,440</w:t>
            </w:r>
          </w:p>
        </w:tc>
        <w:tc>
          <w:tcPr>
            <w:tcW w:w="1023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95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7 out of 7</w:t>
            </w:r>
          </w:p>
        </w:tc>
      </w:tr>
      <w:tr w:rsidR="00241625" w:rsidRPr="009708F1" w:rsidTr="001D0AC8">
        <w:tc>
          <w:tcPr>
            <w:tcW w:w="163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Okada, 2008</w:t>
            </w:r>
            <w:r w:rsidR="005F6BCB">
              <w:rPr>
                <w:color w:val="000000"/>
                <w:sz w:val="18"/>
                <w:szCs w:val="18"/>
              </w:rPr>
              <w:fldChar w:fldCharType="begin"/>
            </w:r>
            <w:r>
              <w:rPr>
                <w:color w:val="000000"/>
                <w:sz w:val="18"/>
                <w:szCs w:val="18"/>
              </w:rPr>
              <w:instrText xml:space="preserve"> ADDIN EN.CITE &lt;EndNote&gt;&lt;Cite ExcludeAuth="1" ExcludeYear="1"&gt;&lt;RecNum&gt;8150&lt;/RecNum&gt;&lt;DisplayText&gt;&lt;style face="superscript"&gt;225&lt;/style&gt;&lt;/DisplayText&gt;&lt;record&gt;&lt;rec-number&gt;8150&lt;/rec-number&gt;&lt;foreign-keys&gt;&lt;key app="EN" db-id="29ezzfre25wfzbe5ttpvt0wkar525pde22z5"&gt;8150&lt;/key&gt;&lt;/foreign-keys&gt;&lt;ref-type name="Journal Article"&gt;17&lt;/ref-type&gt;&lt;contributors&gt;&lt;authors&gt;&lt;author&gt;Okada, Y. &lt;/author&gt;&lt;author&gt;Nawata, M.&lt;/author&gt;&lt;author&gt;Nakayamada, S. &lt;/author&gt;&lt;author&gt;Saito, K. &lt;/author&gt;&lt;author&gt;Tanaka, Y.&lt;/author&gt;&lt;/authors&gt;&lt;/contributors&gt;&lt;auth-address&gt;First Department of Internal Medicine, University of Occupational and Environmental Health, Kitakyushu, Japan.&lt;/auth-address&gt;&lt;titles&gt;&lt;title&gt;Alendronate protects premenopausal women from bone loss and fracture associated with high-dose glucocorticoid therapy&lt;/title&gt;&lt;secondary-title&gt;J Rheumatol&lt;/secondary-title&gt;&lt;/titles&gt;&lt;periodical&gt;&lt;full-title&gt;J Rheumatol&lt;/full-title&gt;&lt;/periodical&gt;&lt;pages&gt;2249-54&lt;/pages&gt;&lt;volume&gt;35&lt;/volume&gt;&lt;number&gt;11&lt;/number&gt;&lt;keywords&gt;&lt;keyword&gt;Journal Article Randomized Controlled Trial Adolescent Adult Alendronate/ administration &amp;amp; dosage Autoimmune Diseases/ drug therapy Bone Density/drug effects Bone Density Conservation Agents/ administration &amp;amp; dosage Drug Therapy, Combination Female Frac&lt;/keyword&gt;&lt;/keywords&gt;&lt;dates&gt;&lt;year&gt;2008&lt;/year&gt;&lt;pub-dates&gt;&lt;date&gt;Nov&lt;/date&gt;&lt;/pub-dates&gt;&lt;/dates&gt;&lt;isbn&gt;0315-162X (Print)&lt;/isbn&gt;&lt;accession-num&gt;19031508&lt;/accession-num&gt;&lt;urls&gt;&lt;/urls&gt;&lt;custom1&gt; PubMed. Specific bisphosphonates. &lt;/custom1&gt;&lt;custom2&gt;YW.CC.AD.&lt;/custom2&gt;&lt;custom6&gt;Include&lt;/custom6&gt;&lt;language&gt;eng&lt;/language&gt;&lt;/record&gt;&lt;/Cite&gt;&lt;/EndNote&gt;</w:instrText>
            </w:r>
            <w:r w:rsidR="005F6BCB">
              <w:rPr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noProof/>
                <w:color w:val="000000"/>
                <w:sz w:val="18"/>
                <w:szCs w:val="18"/>
                <w:vertAlign w:val="superscript"/>
              </w:rPr>
              <w:t>225</w:t>
            </w:r>
            <w:r w:rsidR="005F6BCB">
              <w:rPr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72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alendronate and vitamin D</w:t>
            </w:r>
          </w:p>
        </w:tc>
        <w:tc>
          <w:tcPr>
            <w:tcW w:w="100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172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n (GC-users w/autoimmune diseases)</w:t>
            </w:r>
          </w:p>
        </w:tc>
        <w:tc>
          <w:tcPr>
            <w:tcW w:w="125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2227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y/n</w:t>
            </w:r>
          </w:p>
        </w:tc>
        <w:tc>
          <w:tcPr>
            <w:tcW w:w="99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56" w:type="dxa"/>
            <w:vAlign w:val="bottom"/>
          </w:tcPr>
          <w:p w:rsidR="00241625" w:rsidRPr="009708F1" w:rsidRDefault="00241625" w:rsidP="001D0AC8">
            <w:pPr>
              <w:jc w:val="right"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47</w:t>
            </w:r>
          </w:p>
        </w:tc>
        <w:tc>
          <w:tcPr>
            <w:tcW w:w="1023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995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4.5 out of 7</w:t>
            </w:r>
          </w:p>
        </w:tc>
      </w:tr>
      <w:tr w:rsidR="00241625" w:rsidRPr="009708F1" w:rsidTr="001D0AC8">
        <w:tc>
          <w:tcPr>
            <w:tcW w:w="163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Palomba, 2008</w:t>
            </w:r>
            <w:r w:rsidR="005F6BCB">
              <w:rPr>
                <w:color w:val="000000"/>
                <w:sz w:val="18"/>
                <w:szCs w:val="18"/>
              </w:rPr>
              <w:fldChar w:fldCharType="begin"/>
            </w:r>
            <w:r>
              <w:rPr>
                <w:color w:val="000000"/>
                <w:sz w:val="18"/>
                <w:szCs w:val="18"/>
              </w:rPr>
              <w:instrText xml:space="preserve"> ADDIN EN.CITE &lt;EndNote&gt;&lt;Cite ExcludeAuth="1" ExcludeYear="1"&gt;&lt;RecNum&gt;8170&lt;/RecNum&gt;&lt;DisplayText&gt;&lt;style face="superscript"&gt;75&lt;/style&gt;&lt;/DisplayText&gt;&lt;record&gt;&lt;rec-number&gt;8170&lt;/rec-number&gt;&lt;foreign-keys&gt;&lt;key app="EN" db-id="29ezzfre25wfzbe5ttpvt0wkar525pde22z5"&gt;8170&lt;/key&gt;&lt;/foreign-keys&gt;&lt;ref-type name="Journal Article"&gt;17&lt;/ref-type&gt;&lt;contributors&gt;&lt;authors&gt;&lt;author&gt;Palomba, S. &lt;/author&gt;&lt;author&gt;Manguso, F. &lt;/author&gt;&lt;author&gt;Orio, F., Jr. &lt;/author&gt;&lt;author&gt;Russo, T. &lt;/author&gt;&lt;author&gt;Oppedisano, R. &lt;/author&gt;&lt;author&gt;Sacchinelli, A. &lt;/author&gt;&lt;author&gt;Falbo, A. &lt;/author&gt;&lt;author&gt;Tolino, A. &lt;/author&gt;&lt;author&gt;Zullo, F. &lt;/author&gt;&lt;author&gt;Mastrantonio, P.&lt;/author&gt;&lt;/authors&gt;&lt;/contributors&gt;&lt;auth-address&gt;Department of Obstetrics and Gynecology, University &amp;quot;Magna Graecia&amp;quot; of Catanzaro, Catanzaro, Italy. stefanopalomba@tin.it&lt;/auth-address&gt;&lt;titles&gt;&lt;title&gt;Effectiveness of risedronate in osteoporotic postmenopausal women with inflammatory bowel disease: a prospective, parallel, open-label, two-year extension study&lt;/title&gt;&lt;secondary-title&gt;Menopause&lt;/secondary-title&gt;&lt;/titles&gt;&lt;periodical&gt;&lt;full-title&gt;Menopause&lt;/full-title&gt;&lt;/periodical&gt;&lt;pages&gt;730-6&lt;/pages&gt;&lt;volume&gt;15&lt;/volume&gt;&lt;number&gt;4 Pt 1&lt;/number&gt;&lt;keywords&gt;&lt;keyword&gt;Journal Article Randomized Controlled Trial Bone Density/drug effects Bone Density Conservation Agents/ therapeutic use Bone Remodeling/drug effects Double-Blind Method Etidronic Acid/ analogs &amp;amp; derivatives/therapeutic use Female Fractures, Spontaneous/&lt;/keyword&gt;&lt;/keywords&gt;&lt;dates&gt;&lt;year&gt;2008&lt;/year&gt;&lt;pub-dates&gt;&lt;date&gt;Jul-Aug&lt;/date&gt;&lt;/pub-dates&gt;&lt;/dates&gt;&lt;isbn&gt;1072-3714 (Print)&lt;/isbn&gt;&lt;accession-num&gt;18698280&lt;/accession-num&gt;&lt;urls&gt;&lt;/urls&gt;&lt;custom1&gt; PubMed. Specific bisphosphonates. &lt;/custom1&gt;&lt;custom2&gt;YW.AD.&lt;/custom2&gt;&lt;custom6&gt;Include&lt;/custom6&gt;&lt;language&gt;eng&lt;/language&gt;&lt;/record&gt;&lt;/Cite&gt;&lt;/EndNote&gt;</w:instrText>
            </w:r>
            <w:r w:rsidR="005F6BCB">
              <w:rPr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noProof/>
                <w:color w:val="000000"/>
                <w:sz w:val="18"/>
                <w:szCs w:val="18"/>
                <w:vertAlign w:val="superscript"/>
              </w:rPr>
              <w:t>75</w:t>
            </w:r>
            <w:r w:rsidR="005F6BCB">
              <w:rPr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72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risedronate</w:t>
            </w:r>
          </w:p>
        </w:tc>
        <w:tc>
          <w:tcPr>
            <w:tcW w:w="100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172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n (IBD pts)</w:t>
            </w:r>
          </w:p>
        </w:tc>
        <w:tc>
          <w:tcPr>
            <w:tcW w:w="125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2227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y/y</w:t>
            </w:r>
          </w:p>
        </w:tc>
        <w:tc>
          <w:tcPr>
            <w:tcW w:w="99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56" w:type="dxa"/>
            <w:vAlign w:val="bottom"/>
          </w:tcPr>
          <w:p w:rsidR="00241625" w:rsidRPr="009708F1" w:rsidRDefault="00241625" w:rsidP="001D0AC8">
            <w:pPr>
              <w:jc w:val="right"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90</w:t>
            </w:r>
          </w:p>
        </w:tc>
        <w:tc>
          <w:tcPr>
            <w:tcW w:w="1023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95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4 out of 7</w:t>
            </w:r>
          </w:p>
        </w:tc>
      </w:tr>
      <w:tr w:rsidR="00241625" w:rsidRPr="009708F1" w:rsidTr="001D0AC8">
        <w:tc>
          <w:tcPr>
            <w:tcW w:w="163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sz w:val="18"/>
                <w:szCs w:val="18"/>
              </w:rPr>
              <w:t>Papaioannou, 2008</w:t>
            </w:r>
            <w:r w:rsidR="005F6BCB">
              <w:rPr>
                <w:color w:val="000000"/>
                <w:sz w:val="18"/>
                <w:szCs w:val="18"/>
              </w:rPr>
              <w:fldChar w:fldCharType="begin"/>
            </w:r>
            <w:r>
              <w:rPr>
                <w:color w:val="000000"/>
                <w:sz w:val="18"/>
                <w:szCs w:val="18"/>
              </w:rPr>
              <w:instrText xml:space="preserve"> ADDIN EN.CITE &lt;EndNote&gt;&lt;Cite ExcludeAuth="1" ExcludeYear="1"&gt;&lt;RecNum&gt;8174&lt;/RecNum&gt;&lt;DisplayText&gt;&lt;style face="superscript"&gt;55&lt;/style&gt;&lt;/DisplayText&gt;&lt;record&gt;&lt;rec-number&gt;8174&lt;/rec-number&gt;&lt;foreign-keys&gt;&lt;key app="EN" db-id="29ezzfre25wfzbe5ttpvt0wkar525pde22z5"&gt;8174&lt;/key&gt;&lt;/foreign-keys&gt;&lt;ref-type name="Journal Article"&gt;17&lt;/ref-type&gt;&lt;contributors&gt;&lt;authors&gt;&lt;author&gt;Papaioannou, A. &lt;/author&gt;&lt;author&gt;Kennedy, C. C. &lt;/author&gt;&lt;author&gt;Freitag, A. &lt;/author&gt;&lt;author&gt;Ioannidis, G. &lt;/author&gt;&lt;author&gt;O&amp;apos;Neill, J. &lt;/author&gt;&lt;author&gt;Webber, C. &lt;/author&gt;&lt;author&gt;Pui, M. &lt;/author&gt;&lt;author&gt;Berthiaume, Y. &lt;/author&gt;&lt;author&gt;Rabin, H. R. &lt;/author&gt;&lt;author&gt;Paterson, N. &lt;/author&gt;&lt;author&gt;Jeanneret, A. &lt;/author&gt;&lt;author&gt;Matouk, E. &lt;/author&gt;&lt;author&gt;Villeneuve, J. &lt;/author&gt;&lt;author&gt;Nixon, M. &lt;/author&gt;&lt;author&gt;Adachi, J. D.&lt;/author&gt;&lt;/authors&gt;&lt;/contributors&gt;&lt;auth-address&gt;Department of Medicine, McMaster University, Hamilton Health Sciences, Chedoke Site, Building 74, 1200 Main St West, Hamilton, ON, Canada L8N 3Z5. papaioannou@hhsc.ca&lt;/auth-address&gt;&lt;titles&gt;&lt;title&gt;Alendronate once weekly for the prevention and treatment of bone loss in Canadian adult cystic fibrosis patients (CFOS trial)&lt;/title&gt;&lt;secondary-title&gt;Chest&lt;/secondary-title&gt;&lt;/titles&gt;&lt;periodical&gt;&lt;full-title&gt;Chest&lt;/full-title&gt;&lt;/periodical&gt;&lt;pages&gt;794-800&lt;/pages&gt;&lt;volume&gt;134&lt;/volume&gt;&lt;number&gt;4&lt;/number&gt;&lt;keywords&gt;&lt;keyword&gt;Journal Article Multicenter Study Randomized Controlled Trial Research Support, Non-U.S. Gov&amp;apos;t Administration, Oral Adult Alendronate/ administration &amp;amp; dosage Bone Density Bone Density Conservation Agents/ administration &amp;amp; dosage Canada Cohort Studies C&lt;/keyword&gt;&lt;/keywords&gt;&lt;dates&gt;&lt;year&gt;2008&lt;/year&gt;&lt;pub-dates&gt;&lt;date&gt;Oct&lt;/date&gt;&lt;/pub-dates&gt;&lt;/dates&gt;&lt;isbn&gt;0012-3692 (Print)&lt;/isbn&gt;&lt;accession-num&gt;18641106&lt;/accession-num&gt;&lt;urls&gt;&lt;/urls&gt;&lt;custom1&gt; PubMed. Specific bisphosphonates. &lt;/custom1&gt;&lt;custom2&gt;YW.AD.&lt;/custom2&gt;&lt;custom6&gt;Include&lt;/custom6&gt;&lt;language&gt;eng&lt;/language&gt;&lt;/record&gt;&lt;/Cite&gt;&lt;/EndNote&gt;</w:instrText>
            </w:r>
            <w:r w:rsidR="005F6BCB">
              <w:rPr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noProof/>
                <w:color w:val="000000"/>
                <w:sz w:val="18"/>
                <w:szCs w:val="18"/>
                <w:vertAlign w:val="superscript"/>
              </w:rPr>
              <w:t>55</w:t>
            </w:r>
            <w:r w:rsidR="005F6BCB">
              <w:rPr>
                <w:color w:val="000000"/>
                <w:sz w:val="18"/>
                <w:szCs w:val="18"/>
              </w:rPr>
              <w:fldChar w:fldCharType="end"/>
            </w:r>
            <w:r w:rsidRPr="009708F1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2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alendronate</w:t>
            </w:r>
          </w:p>
        </w:tc>
        <w:tc>
          <w:tcPr>
            <w:tcW w:w="100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172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n (CF)</w:t>
            </w:r>
          </w:p>
        </w:tc>
        <w:tc>
          <w:tcPr>
            <w:tcW w:w="125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2227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y/y</w:t>
            </w:r>
          </w:p>
        </w:tc>
        <w:tc>
          <w:tcPr>
            <w:tcW w:w="99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56" w:type="dxa"/>
            <w:vAlign w:val="bottom"/>
          </w:tcPr>
          <w:p w:rsidR="00241625" w:rsidRPr="009708F1" w:rsidRDefault="00241625" w:rsidP="001D0AC8">
            <w:pPr>
              <w:jc w:val="right"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56</w:t>
            </w:r>
          </w:p>
        </w:tc>
        <w:tc>
          <w:tcPr>
            <w:tcW w:w="1023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95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4 out of 7</w:t>
            </w:r>
          </w:p>
        </w:tc>
      </w:tr>
      <w:tr w:rsidR="00241625" w:rsidRPr="009708F1" w:rsidTr="001D0AC8">
        <w:tc>
          <w:tcPr>
            <w:tcW w:w="163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Ringe, 2007</w:t>
            </w:r>
            <w:r w:rsidR="005F6BCB">
              <w:rPr>
                <w:color w:val="000000"/>
                <w:sz w:val="18"/>
                <w:szCs w:val="18"/>
              </w:rPr>
              <w:fldChar w:fldCharType="begin"/>
            </w:r>
            <w:r>
              <w:rPr>
                <w:color w:val="000000"/>
                <w:sz w:val="18"/>
                <w:szCs w:val="18"/>
              </w:rPr>
              <w:instrText xml:space="preserve"> ADDIN EN.CITE &lt;EndNote&gt;&lt;Cite ExcludeAuth="1" ExcludeYear="1"&gt;&lt;RecNum&gt;8263&lt;/RecNum&gt;&lt;DisplayText&gt;&lt;style face="superscript"&gt;56&lt;/style&gt;&lt;/DisplayText&gt;&lt;record&gt;&lt;rec-number&gt;8263&lt;/rec-number&gt;&lt;foreign-keys&gt;&lt;key app="EN" db-id="29ezzfre25wfzbe5ttpvt0wkar525pde22z5"&gt;8263&lt;/key&gt;&lt;/foreign-keys&gt;&lt;ref-type name="Journal Article"&gt;17&lt;/ref-type&gt;&lt;contributors&gt;&lt;authors&gt;&lt;author&gt;Ringe, J. D. &lt;/author&gt;&lt;author&gt;Farahmand, P. &lt;/author&gt;&lt;author&gt;Schacht, E. &lt;/author&gt;&lt;author&gt;Rozehnal, A.&lt;/author&gt;&lt;/authors&gt;&lt;/contributors&gt;&lt;auth-address&gt;Medical Clinic 4, Leverkusen Clinic, University of Cologne, Germany. ringe@klinikum-lev.de&lt;/auth-address&gt;&lt;titles&gt;&lt;title&gt;Superiority of a combined treatment of Alendronate and Alfacalcidol compared to the combination of Alendronate and plain vitamin D or Alfacalcidol alone in established postmenopausal or male osteoporosis (AAC-Trial)&lt;/title&gt;&lt;secondary-title&gt;Rheumatol Int&lt;/secondary-title&gt;&lt;/titles&gt;&lt;periodical&gt;&lt;full-title&gt;Rheumatol Int&lt;/full-title&gt;&lt;/periodical&gt;&lt;pages&gt;425-34&lt;/pages&gt;&lt;volume&gt;27&lt;/volume&gt;&lt;number&gt;5&lt;/number&gt;&lt;keywords&gt;&lt;keyword&gt;Comparative Study Journal Article Randomized Controlled Trial Aged Alendronate/adverse effects/ therapeutic use Bone Density/ drug effects Bone Density Conservation Agents/adverse effects/ therapeutic use Drug Therapy, Combination Female Humans Hydroxyc&lt;/keyword&gt;&lt;/keywords&gt;&lt;dates&gt;&lt;year&gt;2007&lt;/year&gt;&lt;pub-dates&gt;&lt;date&gt;Mar&lt;/date&gt;&lt;/pub-dates&gt;&lt;/dates&gt;&lt;isbn&gt;0172-8172 (Print)&lt;/isbn&gt;&lt;accession-num&gt;17216477&lt;/accession-num&gt;&lt;urls&gt;&lt;/urls&gt;&lt;custom1&gt; PubMed. Specific bisphosphonates. &lt;/custom1&gt;&lt;custom2&gt;CC.AD.&lt;/custom2&gt;&lt;custom6&gt;Include&lt;/custom6&gt;&lt;language&gt;eng&lt;/language&gt;&lt;/record&gt;&lt;/Cite&gt;&lt;/EndNote&gt;</w:instrText>
            </w:r>
            <w:r w:rsidR="005F6BCB">
              <w:rPr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noProof/>
                <w:color w:val="000000"/>
                <w:sz w:val="18"/>
                <w:szCs w:val="18"/>
                <w:vertAlign w:val="superscript"/>
              </w:rPr>
              <w:t>56</w:t>
            </w:r>
            <w:r w:rsidR="005F6BCB">
              <w:rPr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72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alendronate and vitamin D</w:t>
            </w:r>
          </w:p>
        </w:tc>
        <w:tc>
          <w:tcPr>
            <w:tcW w:w="100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172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125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2227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y/n</w:t>
            </w:r>
          </w:p>
        </w:tc>
        <w:tc>
          <w:tcPr>
            <w:tcW w:w="99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56" w:type="dxa"/>
            <w:vAlign w:val="bottom"/>
          </w:tcPr>
          <w:p w:rsidR="00241625" w:rsidRPr="009708F1" w:rsidRDefault="00241625" w:rsidP="001D0AC8">
            <w:pPr>
              <w:jc w:val="right"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90</w:t>
            </w:r>
          </w:p>
        </w:tc>
        <w:tc>
          <w:tcPr>
            <w:tcW w:w="1023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95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5.5 out of 7</w:t>
            </w:r>
          </w:p>
        </w:tc>
      </w:tr>
      <w:tr w:rsidR="00241625" w:rsidRPr="009708F1" w:rsidTr="001D0AC8">
        <w:tc>
          <w:tcPr>
            <w:tcW w:w="163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Ringe, 2009</w:t>
            </w:r>
            <w:r w:rsidR="005F6BCB">
              <w:rPr>
                <w:color w:val="000000"/>
                <w:sz w:val="18"/>
                <w:szCs w:val="18"/>
              </w:rPr>
              <w:fldChar w:fldCharType="begin"/>
            </w:r>
            <w:r>
              <w:rPr>
                <w:color w:val="000000"/>
                <w:sz w:val="18"/>
                <w:szCs w:val="18"/>
              </w:rPr>
              <w:instrText xml:space="preserve"> ADDIN EN.CITE &lt;EndNote&gt;&lt;Cite ExcludeAuth="1" ExcludeYear="1"&gt;&lt;RecNum&gt;8266&lt;/RecNum&gt;&lt;DisplayText&gt;&lt;style face="superscript"&gt;73&lt;/style&gt;&lt;/DisplayText&gt;&lt;record&gt;&lt;rec-number&gt;8266&lt;/rec-number&gt;&lt;foreign-keys&gt;&lt;key app="EN" db-id="29ezzfre25wfzbe5ttpvt0wkar525pde22z5"&gt;8266&lt;/key&gt;&lt;/foreign-keys&gt;&lt;ref-type name="Journal Article"&gt;17&lt;/ref-type&gt;&lt;contributors&gt;&lt;authors&gt;&lt;author&gt;Ringe, J. D. &lt;/author&gt;&lt;author&gt;Farahmand, P. &lt;/author&gt;&lt;author&gt;Faber, H. &lt;/author&gt;&lt;author&gt;Dorst, A.&lt;/author&gt;&lt;/authors&gt;&lt;/contributors&gt;&lt;auth-address&gt;Medizinische Klink IV, Klinikum Leverkusen, Teaching Hospital of the University of Cologne, 51375, Leverkusen, Germany. ringe@klinikum-lev.de&lt;/auth-address&gt;&lt;titles&gt;&lt;title&gt;Sustained efficacy of risedronate in men with primary and secondary osteoporosis: results of a 2-year study&lt;/title&gt;&lt;secondary-title&gt;Rheumatol Int&lt;/secondary-title&gt;&lt;/titles&gt;&lt;periodical&gt;&lt;full-title&gt;Rheumatol Int&lt;/full-title&gt;&lt;/periodical&gt;&lt;pages&gt;311-5&lt;/pages&gt;&lt;volume&gt;29&lt;/volume&gt;&lt;number&gt;3&lt;/number&gt;&lt;keywords&gt;&lt;keyword&gt;Journal Article Randomized Controlled Trial Aged Back Pain/prevention &amp;amp; control Bone Density Conservation Agents/ therapeutic use Calcium/therapeutic use Drug Therapy, Combination Etidronic Acid/ analogs &amp;amp; derivatives/therapeutic use Fractures, Bone/pre&lt;/keyword&gt;&lt;/keywords&gt;&lt;dates&gt;&lt;year&gt;2009&lt;/year&gt;&lt;pub-dates&gt;&lt;date&gt;Jan&lt;/date&gt;&lt;/pub-dates&gt;&lt;/dates&gt;&lt;isbn&gt;0172-8172 (Print)&lt;/isbn&gt;&lt;accession-num&gt;18762944&lt;/accession-num&gt;&lt;urls&gt;&lt;/urls&gt;&lt;custom1&gt; PubMed. Specific bisphosphonates. &lt;/custom1&gt;&lt;custom2&gt;YW.CC.AD.&lt;/custom2&gt;&lt;custom6&gt;Include&lt;/custom6&gt;&lt;language&gt;eng&lt;/language&gt;&lt;/record&gt;&lt;/Cite&gt;&lt;/EndNote&gt;</w:instrText>
            </w:r>
            <w:r w:rsidR="005F6BCB">
              <w:rPr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noProof/>
                <w:color w:val="000000"/>
                <w:sz w:val="18"/>
                <w:szCs w:val="18"/>
                <w:vertAlign w:val="superscript"/>
              </w:rPr>
              <w:t>73</w:t>
            </w:r>
            <w:r w:rsidR="005F6BCB">
              <w:rPr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72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risedronate</w:t>
            </w:r>
          </w:p>
        </w:tc>
        <w:tc>
          <w:tcPr>
            <w:tcW w:w="100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172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n (male, small German clinic)</w:t>
            </w:r>
          </w:p>
        </w:tc>
        <w:tc>
          <w:tcPr>
            <w:tcW w:w="125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2227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y/n</w:t>
            </w:r>
          </w:p>
        </w:tc>
        <w:tc>
          <w:tcPr>
            <w:tcW w:w="99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56" w:type="dxa"/>
            <w:vAlign w:val="bottom"/>
          </w:tcPr>
          <w:p w:rsidR="00241625" w:rsidRPr="009708F1" w:rsidRDefault="00241625" w:rsidP="001D0AC8">
            <w:pPr>
              <w:jc w:val="right"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316</w:t>
            </w:r>
          </w:p>
        </w:tc>
        <w:tc>
          <w:tcPr>
            <w:tcW w:w="1023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95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5.5 out of 7 but men</w:t>
            </w:r>
          </w:p>
        </w:tc>
      </w:tr>
      <w:tr w:rsidR="00241625" w:rsidRPr="009708F1" w:rsidTr="001D0AC8">
        <w:tc>
          <w:tcPr>
            <w:tcW w:w="163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Saag, 2009</w:t>
            </w:r>
            <w:r w:rsidR="005F6BCB">
              <w:rPr>
                <w:color w:val="000000"/>
                <w:sz w:val="18"/>
                <w:szCs w:val="18"/>
              </w:rPr>
              <w:fldChar w:fldCharType="begin"/>
            </w:r>
            <w:r>
              <w:rPr>
                <w:color w:val="000000"/>
                <w:sz w:val="18"/>
                <w:szCs w:val="18"/>
              </w:rPr>
              <w:instrText xml:space="preserve"> ADDIN EN.CITE &lt;EndNote&gt;&lt;Cite ExcludeAuth="1" ExcludeYear="1"&gt;&lt;RecNum&gt;8702&lt;/RecNum&gt;&lt;DisplayText&gt;&lt;style face="superscript"&gt;224&lt;/style&gt;&lt;/DisplayText&gt;&lt;record&gt;&lt;rec-number&gt;8702&lt;/rec-number&gt;&lt;foreign-keys&gt;&lt;key app="EN" db-id="29ezzfre25wfzbe5ttpvt0wkar525pde22z5"&gt;8702&lt;/key&gt;&lt;/foreign-keys&gt;&lt;ref-type name="Journal Article"&gt;17&lt;/ref-type&gt;&lt;contributors&gt;&lt;authors&gt;&lt;author&gt;Saag, K. G. &lt;/author&gt;&lt;author&gt;Zanchetta, J. R. &lt;/author&gt;&lt;author&gt;Devogelaer, J. P. &lt;/author&gt;&lt;author&gt;Adler, R. A. &lt;/author&gt;&lt;author&gt;Eastell, R. &lt;/author&gt;&lt;author&gt;See, K. &lt;/author&gt;&lt;author&gt;Krege, J. H. &lt;/author&gt;&lt;author&gt;Krohn, K. &lt;/author&gt;&lt;author&gt;Warner, M. R.&lt;/author&gt;&lt;/authors&gt;&lt;/contributors&gt;&lt;auth-address&gt;University of Alabama at Birmingham.&lt;/auth-address&gt;&lt;titles&gt;&lt;title&gt;Effects of teriparatide versus alendronate for treating glucocorticoid-induced osteoporosis: Thirty-six-month results of a randomized, double-blind, controlled trial&lt;/title&gt;&lt;secondary-title&gt;Arthritis Rheum&lt;/secondary-title&gt;&lt;/titles&gt;&lt;periodical&gt;&lt;full-title&gt;Arthritis Rheum&lt;/full-title&gt;&lt;/periodical&gt;&lt;pages&gt;3346-55&lt;/pages&gt;&lt;volume&gt;60&lt;/volume&gt;&lt;number&gt;11&lt;/number&gt;&lt;edition&gt;2009/10/31&lt;/edition&gt;&lt;dates&gt;&lt;year&gt;2009&lt;/year&gt;&lt;pub-dates&gt;&lt;date&gt;Nov&lt;/date&gt;&lt;/pub-dates&gt;&lt;/dates&gt;&lt;isbn&gt;0004-3591 (Print)&lt;/isbn&gt;&lt;accession-num&gt;19877063&lt;/accession-num&gt;&lt;urls&gt;&lt;/urls&gt;&lt;custom1&gt; PubMed. Adverse effects revision 20091203. &lt;/custom1&gt;&lt;custom2&gt;YL.&lt;/custom2&gt;&lt;custom6&gt;Include&lt;/custom6&gt;&lt;electronic-resource-num&gt;10.1002/art.24879 [doi]&lt;/electronic-resource-num&gt;&lt;remote-database-provider&gt;Nlm&lt;/remote-database-provider&gt;&lt;language&gt;eng&lt;/language&gt;&lt;/record&gt;&lt;/Cite&gt;&lt;/EndNote&gt;</w:instrText>
            </w:r>
            <w:r w:rsidR="005F6BCB">
              <w:rPr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noProof/>
                <w:color w:val="000000"/>
                <w:sz w:val="18"/>
                <w:szCs w:val="18"/>
                <w:vertAlign w:val="superscript"/>
              </w:rPr>
              <w:t>224</w:t>
            </w:r>
            <w:r w:rsidR="005F6BCB">
              <w:rPr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72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alendronate and PTH</w:t>
            </w:r>
          </w:p>
        </w:tc>
        <w:tc>
          <w:tcPr>
            <w:tcW w:w="100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172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n (GC-users)</w:t>
            </w:r>
          </w:p>
        </w:tc>
        <w:tc>
          <w:tcPr>
            <w:tcW w:w="125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2227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y/n</w:t>
            </w:r>
          </w:p>
        </w:tc>
        <w:tc>
          <w:tcPr>
            <w:tcW w:w="99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56" w:type="dxa"/>
            <w:vAlign w:val="bottom"/>
          </w:tcPr>
          <w:p w:rsidR="00241625" w:rsidRPr="009708F1" w:rsidRDefault="00241625" w:rsidP="001D0AC8">
            <w:pPr>
              <w:jc w:val="right"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428</w:t>
            </w:r>
          </w:p>
        </w:tc>
        <w:tc>
          <w:tcPr>
            <w:tcW w:w="1023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95" w:type="dxa"/>
            <w:vAlign w:val="bottom"/>
          </w:tcPr>
          <w:p w:rsidR="00241625" w:rsidRPr="009708F1" w:rsidRDefault="00241625" w:rsidP="001D0AC8">
            <w:pPr>
              <w:jc w:val="right"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5.5 out of 7</w:t>
            </w:r>
          </w:p>
        </w:tc>
      </w:tr>
      <w:tr w:rsidR="00241625" w:rsidRPr="009708F1" w:rsidTr="001D0AC8">
        <w:tc>
          <w:tcPr>
            <w:tcW w:w="163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rFonts w:cs="Arial"/>
                <w:sz w:val="18"/>
                <w:szCs w:val="18"/>
              </w:rPr>
              <w:t xml:space="preserve">Salovaara, 2010 </w:t>
            </w:r>
            <w:r w:rsidR="005F6BCB">
              <w:rPr>
                <w:rFonts w:cs="Arial"/>
                <w:sz w:val="18"/>
                <w:szCs w:val="18"/>
              </w:rPr>
              <w:fldChar w:fldCharType="begin"/>
            </w:r>
            <w:r>
              <w:rPr>
                <w:rFonts w:cs="Arial"/>
                <w:sz w:val="18"/>
                <w:szCs w:val="18"/>
              </w:rPr>
              <w:instrText xml:space="preserve"> ADDIN EN.CITE &lt;EndNote&gt;&lt;Cite ExcludeAuth="1" ExcludeYear="1"&gt;&lt;RecNum&gt;9748&lt;/RecNum&gt;&lt;DisplayText&gt;&lt;style face="superscript"&gt;154&lt;/style&gt;&lt;/DisplayText&gt;&lt;record&gt;&lt;rec-number&gt;9748&lt;/rec-number&gt;&lt;foreign-keys&gt;&lt;key app="EN" db-id="29ezzfre25wfzbe5ttpvt0wkar525pde22z5"&gt;9748&lt;/key&gt;&lt;/foreign-keys&gt;&lt;ref-type name="Journal Article"&gt;17&lt;/ref-type&gt;&lt;contributors&gt;&lt;authors&gt;&lt;author&gt;Salovaara, K. &lt;/author&gt;&lt;author&gt;Tuppurainen, M. &lt;/author&gt;&lt;author&gt;Karkkainen, M. &lt;/author&gt;&lt;author&gt;Rikkonen, T. &lt;/author&gt;&lt;author&gt;Sandini, L. &lt;/author&gt;&lt;author&gt;Sirola, J. &lt;/author&gt;&lt;author&gt;Honkanen, R. &lt;/author&gt;&lt;author&gt;Alhava, E. &lt;/author&gt;&lt;author&gt;Kroger, H.&lt;/author&gt;&lt;/authors&gt;&lt;/contributors&gt;&lt;auth-address&gt;Bone and Cartilage Research Unit, Clinical Research Centre, University of Kuopio, Kuopio, Finland. kari.salovaara@kuh.fi&lt;/auth-address&gt;&lt;titles&gt;&lt;title&gt;Effect of vitamin D(3) and calcium on fracture risk in 65- to 71-year-old women: a population-based 3-year randomized, controlled trial--the OSTPRE-FPS&lt;/title&gt;&lt;secondary-title&gt;J Bone Miner Res&lt;/secondary-title&gt;&lt;/titles&gt;&lt;periodical&gt;&lt;full-title&gt;J Bone Miner Res&lt;/full-title&gt;&lt;/periodical&gt;&lt;pages&gt;1487-95&lt;/pages&gt;&lt;volume&gt;25&lt;/volume&gt;&lt;number&gt;7&lt;/number&gt;&lt;edition&gt;2010/03/05&lt;/edition&gt;&lt;dates&gt;&lt;year&gt;2010&lt;/year&gt;&lt;pub-dates&gt;&lt;date&gt;Jul&lt;/date&gt;&lt;/pub-dates&gt;&lt;/dates&gt;&lt;isbn&gt;1523-4681 (Electronic) 0884-0431 (Linking)&lt;/isbn&gt;&lt;accession-num&gt;20200964&lt;/accession-num&gt;&lt;urls&gt;&lt;related-urls&gt;&lt;url&gt;http://onlinelibrary.wiley.com/doi/10.1002/jbmr.48/abstract&lt;/url&gt;&lt;/related-urls&gt;&lt;/urls&gt;&lt;custom1&gt; PubMed. Strontium and others. 2010 update.&lt;/custom1&gt;&lt;custom4&gt;Sydne&lt;/custom4&gt;&lt;custom6&gt;Include&lt;/custom6&gt;&lt;electronic-resource-num&gt;10.1002/jbmr.48 [doi]&lt;/electronic-resource-num&gt;&lt;remote-database-provider&gt;Nlm&lt;/remote-database-provider&gt;&lt;language&gt;eng&lt;/language&gt;&lt;/record&gt;&lt;/Cite&gt;&lt;/EndNote&gt;</w:instrText>
            </w:r>
            <w:r w:rsidR="005F6BCB">
              <w:rPr>
                <w:rFonts w:cs="Arial"/>
                <w:sz w:val="18"/>
                <w:szCs w:val="18"/>
              </w:rPr>
              <w:fldChar w:fldCharType="separate"/>
            </w:r>
            <w:r w:rsidRPr="00662F04">
              <w:rPr>
                <w:rFonts w:cs="Arial"/>
                <w:noProof/>
                <w:sz w:val="18"/>
                <w:szCs w:val="18"/>
                <w:vertAlign w:val="superscript"/>
              </w:rPr>
              <w:t>154</w:t>
            </w:r>
            <w:r w:rsidR="005F6BCB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72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Calcium and vitamin D</w:t>
            </w:r>
          </w:p>
        </w:tc>
        <w:tc>
          <w:tcPr>
            <w:tcW w:w="100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172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 (population-based)</w:t>
            </w:r>
          </w:p>
        </w:tc>
        <w:tc>
          <w:tcPr>
            <w:tcW w:w="125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2227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y/y</w:t>
            </w:r>
          </w:p>
        </w:tc>
        <w:tc>
          <w:tcPr>
            <w:tcW w:w="99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56" w:type="dxa"/>
            <w:vAlign w:val="bottom"/>
          </w:tcPr>
          <w:p w:rsidR="00241625" w:rsidRPr="009708F1" w:rsidRDefault="00241625" w:rsidP="001D0AC8">
            <w:pPr>
              <w:jc w:val="right"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3,195</w:t>
            </w:r>
          </w:p>
        </w:tc>
        <w:tc>
          <w:tcPr>
            <w:tcW w:w="1023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95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7 out of 7</w:t>
            </w:r>
          </w:p>
        </w:tc>
      </w:tr>
      <w:tr w:rsidR="00241625" w:rsidRPr="009708F1" w:rsidTr="001D0AC8">
        <w:tc>
          <w:tcPr>
            <w:tcW w:w="163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rFonts w:cs="Arial"/>
                <w:sz w:val="18"/>
                <w:szCs w:val="18"/>
              </w:rPr>
              <w:t xml:space="preserve">Sanders, 2010 </w:t>
            </w:r>
            <w:r w:rsidR="005F6BCB">
              <w:rPr>
                <w:rFonts w:cs="Arial"/>
                <w:sz w:val="18"/>
                <w:szCs w:val="18"/>
              </w:rPr>
              <w:fldChar w:fldCharType="begin"/>
            </w:r>
            <w:r>
              <w:rPr>
                <w:rFonts w:cs="Arial"/>
                <w:sz w:val="18"/>
                <w:szCs w:val="18"/>
              </w:rPr>
              <w:instrText xml:space="preserve"> ADDIN EN.CITE &lt;EndNote&gt;&lt;Cite ExcludeAuth="1" ExcludeYear="1"&gt;&lt;RecNum&gt;9743&lt;/RecNum&gt;&lt;DisplayText&gt;&lt;style face="superscript"&gt;164&lt;/style&gt;&lt;/DisplayText&gt;&lt;record&gt;&lt;rec-number&gt;9743&lt;/rec-number&gt;&lt;foreign-keys&gt;&lt;key app="EN" db-id="29ezzfre25wfzbe5ttpvt0wkar525pde22z5"&gt;9743&lt;/key&gt;&lt;/foreign-keys&gt;&lt;ref-type name="Journal Article"&gt;17&lt;/ref-type&gt;&lt;contributors&gt;&lt;authors&gt;&lt;author&gt;Sanders, K. M. &lt;/author&gt;&lt;author&gt;Stuart, A. L. &lt;/author&gt;&lt;author&gt;Williamson, E. J. &lt;/author&gt;&lt;author&gt;Simpson, J. A. &lt;/author&gt;&lt;author&gt;Kotowicz, M. A.&lt;/author&gt;&lt;author&gt;Young, D. &lt;/author&gt;&lt;author&gt;Nicholson, G. C.&lt;/author&gt;&lt;/authors&gt;&lt;/contributors&gt;&lt;auth-address&gt;Department of Clinical and Biomedical Sciences, Barwon Health, University of Melbourne, Geelong, Victoria, Australia 3220. kerrie@barwonhealth.org.au&lt;/auth-address&gt;&lt;titles&gt;&lt;title&gt;Annual high-dose oral vitamin D and falls and fractures in older women: a randomized controlled trial&lt;/title&gt;&lt;secondary-title&gt;JAMA&lt;/secondary-title&gt;&lt;/titles&gt;&lt;periodical&gt;&lt;full-title&gt;JAMA&lt;/full-title&gt;&lt;/periodical&gt;&lt;pages&gt;1815-22&lt;/pages&gt;&lt;volume&gt;303&lt;/volume&gt;&lt;number&gt;18&lt;/number&gt;&lt;edition&gt;2010/05/13&lt;/edition&gt;&lt;keywords&gt;&lt;keyword&gt;Accidental Falls/ prevention &amp;amp; control Administration, Oral Aged Aged, 80 and over Bone Density Conservation Agents/ administration &amp;amp; dosage/adverse effects Cholecalciferol/ administration &amp;amp; dosage/adverse effects Double-Blind Method Drug Administration&lt;/keyword&gt;&lt;/keywords&gt;&lt;dates&gt;&lt;year&gt;2010&lt;/year&gt;&lt;pub-dates&gt;&lt;date&gt;May 12&lt;/date&gt;&lt;/pub-dates&gt;&lt;/dates&gt;&lt;isbn&gt;1538-3598 (Electronic) 0098-7484 (Linking)&lt;/isbn&gt;&lt;accession-num&gt;20460620&lt;/accession-num&gt;&lt;urls&gt;&lt;related-urls&gt;&lt;url&gt;http://jama.ama-assn.org/content/303/18/1815.full.pdf&lt;/url&gt;&lt;/related-urls&gt;&lt;/urls&gt;&lt;custom1&gt; PubMed. Strontium and others. 2010 update.&lt;/custom1&gt;&lt;custom4&gt;Sydne&lt;/custom4&gt;&lt;custom6&gt;Include&lt;/custom6&gt;&lt;electronic-resource-num&gt;303/18/1815 [pii] 10.1001/jama.2010.594 [doi]&lt;/electronic-resource-num&gt;&lt;remote-database-provider&gt;Nlm&lt;/remote-database-provider&gt;&lt;language&gt;eng&lt;/language&gt;&lt;/record&gt;&lt;/Cite&gt;&lt;/EndNote&gt;</w:instrText>
            </w:r>
            <w:r w:rsidR="005F6BCB">
              <w:rPr>
                <w:rFonts w:cs="Arial"/>
                <w:sz w:val="18"/>
                <w:szCs w:val="18"/>
              </w:rPr>
              <w:fldChar w:fldCharType="separate"/>
            </w:r>
            <w:r w:rsidRPr="00662F04">
              <w:rPr>
                <w:rFonts w:cs="Arial"/>
                <w:noProof/>
                <w:sz w:val="18"/>
                <w:szCs w:val="18"/>
                <w:vertAlign w:val="superscript"/>
              </w:rPr>
              <w:t>164</w:t>
            </w:r>
            <w:r w:rsidR="005F6BCB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72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Vitamin D</w:t>
            </w:r>
          </w:p>
        </w:tc>
        <w:tc>
          <w:tcPr>
            <w:tcW w:w="100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172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125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2227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y/y</w:t>
            </w:r>
          </w:p>
        </w:tc>
        <w:tc>
          <w:tcPr>
            <w:tcW w:w="99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56" w:type="dxa"/>
            <w:vAlign w:val="bottom"/>
          </w:tcPr>
          <w:p w:rsidR="00241625" w:rsidRPr="009708F1" w:rsidRDefault="00241625" w:rsidP="001D0AC8">
            <w:pPr>
              <w:jc w:val="right"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2,256</w:t>
            </w:r>
          </w:p>
        </w:tc>
        <w:tc>
          <w:tcPr>
            <w:tcW w:w="1023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95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7 out of 7</w:t>
            </w:r>
          </w:p>
        </w:tc>
      </w:tr>
      <w:tr w:rsidR="00241625" w:rsidRPr="009708F1" w:rsidTr="001D0AC8">
        <w:tc>
          <w:tcPr>
            <w:tcW w:w="163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Sato, 2007</w:t>
            </w:r>
            <w:r w:rsidR="005F6BCB">
              <w:rPr>
                <w:color w:val="000000"/>
                <w:sz w:val="18"/>
                <w:szCs w:val="18"/>
              </w:rPr>
              <w:fldChar w:fldCharType="begin"/>
            </w:r>
            <w:r>
              <w:rPr>
                <w:color w:val="000000"/>
                <w:sz w:val="18"/>
                <w:szCs w:val="18"/>
              </w:rPr>
              <w:instrText xml:space="preserve"> ADDIN EN.CITE &lt;EndNote&gt;&lt;Cite ExcludeAuth="1" ExcludeYear="1"&gt;&lt;RecNum&gt;8312&lt;/RecNum&gt;&lt;DisplayText&gt;&lt;style face="superscript"&gt;72&lt;/style&gt;&lt;/DisplayText&gt;&lt;record&gt;&lt;rec-number&gt;8312&lt;/rec-number&gt;&lt;foreign-keys&gt;&lt;key app="EN" db-id="29ezzfre25wfzbe5ttpvt0wkar525pde22z5"&gt;8312&lt;/key&gt;&lt;/foreign-keys&gt;&lt;ref-type name="Journal Article"&gt;17&lt;/ref-type&gt;&lt;contributors&gt;&lt;authors&gt;&lt;author&gt;Sato, Y. &lt;/author&gt;&lt;author&gt;Honda, Y. &lt;/author&gt;&lt;author&gt;Iwamoto, J.&lt;/author&gt;&lt;/authors&gt;&lt;/contributors&gt;&lt;auth-address&gt;Department of Neurology, Mitate Hospital, 3237 Yugeta, Tagawa 826-0041, Japan. y-sato@ktarn.or.jp&lt;/auth-address&gt;&lt;titles&gt;&lt;title&gt;Risedronate and ergocalciferol prevent hip fracture in elderly men with Parkinson disease&lt;/title&gt;&lt;secondary-title&gt;Neurology&lt;/secondary-title&gt;&lt;/titles&gt;&lt;periodical&gt;&lt;full-title&gt;Neurology&lt;/full-title&gt;&lt;/periodical&gt;&lt;pages&gt;911-5&lt;/pages&gt;&lt;volume&gt;68&lt;/volume&gt;&lt;number&gt;12&lt;/number&gt;&lt;keywords&gt;&lt;keyword&gt;Journal Article Randomized Controlled Trial Research Support, Non-U.S. Gov&amp;apos;t Aged Aged, 80 and over Amino Acids/urine Biological Markers/urine Bone Density/drug effects/physiology Bone Density Conservation Agents/administration &amp;amp; dosage Bone Resorption/&lt;/keyword&gt;&lt;/keywords&gt;&lt;dates&gt;&lt;year&gt;2007&lt;/year&gt;&lt;pub-dates&gt;&lt;date&gt;Mar 20&lt;/date&gt;&lt;/pub-dates&gt;&lt;/dates&gt;&lt;isbn&gt;1526-632X (Electronic)&lt;/isbn&gt;&lt;accession-num&gt;17372126&lt;/accession-num&gt;&lt;urls&gt;&lt;/urls&gt;&lt;custom1&gt; PubMed. Specific bisphosphonates. &lt;/custom1&gt;&lt;custom2&gt;YW.CC.&lt;/custom2&gt;&lt;custom6&gt;Include&lt;/custom6&gt;&lt;language&gt;eng&lt;/language&gt;&lt;/record&gt;&lt;/Cite&gt;&lt;/EndNote&gt;</w:instrText>
            </w:r>
            <w:r w:rsidR="005F6BCB">
              <w:rPr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noProof/>
                <w:color w:val="000000"/>
                <w:sz w:val="18"/>
                <w:szCs w:val="18"/>
                <w:vertAlign w:val="superscript"/>
              </w:rPr>
              <w:t>72</w:t>
            </w:r>
            <w:r w:rsidR="005F6BCB">
              <w:rPr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72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Risedronate and vitamin D</w:t>
            </w:r>
          </w:p>
        </w:tc>
        <w:tc>
          <w:tcPr>
            <w:tcW w:w="100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172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n (males with Parkinsons)</w:t>
            </w:r>
          </w:p>
        </w:tc>
        <w:tc>
          <w:tcPr>
            <w:tcW w:w="125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2227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y/n</w:t>
            </w:r>
          </w:p>
        </w:tc>
        <w:tc>
          <w:tcPr>
            <w:tcW w:w="99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56" w:type="dxa"/>
            <w:vAlign w:val="bottom"/>
          </w:tcPr>
          <w:p w:rsidR="00241625" w:rsidRPr="009708F1" w:rsidRDefault="00241625" w:rsidP="001D0AC8">
            <w:pPr>
              <w:jc w:val="right"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223</w:t>
            </w:r>
          </w:p>
        </w:tc>
        <w:tc>
          <w:tcPr>
            <w:tcW w:w="1023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995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3.5 out of 7</w:t>
            </w:r>
          </w:p>
        </w:tc>
      </w:tr>
      <w:tr w:rsidR="00241625" w:rsidRPr="009708F1" w:rsidTr="001D0AC8">
        <w:tc>
          <w:tcPr>
            <w:tcW w:w="163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Shiraki, 1996</w:t>
            </w:r>
            <w:r w:rsidR="005F6BCB">
              <w:rPr>
                <w:color w:val="000000"/>
                <w:sz w:val="18"/>
                <w:szCs w:val="18"/>
              </w:rPr>
              <w:fldChar w:fldCharType="begin"/>
            </w:r>
            <w:r>
              <w:rPr>
                <w:color w:val="000000"/>
                <w:sz w:val="18"/>
                <w:szCs w:val="18"/>
              </w:rPr>
              <w:instrText xml:space="preserve"> ADDIN EN.CITE &lt;EndNote&gt;&lt;Cite ExcludeAuth="1" ExcludeYear="1"&gt;&lt;RecNum&gt;9431&lt;/RecNum&gt;&lt;DisplayText&gt;&lt;style face="superscript"&gt;161&lt;/style&gt;&lt;/DisplayText&gt;&lt;record&gt;&lt;rec-number&gt;9431&lt;/rec-number&gt;&lt;foreign-keys&gt;&lt;key app="EN" db-id="29ezzfre25wfzbe5ttpvt0wkar525pde22z5"&gt;9431&lt;/key&gt;&lt;/foreign-keys&gt;&lt;ref-type name="Journal Article"&gt;17&lt;/ref-type&gt;&lt;contributors&gt;&lt;authors&gt;&lt;author&gt;Shiraki, M. &lt;/author&gt;&lt;author&gt;Kushida, K. &lt;/author&gt;&lt;author&gt;Yamazaki, K. &lt;/author&gt;&lt;author&gt;Nagai, T. &lt;/author&gt;&lt;author&gt;Inoue, T. &lt;/author&gt;&lt;author&gt;Orimo, H.&lt;/author&gt;&lt;/authors&gt;&lt;/contributors&gt;&lt;titles&gt;&lt;title&gt;Effects of 2 years&amp;apos; treatment of osteoporosis with 1alphahydroxy vitamin D3 on bone mineral density and incidence of fracture: a placebo-controlled, double-blind prospective study&lt;/title&gt;&lt;secondary-title&gt;Endocr J&lt;/secondary-title&gt;&lt;/titles&gt;&lt;periodical&gt;&lt;full-title&gt;Endocr J&lt;/full-title&gt;&lt;/periodical&gt;&lt;pages&gt;211-20&lt;/pages&gt;&lt;volume&gt;43&lt;/volume&gt;&lt;number&gt;2&lt;/number&gt;&lt;dates&gt;&lt;year&gt;1996&lt;/year&gt;&lt;/dates&gt;&lt;urls&gt;&lt;/urls&gt;&lt;custom6&gt;Include&lt;/custom6&gt;&lt;/record&gt;&lt;/Cite&gt;&lt;/EndNote&gt;</w:instrText>
            </w:r>
            <w:r w:rsidR="005F6BCB">
              <w:rPr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noProof/>
                <w:color w:val="000000"/>
                <w:sz w:val="18"/>
                <w:szCs w:val="18"/>
                <w:vertAlign w:val="superscript"/>
              </w:rPr>
              <w:t>161</w:t>
            </w:r>
            <w:r w:rsidR="005F6BCB">
              <w:rPr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72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Vitamin D</w:t>
            </w:r>
          </w:p>
        </w:tc>
        <w:tc>
          <w:tcPr>
            <w:tcW w:w="100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172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125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2227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y/n</w:t>
            </w:r>
          </w:p>
        </w:tc>
        <w:tc>
          <w:tcPr>
            <w:tcW w:w="99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956" w:type="dxa"/>
            <w:vAlign w:val="bottom"/>
          </w:tcPr>
          <w:p w:rsidR="00241625" w:rsidRPr="009708F1" w:rsidRDefault="00241625" w:rsidP="001D0AC8">
            <w:pPr>
              <w:jc w:val="right"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113</w:t>
            </w:r>
          </w:p>
        </w:tc>
        <w:tc>
          <w:tcPr>
            <w:tcW w:w="1023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95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5.5 out of 7</w:t>
            </w:r>
          </w:p>
        </w:tc>
      </w:tr>
      <w:tr w:rsidR="00241625" w:rsidRPr="009708F1" w:rsidTr="001D0AC8">
        <w:tc>
          <w:tcPr>
            <w:tcW w:w="163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Silverman, 2008</w:t>
            </w:r>
            <w:r w:rsidR="005F6BCB">
              <w:rPr>
                <w:color w:val="000000"/>
                <w:sz w:val="18"/>
                <w:szCs w:val="18"/>
              </w:rPr>
              <w:fldChar w:fldCharType="begin"/>
            </w:r>
            <w:r>
              <w:rPr>
                <w:color w:val="000000"/>
                <w:sz w:val="18"/>
                <w:szCs w:val="18"/>
              </w:rPr>
              <w:instrText xml:space="preserve"> ADDIN EN.CITE &lt;EndNote&gt;&lt;Cite ExcludeAuth="1" ExcludeYear="1"&gt;&lt;RecNum&gt;7035&lt;/RecNum&gt;&lt;DisplayText&gt;&lt;style face="superscript"&gt;121&lt;/style&gt;&lt;/DisplayText&gt;&lt;record&gt;&lt;rec-number&gt;7035&lt;/rec-number&gt;&lt;foreign-keys&gt;&lt;key app="EN" db-id="29ezzfre25wfzbe5ttpvt0wkar525pde22z5"&gt;7035&lt;/key&gt;&lt;/foreign-keys&gt;&lt;ref-type name="Journal Article"&gt;17&lt;/ref-type&gt;&lt;contributors&gt;&lt;authors&gt;&lt;author&gt;Silverman, S. L. &lt;/author&gt;&lt;author&gt;Christiansen, C. &lt;/author&gt;&lt;author&gt;Genant, H. K. &lt;/author&gt;&lt;author&gt;Vukicevic, S. &lt;/author&gt;&lt;author&gt;Zanchetta, J. R. &lt;/author&gt;&lt;author&gt;de Villiers, T. J. &lt;/author&gt;&lt;author&gt;Constantine, G. D. &lt;/author&gt;&lt;author&gt;Chines, A. A.&lt;/author&gt;&lt;/authors&gt;&lt;/contributors&gt;&lt;auth-address&gt;Cedars-Sinai Medical Center and University of California, Los Angeles, California, USA. stuarts@slsdss.net&lt;/auth-address&gt;&lt;titles&gt;&lt;title&gt;Efficacy of bazedoxifene in reducing new vertebral fracture risk in postmenopausal women with osteoporosis: results from a 3-year, randomized, placebo-, and active-controlled clinical trial&lt;/title&gt;&lt;secondary-title&gt;J Bone Miner Res&lt;/secondary-title&gt;&lt;/titles&gt;&lt;periodical&gt;&lt;full-title&gt;J Bone Miner Res&lt;/full-title&gt;&lt;/periodical&gt;&lt;pages&gt;1923-34&lt;/pages&gt;&lt;volume&gt;23&lt;/volume&gt;&lt;number&gt;12&lt;/number&gt;&lt;edition&gt;2008/07/31&lt;/edition&gt;&lt;dates&gt;&lt;year&gt;2008&lt;/year&gt;&lt;pub-dates&gt;&lt;date&gt;Dec&lt;/date&gt;&lt;/pub-dates&gt;&lt;/dates&gt;&lt;isbn&gt;1523-4681 (Electronic)&lt;/isbn&gt;&lt;accession-num&gt;18665787&lt;/accession-num&gt;&lt;urls&gt;&lt;related-urls&gt;&lt;url&gt;http://www.ncbi.nlm.nih.gov/entrez/query.fcgi?cmd=Retrieve&amp;amp;db=PubMed&amp;amp;dopt=Citation&amp;amp;list_uids=18665787&lt;/url&gt;&lt;/related-urls&gt;&lt;/urls&gt;&lt;custom5&gt;From &amp;apos;09 CER update report&lt;/custom5&gt;&lt;custom6&gt;Include&lt;/custom6&gt;&lt;electronic-resource-num&gt;10.1359/jbmr.080710&lt;/electronic-resource-num&gt;&lt;research-notes&gt;CER 12&lt;/research-notes&gt;&lt;language&gt;eng&lt;/language&gt;&lt;/record&gt;&lt;/Cite&gt;&lt;/EndNote&gt;</w:instrText>
            </w:r>
            <w:r w:rsidR="005F6BCB">
              <w:rPr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noProof/>
                <w:color w:val="000000"/>
                <w:sz w:val="18"/>
                <w:szCs w:val="18"/>
                <w:vertAlign w:val="superscript"/>
              </w:rPr>
              <w:t>121</w:t>
            </w:r>
            <w:r w:rsidR="005F6BCB">
              <w:rPr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72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raloxifene</w:t>
            </w:r>
          </w:p>
        </w:tc>
        <w:tc>
          <w:tcPr>
            <w:tcW w:w="100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172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n (many exclusion criteria, incl vitamin D use)</w:t>
            </w:r>
          </w:p>
        </w:tc>
        <w:tc>
          <w:tcPr>
            <w:tcW w:w="125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2227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y/n</w:t>
            </w:r>
          </w:p>
        </w:tc>
        <w:tc>
          <w:tcPr>
            <w:tcW w:w="99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56" w:type="dxa"/>
            <w:vAlign w:val="bottom"/>
          </w:tcPr>
          <w:p w:rsidR="00241625" w:rsidRPr="009708F1" w:rsidRDefault="00241625" w:rsidP="001D0AC8">
            <w:pPr>
              <w:jc w:val="right"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7,492</w:t>
            </w:r>
          </w:p>
        </w:tc>
        <w:tc>
          <w:tcPr>
            <w:tcW w:w="1023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95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5.5 out of 7</w:t>
            </w:r>
          </w:p>
        </w:tc>
      </w:tr>
      <w:tr w:rsidR="00241625" w:rsidRPr="009708F1" w:rsidTr="001D0AC8">
        <w:tc>
          <w:tcPr>
            <w:tcW w:w="163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Smith, 2007</w:t>
            </w:r>
            <w:r w:rsidR="005F6BCB">
              <w:rPr>
                <w:color w:val="000000"/>
                <w:sz w:val="18"/>
                <w:szCs w:val="18"/>
              </w:rPr>
              <w:fldChar w:fldCharType="begin"/>
            </w:r>
            <w:r>
              <w:rPr>
                <w:color w:val="000000"/>
                <w:sz w:val="18"/>
                <w:szCs w:val="18"/>
              </w:rPr>
              <w:instrText xml:space="preserve"> ADDIN EN.CITE &lt;EndNote&gt;&lt;Cite ExcludeAuth="1" ExcludeYear="1"&gt;&lt;RecNum&gt;7399&lt;/RecNum&gt;&lt;DisplayText&gt;&lt;style face="superscript"&gt;162&lt;/style&gt;&lt;/DisplayText&gt;&lt;record&gt;&lt;rec-number&gt;7399&lt;/rec-number&gt;&lt;foreign-keys&gt;&lt;key app="EN" db-id="29ezzfre25wfzbe5ttpvt0wkar525pde22z5"&gt;7399&lt;/key&gt;&lt;/foreign-keys&gt;&lt;ref-type name="Journal Article"&gt;17&lt;/ref-type&gt;&lt;contributors&gt;&lt;authors&gt;&lt;author&gt;Smith, H. &lt;/author&gt;&lt;author&gt;Anderson, F. &lt;/author&gt;&lt;author&gt;Raphael, H. &lt;/author&gt;&lt;author&gt;Maslin, P. &lt;/author&gt;&lt;author&gt;Crozier, S. &lt;/author&gt;&lt;author&gt;Cooper, C.&lt;/author&gt;&lt;/authors&gt;&lt;/contributors&gt;&lt;auth-address&gt;Department of Primary Care, Division of Community-based Clinical Sciences, Geriatric Medicine Group, University of Southampton, Southampton General Hospital, Southampton SO16 6YD, UK.&lt;/auth-address&gt;&lt;titles&gt;&lt;title&gt;Effect of annual intramuscular vitamin D on fracture risk in elderly men and women--a population-based, randomized, double-blind, placebo-controlled trial&lt;/title&gt;&lt;secondary-title&gt;Rheumatology (Oxford)&lt;/secondary-title&gt;&lt;/titles&gt;&lt;periodical&gt;&lt;full-title&gt;Rheumatology (Oxford)&lt;/full-title&gt;&lt;/periodical&gt;&lt;pages&gt;1852-7&lt;/pages&gt;&lt;volume&gt;46&lt;/volume&gt;&lt;number&gt;12&lt;/number&gt;&lt;edition&gt;2007/11/14&lt;/edition&gt;&lt;keywords&gt;&lt;keyword&gt;Aged Aged, 80 and over Bone Density/drug effects Dose-Response Relationship, Drug Double-Blind Method Drug Administration Schedule Ergocalciferols/ administration &amp;amp; dosage Female Follow-Up Studies Fractures, Spontaneous/ epidemiology/ prevention &amp;amp; contr&lt;/keyword&gt;&lt;/keywords&gt;&lt;dates&gt;&lt;year&gt;2007&lt;/year&gt;&lt;pub-dates&gt;&lt;date&gt;Dec&lt;/date&gt;&lt;/pub-dates&gt;&lt;/dates&gt;&lt;isbn&gt;1462-0332 (Electronic)&lt;/isbn&gt;&lt;accession-num&gt;17998225&lt;/accession-num&gt;&lt;urls&gt;&lt;/urls&gt;&lt;custom1&gt; PubMed. KQ1 - Vitamin D. &lt;/custom1&gt;&lt;custom2&gt;AD&lt;/custom2&gt;&lt;custom6&gt;Include&lt;/custom6&gt;&lt;electronic-resource-num&gt;kem240 [pii] 10.1093/rheumatology/kem240 [doi]&lt;/electronic-resource-num&gt;&lt;remote-database-provider&gt;Nlm&lt;/remote-database-provider&gt;&lt;language&gt;eng&lt;/language&gt;&lt;/record&gt;&lt;/Cite&gt;&lt;/EndNote&gt;</w:instrText>
            </w:r>
            <w:r w:rsidR="005F6BCB">
              <w:rPr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noProof/>
                <w:color w:val="000000"/>
                <w:sz w:val="18"/>
                <w:szCs w:val="18"/>
                <w:vertAlign w:val="superscript"/>
              </w:rPr>
              <w:t>162</w:t>
            </w:r>
            <w:r w:rsidR="005F6BCB">
              <w:rPr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72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Vitamin D</w:t>
            </w:r>
          </w:p>
        </w:tc>
        <w:tc>
          <w:tcPr>
            <w:tcW w:w="100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172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125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2227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y/y</w:t>
            </w:r>
          </w:p>
        </w:tc>
        <w:tc>
          <w:tcPr>
            <w:tcW w:w="99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56" w:type="dxa"/>
            <w:vAlign w:val="bottom"/>
          </w:tcPr>
          <w:p w:rsidR="00241625" w:rsidRPr="009708F1" w:rsidRDefault="00241625" w:rsidP="001D0AC8">
            <w:pPr>
              <w:jc w:val="right"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9,440</w:t>
            </w:r>
          </w:p>
        </w:tc>
        <w:tc>
          <w:tcPr>
            <w:tcW w:w="1023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95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7 out of 7</w:t>
            </w:r>
          </w:p>
        </w:tc>
      </w:tr>
      <w:tr w:rsidR="00241625" w:rsidRPr="009708F1" w:rsidTr="001D0AC8">
        <w:tc>
          <w:tcPr>
            <w:tcW w:w="163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Xia, 2009</w:t>
            </w:r>
            <w:r w:rsidR="005F6BCB">
              <w:rPr>
                <w:color w:val="000000"/>
                <w:sz w:val="18"/>
                <w:szCs w:val="18"/>
              </w:rPr>
              <w:fldChar w:fldCharType="begin"/>
            </w:r>
            <w:r>
              <w:rPr>
                <w:color w:val="000000"/>
                <w:sz w:val="18"/>
                <w:szCs w:val="18"/>
              </w:rPr>
              <w:instrText xml:space="preserve"> ADDIN EN.CITE &lt;EndNote&gt;&lt;Cite ExcludeAuth="1" ExcludeYear="1"&gt;&lt;RecNum&gt;7303&lt;/RecNum&gt;&lt;DisplayText&gt;&lt;style face="superscript"&gt;227&lt;/style&gt;&lt;/DisplayText&gt;&lt;record&gt;&lt;rec-number&gt;7303&lt;/rec-number&gt;&lt;foreign-keys&gt;&lt;key app="EN" db-id="29ezzfre25wfzbe5ttpvt0wkar525pde22z5"&gt;7303&lt;/key&gt;&lt;/foreign-keys&gt;&lt;ref-type name="Journal Article"&gt;17&lt;/ref-type&gt;&lt;contributors&gt;&lt;authors&gt;&lt;author&gt;Xia, W. B. &lt;/author&gt;&lt;author&gt;Zhang, Z. L. &lt;/author&gt;&lt;author&gt;Wang, H. F. &lt;/author&gt;&lt;author&gt;Meng, X. W. &lt;/author&gt;&lt;author&gt;Zhang, Y.&lt;/author&gt;&lt;author&gt; Zhu, G. Y. &lt;/author&gt;&lt;author&gt;Xing, X. P. &lt;/author&gt;&lt;author&gt;Liu, J. L. &lt;/author&gt;&lt;author&gt;Wang, L. H. &lt;/author&gt;&lt;author&gt;Jiang, Y. &lt;/author&gt;&lt;author&gt;Weng, S. F. &lt;/author&gt;&lt;author&gt;Xu, T. &lt;/author&gt;&lt;author&gt;Hu, Y. Y. &lt;/author&gt;&lt;author&gt;Yu, W. &lt;/author&gt;&lt;author&gt;Tian, J. P.&lt;/author&gt;&lt;/authors&gt;&lt;/contributors&gt;&lt;auth-address&gt;Department of Endocrinology, Peking Union Medical College Hospital, Chinese Academy of Medical Sciences, Peking Union Medical College, Beijing, China.&lt;/auth-address&gt;&lt;titles&gt;&lt;title&gt;The efficacy and safety of calcitriol and/or Caltrate D in elderly Chinese women with low bone mass&lt;/title&gt;&lt;secondary-title&gt;Acta Pharmacol Sin&lt;/secondary-title&gt;&lt;/titles&gt;&lt;periodical&gt;&lt;full-title&gt;Acta Pharmacol Sin&lt;/full-title&gt;&lt;/periodical&gt;&lt;pages&gt;372-8&lt;/pages&gt;&lt;volume&gt;30&lt;/volume&gt;&lt;number&gt;3&lt;/number&gt;&lt;edition&gt;2009/03/06&lt;/edition&gt;&lt;keywords&gt;&lt;keyword&gt;Aged Asian Continental Ancestry Group Bone Density Bone Density Conservation Agents/therapeutic use Calcitriol/ therapeutic use Calcium Carbonate/ therapeutic use Female Humans Lumbar Vertebrae/pathology/radiography Male Osteoporosis/complications/ drug&lt;/keyword&gt;&lt;/keywords&gt;&lt;dates&gt;&lt;year&gt;2009&lt;/year&gt;&lt;pub-dates&gt;&lt;date&gt;Mar&lt;/date&gt;&lt;/pub-dates&gt;&lt;/dates&gt;&lt;isbn&gt;1745-7254 (Electronic)&lt;/isbn&gt;&lt;accession-num&gt;19262561&lt;/accession-num&gt;&lt;urls&gt;&lt;/urls&gt;&lt;custom1&gt; PubMed. KQ1 - Calcium. &lt;/custom1&gt;&lt;custom2&gt;YL&lt;/custom2&gt;&lt;custom6&gt;Include&lt;/custom6&gt;&lt;electronic-resource-num&gt;aps200912 [pii] 10.1038/aps.2009.12 [doi]&lt;/electronic-resource-num&gt;&lt;remote-database-provider&gt;Nlm&lt;/remote-database-provider&gt;&lt;language&gt;eng&lt;/language&gt;&lt;/record&gt;&lt;/Cite&gt;&lt;/EndNote&gt;</w:instrText>
            </w:r>
            <w:r w:rsidR="005F6BCB">
              <w:rPr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noProof/>
                <w:color w:val="000000"/>
                <w:sz w:val="18"/>
                <w:szCs w:val="18"/>
                <w:vertAlign w:val="superscript"/>
              </w:rPr>
              <w:t>227</w:t>
            </w:r>
            <w:r w:rsidR="005F6BCB">
              <w:rPr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72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Calcium and Vitamin D</w:t>
            </w:r>
          </w:p>
        </w:tc>
        <w:tc>
          <w:tcPr>
            <w:tcW w:w="1000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172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 (Chinese women)</w:t>
            </w:r>
          </w:p>
        </w:tc>
        <w:tc>
          <w:tcPr>
            <w:tcW w:w="1259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2227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y/n</w:t>
            </w:r>
          </w:p>
        </w:tc>
        <w:tc>
          <w:tcPr>
            <w:tcW w:w="996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56" w:type="dxa"/>
            <w:vAlign w:val="bottom"/>
          </w:tcPr>
          <w:p w:rsidR="00241625" w:rsidRPr="009708F1" w:rsidRDefault="00241625" w:rsidP="001D0AC8">
            <w:pPr>
              <w:jc w:val="right"/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150</w:t>
            </w:r>
          </w:p>
        </w:tc>
        <w:tc>
          <w:tcPr>
            <w:tcW w:w="1023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995" w:type="dxa"/>
            <w:vAlign w:val="bottom"/>
          </w:tcPr>
          <w:p w:rsidR="00241625" w:rsidRPr="009708F1" w:rsidRDefault="00241625" w:rsidP="001D0AC8">
            <w:pPr>
              <w:rPr>
                <w:color w:val="000000"/>
                <w:sz w:val="18"/>
                <w:szCs w:val="18"/>
              </w:rPr>
            </w:pPr>
            <w:r w:rsidRPr="009708F1">
              <w:rPr>
                <w:color w:val="000000"/>
                <w:sz w:val="18"/>
                <w:szCs w:val="18"/>
              </w:rPr>
              <w:t>6.5 out of 7</w:t>
            </w:r>
          </w:p>
        </w:tc>
      </w:tr>
    </w:tbl>
    <w:p w:rsidR="00241625" w:rsidRPr="009708F1" w:rsidRDefault="00241625" w:rsidP="00241625">
      <w:r w:rsidRPr="009708F1">
        <w:t>*p=probably</w:t>
      </w:r>
    </w:p>
    <w:p w:rsidR="00B948ED" w:rsidRDefault="00241625" w:rsidP="00241625">
      <w:r w:rsidRPr="009708F1">
        <w:t>**n&lt;100 considered "no"</w:t>
      </w:r>
      <w:bookmarkStart w:id="0" w:name="_GoBack"/>
      <w:bookmarkEnd w:id="0"/>
    </w:p>
    <w:sectPr w:rsidR="00B948ED" w:rsidSect="00B948ED">
      <w:headerReference w:type="default" r:id="rId17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3FE" w:rsidRDefault="00D233FE">
      <w:r>
        <w:separator/>
      </w:r>
    </w:p>
    <w:p w:rsidR="00D233FE" w:rsidRDefault="00D233FE"/>
    <w:p w:rsidR="00D233FE" w:rsidRDefault="00D233FE"/>
    <w:p w:rsidR="00D233FE" w:rsidRDefault="00D233FE"/>
    <w:p w:rsidR="00D233FE" w:rsidRDefault="00D233FE"/>
  </w:endnote>
  <w:endnote w:type="continuationSeparator" w:id="0">
    <w:p w:rsidR="00D233FE" w:rsidRDefault="00D233FE">
      <w:r>
        <w:continuationSeparator/>
      </w:r>
    </w:p>
    <w:p w:rsidR="00D233FE" w:rsidRDefault="00D233FE"/>
    <w:p w:rsidR="00D233FE" w:rsidRDefault="00D233FE"/>
    <w:p w:rsidR="00D233FE" w:rsidRDefault="00D233FE"/>
    <w:p w:rsidR="00D233FE" w:rsidRDefault="00D233F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DD0694-0DD7-4374-90F7-69A88B19BA9D}"/>
    <w:embedBold r:id="rId2" w:fontKey="{1CE3E46E-F078-492F-BCA8-313C69588C95}"/>
    <w:embedItalic r:id="rId3" w:fontKey="{068677C4-44E7-4E67-8D9E-B9484DC6B408}"/>
    <w:embedBoldItalic r:id="rId4" w:fontKey="{49673591-E9B3-48CB-8FB4-6AB0401A9D0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Regular r:id="rId5" w:fontKey="{336E4DC2-856C-453A-B047-1D3407E167A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ED2BB08-DC48-4E75-B039-81DFEB7C23AB}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7" w:fontKey="{62ECCAE8-1F23-47D2-A3D9-23BCD698F064}"/>
    <w:embedBold r:id="rId8" w:fontKey="{1A016407-5265-4033-A4BD-1CCC53302C12}"/>
    <w:embedItalic r:id="rId9" w:fontKey="{B33C0DE2-F2C5-4AE7-99A6-FC77FBC1DB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F7C68655-2A5A-4470-B94E-C765D767B6F8}"/>
    <w:embedBold r:id="rId11" w:fontKey="{6DEF50DC-4923-4C94-903D-64BFFA1AE65E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12" w:fontKey="{5EE9BC11-2078-478D-A383-E8222EA9F394}"/>
    <w:embedBold r:id="rId13" w:fontKey="{9DB5CD7B-B9C1-4466-B0EC-A1D0B197F5C9}"/>
    <w:embedItalic r:id="rId14" w:fontKey="{0329FB3F-9308-44B4-BE7A-76DC4D69914F}"/>
    <w:embedBoldItalic r:id="rId15" w:fontKey="{D52034FA-DBF6-439B-B7C6-1D061C3A9B6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6" w:fontKey="{0F2DB1B8-47BC-41D1-AD10-F4B6C6EA00A9}"/>
    <w:embedBold r:id="rId17" w:fontKey="{B4873EE4-59DC-4E8A-9059-AEC5769A4B5D}"/>
    <w:embedBoldItalic r:id="rId18" w:fontKey="{E025703C-9A58-41EF-8658-29585AED350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9" w:fontKey="{48C0E542-F4A4-40CB-B774-74BEE0DDE3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A1D" w:rsidRPr="00206ED5" w:rsidRDefault="00A83A1D" w:rsidP="00206ED5">
    <w:pPr>
      <w:pStyle w:val="Footer"/>
      <w:spacing w:before="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3FE" w:rsidRDefault="00D233FE">
      <w:r>
        <w:separator/>
      </w:r>
    </w:p>
    <w:p w:rsidR="00D233FE" w:rsidRDefault="00D233FE"/>
    <w:p w:rsidR="00D233FE" w:rsidRDefault="00D233FE"/>
    <w:p w:rsidR="00D233FE" w:rsidRDefault="00D233FE"/>
    <w:p w:rsidR="00D233FE" w:rsidRDefault="00D233FE"/>
  </w:footnote>
  <w:footnote w:type="continuationSeparator" w:id="0">
    <w:p w:rsidR="00D233FE" w:rsidRDefault="00D233FE">
      <w:r>
        <w:continuationSeparator/>
      </w:r>
    </w:p>
    <w:p w:rsidR="00D233FE" w:rsidRDefault="00D233FE"/>
    <w:p w:rsidR="00D233FE" w:rsidRDefault="00D233FE"/>
    <w:p w:rsidR="00D233FE" w:rsidRDefault="00D233FE"/>
    <w:p w:rsidR="00D233FE" w:rsidRDefault="00D233F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5120"/>
    </w:tblGrid>
    <w:tr w:rsidR="00E15DBE">
      <w:trPr>
        <w:cantSplit/>
      </w:trPr>
      <w:tc>
        <w:tcPr>
          <w:tcW w:w="15120" w:type="dxa"/>
          <w:tcBorders>
            <w:top w:val="nil"/>
            <w:left w:val="nil"/>
            <w:bottom w:val="nil"/>
            <w:right w:val="nil"/>
          </w:tcBorders>
          <w:shd w:val="clear" w:color="auto" w:fill="FFFFFF"/>
        </w:tcPr>
        <w:p w:rsidR="00E15DBE" w:rsidRDefault="00E15DBE" w:rsidP="001D0AC8">
          <w:pPr>
            <w:keepNext/>
            <w:adjustRightInd w:val="0"/>
            <w:spacing w:before="10" w:after="10"/>
            <w:rPr>
              <w:rFonts w:cs="Times"/>
              <w:color w:val="000000"/>
            </w:rPr>
          </w:pPr>
          <w:r>
            <w:rPr>
              <w:rFonts w:cs="Times"/>
              <w:color w:val="000000"/>
            </w:rPr>
            <w:t>Evidence Table C-5. Adverse Events</w:t>
          </w:r>
        </w:p>
      </w:tc>
    </w:tr>
    <w:tr w:rsidR="00E15DBE">
      <w:trPr>
        <w:cantSplit/>
      </w:trPr>
      <w:tc>
        <w:tcPr>
          <w:tcW w:w="15120" w:type="dxa"/>
          <w:tcBorders>
            <w:top w:val="nil"/>
            <w:left w:val="nil"/>
            <w:bottom w:val="nil"/>
            <w:right w:val="nil"/>
          </w:tcBorders>
          <w:shd w:val="clear" w:color="auto" w:fill="FFFFFF"/>
        </w:tcPr>
        <w:p w:rsidR="00E15DBE" w:rsidRDefault="00E15DBE">
          <w:pPr>
            <w:adjustRightInd w:val="0"/>
            <w:spacing w:before="10" w:after="10"/>
            <w:rPr>
              <w:rFonts w:cs="Times"/>
              <w:color w:val="000000"/>
            </w:rPr>
          </w:pPr>
          <w:r>
            <w:rPr>
              <w:rFonts w:cs="Times"/>
              <w:color w:val="000000"/>
            </w:rPr>
            <w:t>Bisphosphonates</w:t>
          </w:r>
        </w:p>
      </w:tc>
    </w:tr>
  </w:tbl>
  <w:p w:rsidR="00E15DBE" w:rsidRDefault="00E15DBE">
    <w:pPr>
      <w:adjustRightInd w:val="0"/>
      <w:rPr>
        <w:rFonts w:cs="Times"/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5120"/>
    </w:tblGrid>
    <w:tr w:rsidR="00A83A1D">
      <w:trPr>
        <w:cantSplit/>
      </w:trPr>
      <w:tc>
        <w:tcPr>
          <w:tcW w:w="15120" w:type="dxa"/>
          <w:tcBorders>
            <w:top w:val="nil"/>
            <w:left w:val="nil"/>
            <w:bottom w:val="nil"/>
            <w:right w:val="nil"/>
          </w:tcBorders>
          <w:shd w:val="clear" w:color="auto" w:fill="FFFFFF"/>
        </w:tcPr>
        <w:p w:rsidR="00A83A1D" w:rsidRDefault="00A83A1D" w:rsidP="001D0AC8">
          <w:pPr>
            <w:keepNext/>
            <w:adjustRightInd w:val="0"/>
            <w:spacing w:before="10" w:after="10"/>
            <w:rPr>
              <w:rFonts w:cs="Times"/>
              <w:color w:val="000000"/>
            </w:rPr>
          </w:pPr>
          <w:r>
            <w:rPr>
              <w:rFonts w:cs="Times"/>
              <w:color w:val="000000"/>
            </w:rPr>
            <w:t>Evidence Table C-5. Adverse Events</w:t>
          </w:r>
        </w:p>
      </w:tc>
    </w:tr>
    <w:tr w:rsidR="00A83A1D">
      <w:trPr>
        <w:cantSplit/>
      </w:trPr>
      <w:tc>
        <w:tcPr>
          <w:tcW w:w="15120" w:type="dxa"/>
          <w:tcBorders>
            <w:top w:val="nil"/>
            <w:left w:val="nil"/>
            <w:bottom w:val="nil"/>
            <w:right w:val="nil"/>
          </w:tcBorders>
          <w:shd w:val="clear" w:color="auto" w:fill="FFFFFF"/>
        </w:tcPr>
        <w:p w:rsidR="00A83A1D" w:rsidRDefault="00A83A1D">
          <w:pPr>
            <w:adjustRightInd w:val="0"/>
            <w:spacing w:before="10" w:after="10"/>
            <w:rPr>
              <w:rFonts w:cs="Times"/>
              <w:color w:val="000000"/>
            </w:rPr>
          </w:pPr>
          <w:r>
            <w:rPr>
              <w:rFonts w:cs="Times"/>
              <w:color w:val="000000"/>
            </w:rPr>
            <w:t>SERMs</w:t>
          </w:r>
        </w:p>
      </w:tc>
    </w:tr>
  </w:tbl>
  <w:p w:rsidR="00A83A1D" w:rsidRDefault="00A83A1D">
    <w:pPr>
      <w:adjustRightInd w:val="0"/>
      <w:rPr>
        <w:rFonts w:cs="Times"/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5120"/>
    </w:tblGrid>
    <w:tr w:rsidR="00A83A1D">
      <w:trPr>
        <w:cantSplit/>
      </w:trPr>
      <w:tc>
        <w:tcPr>
          <w:tcW w:w="15120" w:type="dxa"/>
          <w:tcBorders>
            <w:top w:val="nil"/>
            <w:left w:val="nil"/>
            <w:bottom w:val="nil"/>
            <w:right w:val="nil"/>
          </w:tcBorders>
          <w:shd w:val="clear" w:color="auto" w:fill="FFFFFF"/>
        </w:tcPr>
        <w:p w:rsidR="00A83A1D" w:rsidRDefault="00A83A1D" w:rsidP="001D0AC8">
          <w:pPr>
            <w:keepNext/>
            <w:adjustRightInd w:val="0"/>
            <w:spacing w:before="10" w:after="10"/>
            <w:rPr>
              <w:rFonts w:cs="Times"/>
              <w:color w:val="000000"/>
            </w:rPr>
          </w:pPr>
          <w:r>
            <w:rPr>
              <w:rFonts w:cs="Times"/>
              <w:color w:val="000000"/>
            </w:rPr>
            <w:t>Evidence Table C-5. Adverse Events</w:t>
          </w:r>
        </w:p>
      </w:tc>
    </w:tr>
    <w:tr w:rsidR="00A83A1D">
      <w:trPr>
        <w:cantSplit/>
      </w:trPr>
      <w:tc>
        <w:tcPr>
          <w:tcW w:w="15120" w:type="dxa"/>
          <w:tcBorders>
            <w:top w:val="nil"/>
            <w:left w:val="nil"/>
            <w:bottom w:val="nil"/>
            <w:right w:val="nil"/>
          </w:tcBorders>
          <w:shd w:val="clear" w:color="auto" w:fill="FFFFFF"/>
        </w:tcPr>
        <w:p w:rsidR="00A83A1D" w:rsidRDefault="00A83A1D">
          <w:pPr>
            <w:adjustRightInd w:val="0"/>
            <w:spacing w:before="10" w:after="10"/>
            <w:rPr>
              <w:rFonts w:cs="Times"/>
              <w:color w:val="000000"/>
            </w:rPr>
          </w:pPr>
          <w:r>
            <w:rPr>
              <w:rFonts w:cs="Times"/>
              <w:color w:val="000000"/>
            </w:rPr>
            <w:t>Parathyroid hormone</w:t>
          </w:r>
        </w:p>
      </w:tc>
    </w:tr>
  </w:tbl>
  <w:p w:rsidR="00A83A1D" w:rsidRDefault="00A83A1D">
    <w:pPr>
      <w:adjustRightInd w:val="0"/>
      <w:rPr>
        <w:rFonts w:cs="Times"/>
        <w:color w:val="00000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5120"/>
    </w:tblGrid>
    <w:tr w:rsidR="00A83A1D">
      <w:trPr>
        <w:cantSplit/>
      </w:trPr>
      <w:tc>
        <w:tcPr>
          <w:tcW w:w="15120" w:type="dxa"/>
          <w:tcBorders>
            <w:top w:val="nil"/>
            <w:left w:val="nil"/>
            <w:bottom w:val="nil"/>
            <w:right w:val="nil"/>
          </w:tcBorders>
          <w:shd w:val="clear" w:color="auto" w:fill="FFFFFF"/>
        </w:tcPr>
        <w:p w:rsidR="00A83A1D" w:rsidRDefault="00A83A1D" w:rsidP="001D0AC8">
          <w:pPr>
            <w:keepNext/>
            <w:adjustRightInd w:val="0"/>
            <w:spacing w:before="10" w:after="10"/>
            <w:rPr>
              <w:rFonts w:cs="Times"/>
              <w:color w:val="000000"/>
            </w:rPr>
          </w:pPr>
          <w:r>
            <w:rPr>
              <w:rFonts w:cs="Times"/>
              <w:color w:val="000000"/>
            </w:rPr>
            <w:t>Evidence Table C-5. Adverse Events</w:t>
          </w:r>
        </w:p>
      </w:tc>
    </w:tr>
    <w:tr w:rsidR="00A83A1D">
      <w:trPr>
        <w:cantSplit/>
      </w:trPr>
      <w:tc>
        <w:tcPr>
          <w:tcW w:w="15120" w:type="dxa"/>
          <w:tcBorders>
            <w:top w:val="nil"/>
            <w:left w:val="nil"/>
            <w:bottom w:val="nil"/>
            <w:right w:val="nil"/>
          </w:tcBorders>
          <w:shd w:val="clear" w:color="auto" w:fill="FFFFFF"/>
        </w:tcPr>
        <w:p w:rsidR="00A83A1D" w:rsidRDefault="00A83A1D">
          <w:pPr>
            <w:adjustRightInd w:val="0"/>
            <w:spacing w:before="10" w:after="10"/>
            <w:rPr>
              <w:rFonts w:cs="Times"/>
              <w:color w:val="000000"/>
            </w:rPr>
          </w:pPr>
          <w:r>
            <w:rPr>
              <w:rFonts w:cs="Times"/>
              <w:color w:val="000000"/>
            </w:rPr>
            <w:t>Denosumab</w:t>
          </w:r>
        </w:p>
      </w:tc>
    </w:tr>
  </w:tbl>
  <w:p w:rsidR="00A83A1D" w:rsidRDefault="00A83A1D">
    <w:pPr>
      <w:adjustRightInd w:val="0"/>
      <w:rPr>
        <w:rFonts w:cs="Times"/>
        <w:color w:val="00000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5120"/>
    </w:tblGrid>
    <w:tr w:rsidR="00A83A1D">
      <w:trPr>
        <w:cantSplit/>
      </w:trPr>
      <w:tc>
        <w:tcPr>
          <w:tcW w:w="15120" w:type="dxa"/>
          <w:tcBorders>
            <w:top w:val="nil"/>
            <w:left w:val="nil"/>
            <w:bottom w:val="nil"/>
            <w:right w:val="nil"/>
          </w:tcBorders>
          <w:shd w:val="clear" w:color="auto" w:fill="FFFFFF"/>
        </w:tcPr>
        <w:p w:rsidR="00A83A1D" w:rsidRDefault="00A83A1D" w:rsidP="001D0AC8">
          <w:pPr>
            <w:keepNext/>
            <w:adjustRightInd w:val="0"/>
            <w:spacing w:before="10" w:after="10"/>
            <w:rPr>
              <w:rFonts w:cs="Times"/>
              <w:color w:val="000000"/>
            </w:rPr>
          </w:pPr>
          <w:r>
            <w:rPr>
              <w:rFonts w:cs="Times"/>
              <w:color w:val="000000"/>
            </w:rPr>
            <w:t>Evidence Table C-5. Adverse Events</w:t>
          </w:r>
        </w:p>
      </w:tc>
    </w:tr>
    <w:tr w:rsidR="00A83A1D">
      <w:trPr>
        <w:cantSplit/>
      </w:trPr>
      <w:tc>
        <w:tcPr>
          <w:tcW w:w="15120" w:type="dxa"/>
          <w:tcBorders>
            <w:top w:val="nil"/>
            <w:left w:val="nil"/>
            <w:bottom w:val="nil"/>
            <w:right w:val="nil"/>
          </w:tcBorders>
          <w:shd w:val="clear" w:color="auto" w:fill="FFFFFF"/>
        </w:tcPr>
        <w:p w:rsidR="00A83A1D" w:rsidRDefault="00A83A1D">
          <w:pPr>
            <w:adjustRightInd w:val="0"/>
            <w:spacing w:before="10" w:after="10"/>
            <w:rPr>
              <w:rFonts w:cs="Times"/>
              <w:color w:val="000000"/>
            </w:rPr>
          </w:pPr>
          <w:r>
            <w:rPr>
              <w:rFonts w:cs="Times"/>
              <w:color w:val="000000"/>
            </w:rPr>
            <w:t>Estrogen</w:t>
          </w:r>
        </w:p>
      </w:tc>
    </w:tr>
  </w:tbl>
  <w:p w:rsidR="00A83A1D" w:rsidRDefault="00A83A1D">
    <w:pPr>
      <w:adjustRightInd w:val="0"/>
      <w:rPr>
        <w:rFonts w:cs="Times"/>
        <w:color w:val="00000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5120"/>
    </w:tblGrid>
    <w:tr w:rsidR="00A83A1D">
      <w:trPr>
        <w:cantSplit/>
      </w:trPr>
      <w:tc>
        <w:tcPr>
          <w:tcW w:w="15120" w:type="dxa"/>
          <w:tcBorders>
            <w:top w:val="nil"/>
            <w:left w:val="nil"/>
            <w:bottom w:val="nil"/>
            <w:right w:val="nil"/>
          </w:tcBorders>
          <w:shd w:val="clear" w:color="auto" w:fill="FFFFFF"/>
        </w:tcPr>
        <w:p w:rsidR="00A83A1D" w:rsidRDefault="00A83A1D" w:rsidP="001D0AC8">
          <w:pPr>
            <w:keepNext/>
            <w:adjustRightInd w:val="0"/>
            <w:spacing w:before="10" w:after="10"/>
            <w:rPr>
              <w:rFonts w:cs="Times"/>
              <w:color w:val="000000"/>
            </w:rPr>
          </w:pPr>
          <w:r>
            <w:rPr>
              <w:rFonts w:cs="Times"/>
              <w:color w:val="000000"/>
            </w:rPr>
            <w:t>Evidence Table C-5. Adverse Events</w:t>
          </w:r>
        </w:p>
      </w:tc>
    </w:tr>
    <w:tr w:rsidR="00A83A1D">
      <w:trPr>
        <w:cantSplit/>
      </w:trPr>
      <w:tc>
        <w:tcPr>
          <w:tcW w:w="15120" w:type="dxa"/>
          <w:tcBorders>
            <w:top w:val="nil"/>
            <w:left w:val="nil"/>
            <w:bottom w:val="nil"/>
            <w:right w:val="nil"/>
          </w:tcBorders>
          <w:shd w:val="clear" w:color="auto" w:fill="FFFFFF"/>
        </w:tcPr>
        <w:p w:rsidR="00A83A1D" w:rsidRDefault="00A83A1D">
          <w:pPr>
            <w:adjustRightInd w:val="0"/>
            <w:spacing w:before="10" w:after="10"/>
            <w:rPr>
              <w:rFonts w:cs="Times"/>
              <w:color w:val="000000"/>
            </w:rPr>
          </w:pPr>
          <w:r>
            <w:rPr>
              <w:rFonts w:cs="Times"/>
              <w:color w:val="000000"/>
            </w:rPr>
            <w:t>Calcium/Vitamin D</w:t>
          </w:r>
        </w:p>
      </w:tc>
    </w:tr>
  </w:tbl>
  <w:p w:rsidR="00A83A1D" w:rsidRDefault="00A83A1D">
    <w:pPr>
      <w:adjustRightInd w:val="0"/>
      <w:rPr>
        <w:rFonts w:cs="Times"/>
        <w:color w:val="00000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5120"/>
    </w:tblGrid>
    <w:tr w:rsidR="00A83A1D">
      <w:trPr>
        <w:cantSplit/>
      </w:trPr>
      <w:tc>
        <w:tcPr>
          <w:tcW w:w="15120" w:type="dxa"/>
          <w:tcBorders>
            <w:top w:val="nil"/>
            <w:left w:val="nil"/>
            <w:bottom w:val="nil"/>
            <w:right w:val="nil"/>
          </w:tcBorders>
          <w:shd w:val="clear" w:color="auto" w:fill="FFFFFF"/>
        </w:tcPr>
        <w:p w:rsidR="00A83A1D" w:rsidRDefault="00A83A1D" w:rsidP="001D0AC8">
          <w:pPr>
            <w:keepNext/>
            <w:adjustRightInd w:val="0"/>
            <w:spacing w:before="10" w:after="10"/>
            <w:rPr>
              <w:rFonts w:cs="Times"/>
              <w:color w:val="000000"/>
            </w:rPr>
          </w:pPr>
          <w:r>
            <w:rPr>
              <w:rFonts w:cs="Times"/>
              <w:color w:val="000000"/>
            </w:rPr>
            <w:t>Evidence Table C-5. Adverse Events</w:t>
          </w:r>
        </w:p>
      </w:tc>
    </w:tr>
    <w:tr w:rsidR="00A83A1D">
      <w:trPr>
        <w:cantSplit/>
      </w:trPr>
      <w:tc>
        <w:tcPr>
          <w:tcW w:w="15120" w:type="dxa"/>
          <w:tcBorders>
            <w:top w:val="nil"/>
            <w:left w:val="nil"/>
            <w:bottom w:val="nil"/>
            <w:right w:val="nil"/>
          </w:tcBorders>
          <w:shd w:val="clear" w:color="auto" w:fill="FFFFFF"/>
        </w:tcPr>
        <w:p w:rsidR="00A83A1D" w:rsidRDefault="00A83A1D">
          <w:pPr>
            <w:adjustRightInd w:val="0"/>
            <w:spacing w:before="10" w:after="10"/>
            <w:rPr>
              <w:rFonts w:cs="Times"/>
              <w:color w:val="000000"/>
            </w:rPr>
          </w:pPr>
          <w:r>
            <w:rPr>
              <w:rFonts w:cs="Times"/>
              <w:color w:val="000000"/>
            </w:rPr>
            <w:t>Physical Activity</w:t>
          </w:r>
        </w:p>
      </w:tc>
    </w:tr>
  </w:tbl>
  <w:p w:rsidR="00A83A1D" w:rsidRDefault="00A83A1D">
    <w:pPr>
      <w:adjustRightInd w:val="0"/>
      <w:rPr>
        <w:rFonts w:cs="Times"/>
        <w:color w:val="00000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5120"/>
    </w:tblGrid>
    <w:tr w:rsidR="00B948ED" w:rsidTr="008A1BC4">
      <w:trPr>
        <w:cantSplit/>
      </w:trPr>
      <w:tc>
        <w:tcPr>
          <w:tcW w:w="15120" w:type="dxa"/>
          <w:tcBorders>
            <w:top w:val="nil"/>
            <w:left w:val="nil"/>
            <w:bottom w:val="nil"/>
            <w:right w:val="nil"/>
          </w:tcBorders>
          <w:shd w:val="clear" w:color="auto" w:fill="FFFFFF"/>
        </w:tcPr>
        <w:p w:rsidR="00B948ED" w:rsidRDefault="00B948ED" w:rsidP="008A1BC4">
          <w:pPr>
            <w:keepNext/>
            <w:adjustRightInd w:val="0"/>
            <w:spacing w:before="10" w:after="10"/>
            <w:rPr>
              <w:rFonts w:cs="Times"/>
              <w:color w:val="000000"/>
            </w:rPr>
          </w:pPr>
          <w:r>
            <w:rPr>
              <w:rFonts w:cs="Times"/>
              <w:color w:val="000000"/>
            </w:rPr>
            <w:t>Evidence Table C-5. Adverse Events</w:t>
          </w:r>
        </w:p>
      </w:tc>
    </w:tr>
    <w:tr w:rsidR="00B948ED" w:rsidTr="008A1BC4">
      <w:trPr>
        <w:cantSplit/>
      </w:trPr>
      <w:tc>
        <w:tcPr>
          <w:tcW w:w="15120" w:type="dxa"/>
          <w:tcBorders>
            <w:top w:val="nil"/>
            <w:left w:val="nil"/>
            <w:bottom w:val="nil"/>
            <w:right w:val="nil"/>
          </w:tcBorders>
          <w:shd w:val="clear" w:color="auto" w:fill="FFFFFF"/>
        </w:tcPr>
        <w:p w:rsidR="00B948ED" w:rsidRDefault="00B948ED" w:rsidP="008A1BC4">
          <w:pPr>
            <w:adjustRightInd w:val="0"/>
            <w:spacing w:before="10" w:after="10"/>
            <w:rPr>
              <w:rFonts w:cs="Times"/>
              <w:color w:val="000000"/>
            </w:rPr>
          </w:pPr>
          <w:r>
            <w:rPr>
              <w:rFonts w:cs="Times"/>
              <w:color w:val="000000"/>
            </w:rPr>
            <w:t>Physical Activity</w:t>
          </w:r>
        </w:p>
      </w:tc>
    </w:tr>
  </w:tbl>
  <w:p w:rsidR="00A83A1D" w:rsidRDefault="00A83A1D">
    <w:pPr>
      <w:adjustRightInd w:val="0"/>
      <w:rPr>
        <w:rFonts w:cs="Times"/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9pt;height:9pt" o:bullet="t">
        <v:imagedata r:id="rId1" o:title=""/>
      </v:shape>
    </w:pict>
  </w:numPicBullet>
  <w:abstractNum w:abstractNumId="0">
    <w:nsid w:val="FFFFFF7C"/>
    <w:multiLevelType w:val="singleLevel"/>
    <w:tmpl w:val="164A7A6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644896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277037D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5694C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469C375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186D55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45A0C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0447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3E030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78664D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031062"/>
    <w:multiLevelType w:val="hybridMultilevel"/>
    <w:tmpl w:val="83FCDA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030870FE"/>
    <w:multiLevelType w:val="multilevel"/>
    <w:tmpl w:val="80AA9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54B3788"/>
    <w:multiLevelType w:val="multilevel"/>
    <w:tmpl w:val="39A62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6521E9B"/>
    <w:multiLevelType w:val="hybridMultilevel"/>
    <w:tmpl w:val="119832B8"/>
    <w:lvl w:ilvl="0" w:tplc="D8F610F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74C132B"/>
    <w:multiLevelType w:val="hybridMultilevel"/>
    <w:tmpl w:val="39A6269A"/>
    <w:lvl w:ilvl="0" w:tplc="279AAD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B4226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098B38DD"/>
    <w:multiLevelType w:val="hybridMultilevel"/>
    <w:tmpl w:val="88328426"/>
    <w:lvl w:ilvl="0" w:tplc="279AAD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B4226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E2853EF"/>
    <w:multiLevelType w:val="hybridMultilevel"/>
    <w:tmpl w:val="B4F0105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1715E88"/>
    <w:multiLevelType w:val="hybridMultilevel"/>
    <w:tmpl w:val="3E548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CBB720B"/>
    <w:multiLevelType w:val="multilevel"/>
    <w:tmpl w:val="39A62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D0209A4"/>
    <w:multiLevelType w:val="multilevel"/>
    <w:tmpl w:val="80AA9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1421E83"/>
    <w:multiLevelType w:val="hybridMultilevel"/>
    <w:tmpl w:val="87F89D22"/>
    <w:lvl w:ilvl="0" w:tplc="EC0642C0">
      <w:start w:val="1"/>
      <w:numFmt w:val="decimal"/>
      <w:pStyle w:val="Studies2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17E22DB"/>
    <w:multiLevelType w:val="hybridMultilevel"/>
    <w:tmpl w:val="A6A0BC7A"/>
    <w:lvl w:ilvl="0" w:tplc="279AAD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B4226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BA1228">
      <w:start w:val="1"/>
      <w:numFmt w:val="bullet"/>
      <w:lvlText w:val="o"/>
      <w:lvlJc w:val="left"/>
      <w:pPr>
        <w:tabs>
          <w:tab w:val="num" w:pos="2347"/>
        </w:tabs>
        <w:ind w:left="2347" w:hanging="367"/>
      </w:pPr>
      <w:rPr>
        <w:rFonts w:ascii="Courier New" w:hAnsi="Courier New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21379CA"/>
    <w:multiLevelType w:val="hybridMultilevel"/>
    <w:tmpl w:val="15AE2136"/>
    <w:lvl w:ilvl="0" w:tplc="279AAD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B4226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BA1228">
      <w:start w:val="1"/>
      <w:numFmt w:val="bullet"/>
      <w:lvlText w:val="o"/>
      <w:lvlJc w:val="left"/>
      <w:pPr>
        <w:tabs>
          <w:tab w:val="num" w:pos="2347"/>
        </w:tabs>
        <w:ind w:left="2347" w:hanging="367"/>
      </w:pPr>
      <w:rPr>
        <w:rFonts w:ascii="Courier New" w:hAnsi="Courier New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2BA6E5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>
    <w:nsid w:val="230C3DCE"/>
    <w:multiLevelType w:val="hybridMultilevel"/>
    <w:tmpl w:val="7F402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75A611B"/>
    <w:multiLevelType w:val="hybridMultilevel"/>
    <w:tmpl w:val="0E3EBD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27E40F79"/>
    <w:multiLevelType w:val="hybridMultilevel"/>
    <w:tmpl w:val="7E120A0A"/>
    <w:lvl w:ilvl="0" w:tplc="279AAD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B4226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2C904427"/>
    <w:multiLevelType w:val="multilevel"/>
    <w:tmpl w:val="99A26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8ED20FD"/>
    <w:multiLevelType w:val="hybridMultilevel"/>
    <w:tmpl w:val="8342DC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3E767755"/>
    <w:multiLevelType w:val="hybridMultilevel"/>
    <w:tmpl w:val="99A26C72"/>
    <w:lvl w:ilvl="0" w:tplc="279AAD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B4226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02769A3"/>
    <w:multiLevelType w:val="multilevel"/>
    <w:tmpl w:val="99A26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29522AB"/>
    <w:multiLevelType w:val="multilevel"/>
    <w:tmpl w:val="6AFEF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2DB1730"/>
    <w:multiLevelType w:val="hybridMultilevel"/>
    <w:tmpl w:val="A9549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3AB3434"/>
    <w:multiLevelType w:val="multilevel"/>
    <w:tmpl w:val="80AA9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4D5B6CB1"/>
    <w:multiLevelType w:val="multilevel"/>
    <w:tmpl w:val="99A26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16F6083"/>
    <w:multiLevelType w:val="hybridMultilevel"/>
    <w:tmpl w:val="528EACFC"/>
    <w:lvl w:ilvl="0" w:tplc="6B58992C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92C9C8">
      <w:start w:val="1"/>
      <w:numFmt w:val="bullet"/>
      <w:pStyle w:val="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3A81DE5"/>
    <w:multiLevelType w:val="multilevel"/>
    <w:tmpl w:val="99A26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7702222"/>
    <w:multiLevelType w:val="hybridMultilevel"/>
    <w:tmpl w:val="6AFEF3BE"/>
    <w:lvl w:ilvl="0" w:tplc="279AAD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B4226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862686B"/>
    <w:multiLevelType w:val="hybridMultilevel"/>
    <w:tmpl w:val="1DC8E712"/>
    <w:lvl w:ilvl="0" w:tplc="279AAD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B4226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BA1228">
      <w:start w:val="1"/>
      <w:numFmt w:val="bullet"/>
      <w:lvlText w:val="o"/>
      <w:lvlJc w:val="left"/>
      <w:pPr>
        <w:tabs>
          <w:tab w:val="num" w:pos="2347"/>
        </w:tabs>
        <w:ind w:left="2347" w:hanging="367"/>
      </w:pPr>
      <w:rPr>
        <w:rFonts w:ascii="Courier New" w:hAnsi="Courier New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92649E3"/>
    <w:multiLevelType w:val="hybridMultilevel"/>
    <w:tmpl w:val="9BA6BC0A"/>
    <w:lvl w:ilvl="0" w:tplc="279AAD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B4226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DDC7FB9"/>
    <w:multiLevelType w:val="hybridMultilevel"/>
    <w:tmpl w:val="6A5E2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F093292"/>
    <w:multiLevelType w:val="multilevel"/>
    <w:tmpl w:val="88328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63F5B77"/>
    <w:multiLevelType w:val="hybridMultilevel"/>
    <w:tmpl w:val="80AA988C"/>
    <w:lvl w:ilvl="0" w:tplc="279AAD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B4226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6F354D8"/>
    <w:multiLevelType w:val="hybridMultilevel"/>
    <w:tmpl w:val="6FDCD178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4">
    <w:nsid w:val="747451B5"/>
    <w:multiLevelType w:val="hybridMultilevel"/>
    <w:tmpl w:val="85A46A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7C692CF8"/>
    <w:multiLevelType w:val="multilevel"/>
    <w:tmpl w:val="99A26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D5E5B66"/>
    <w:multiLevelType w:val="multilevel"/>
    <w:tmpl w:val="9BA6B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9"/>
  </w:num>
  <w:num w:numId="2">
    <w:abstractNumId w:val="23"/>
  </w:num>
  <w:num w:numId="3">
    <w:abstractNumId w:val="25"/>
  </w:num>
  <w:num w:numId="4">
    <w:abstractNumId w:val="43"/>
  </w:num>
  <w:num w:numId="5">
    <w:abstractNumId w:val="44"/>
  </w:num>
  <w:num w:numId="6">
    <w:abstractNumId w:val="39"/>
  </w:num>
  <w:num w:numId="7">
    <w:abstractNumId w:val="26"/>
  </w:num>
  <w:num w:numId="8">
    <w:abstractNumId w:val="42"/>
  </w:num>
  <w:num w:numId="9">
    <w:abstractNumId w:val="21"/>
  </w:num>
  <w:num w:numId="10">
    <w:abstractNumId w:val="22"/>
  </w:num>
  <w:num w:numId="11">
    <w:abstractNumId w:val="38"/>
  </w:num>
  <w:num w:numId="12">
    <w:abstractNumId w:val="40"/>
  </w:num>
  <w:num w:numId="13">
    <w:abstractNumId w:val="24"/>
  </w:num>
  <w:num w:numId="14">
    <w:abstractNumId w:val="13"/>
  </w:num>
  <w:num w:numId="15">
    <w:abstractNumId w:val="10"/>
  </w:num>
  <w:num w:numId="16">
    <w:abstractNumId w:val="35"/>
  </w:num>
  <w:num w:numId="17">
    <w:abstractNumId w:val="35"/>
  </w:num>
  <w:num w:numId="18">
    <w:abstractNumId w:val="20"/>
  </w:num>
  <w:num w:numId="19">
    <w:abstractNumId w:val="16"/>
  </w:num>
  <w:num w:numId="20">
    <w:abstractNumId w:val="28"/>
  </w:num>
  <w:num w:numId="21">
    <w:abstractNumId w:val="32"/>
  </w:num>
  <w:num w:numId="22">
    <w:abstractNumId w:val="17"/>
  </w:num>
  <w:num w:numId="23">
    <w:abstractNumId w:val="9"/>
  </w:num>
  <w:num w:numId="24">
    <w:abstractNumId w:val="7"/>
  </w:num>
  <w:num w:numId="25">
    <w:abstractNumId w:val="6"/>
  </w:num>
  <w:num w:numId="26">
    <w:abstractNumId w:val="5"/>
  </w:num>
  <w:num w:numId="27">
    <w:abstractNumId w:val="4"/>
  </w:num>
  <w:num w:numId="28">
    <w:abstractNumId w:val="8"/>
  </w:num>
  <w:num w:numId="29">
    <w:abstractNumId w:val="3"/>
  </w:num>
  <w:num w:numId="30">
    <w:abstractNumId w:val="2"/>
  </w:num>
  <w:num w:numId="31">
    <w:abstractNumId w:val="1"/>
  </w:num>
  <w:num w:numId="32">
    <w:abstractNumId w:val="0"/>
  </w:num>
  <w:num w:numId="33">
    <w:abstractNumId w:val="15"/>
  </w:num>
  <w:num w:numId="34">
    <w:abstractNumId w:val="37"/>
  </w:num>
  <w:num w:numId="35">
    <w:abstractNumId w:val="41"/>
  </w:num>
  <w:num w:numId="36">
    <w:abstractNumId w:val="31"/>
  </w:num>
  <w:num w:numId="37">
    <w:abstractNumId w:val="30"/>
  </w:num>
  <w:num w:numId="38">
    <w:abstractNumId w:val="46"/>
  </w:num>
  <w:num w:numId="39">
    <w:abstractNumId w:val="45"/>
  </w:num>
  <w:num w:numId="40">
    <w:abstractNumId w:val="11"/>
  </w:num>
  <w:num w:numId="41">
    <w:abstractNumId w:val="34"/>
  </w:num>
  <w:num w:numId="42">
    <w:abstractNumId w:val="14"/>
  </w:num>
  <w:num w:numId="43">
    <w:abstractNumId w:val="33"/>
  </w:num>
  <w:num w:numId="44">
    <w:abstractNumId w:val="18"/>
  </w:num>
  <w:num w:numId="45">
    <w:abstractNumId w:val="19"/>
  </w:num>
  <w:num w:numId="46">
    <w:abstractNumId w:val="12"/>
  </w:num>
  <w:num w:numId="47">
    <w:abstractNumId w:val="36"/>
  </w:num>
  <w:num w:numId="48">
    <w:abstractNumId w:val="2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hideSpellingErrors/>
  <w:proofState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EN.InstantFormat" w:val="&lt;ENInstantFormat&gt;&lt;Enabled&gt;0&lt;/Enabled&gt;&lt;ScanUnformatted&gt;1&lt;/ScanUnformatted&gt;&lt;ScanChanges&gt;1&lt;/ScanChanges&gt;&lt;/ENInstantFormat&gt;"/>
    <w:docVar w:name="EN.Layout" w:val="&lt;ENLayout&gt;&lt;Style&gt;AHRQ Style_3-9-2011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ENLibraries&gt;&lt;Libraries&gt;&lt;item&gt;LBD 2 update report 091610.enl&lt;/item&gt;&lt;item&gt;Background with different ids.enl&lt;/item&gt;&lt;/Libraries&gt;&lt;/ENLibraries&gt;"/>
  </w:docVars>
  <w:rsids>
    <w:rsidRoot w:val="00E1059A"/>
    <w:rsid w:val="000005E0"/>
    <w:rsid w:val="00000BAA"/>
    <w:rsid w:val="000028CE"/>
    <w:rsid w:val="00002A28"/>
    <w:rsid w:val="00002D74"/>
    <w:rsid w:val="00003D80"/>
    <w:rsid w:val="00004CE9"/>
    <w:rsid w:val="00004D16"/>
    <w:rsid w:val="00004DB5"/>
    <w:rsid w:val="000053A1"/>
    <w:rsid w:val="00010FCD"/>
    <w:rsid w:val="000110E8"/>
    <w:rsid w:val="0001169F"/>
    <w:rsid w:val="00011F9E"/>
    <w:rsid w:val="0001294A"/>
    <w:rsid w:val="00013B90"/>
    <w:rsid w:val="00013EAE"/>
    <w:rsid w:val="00013F65"/>
    <w:rsid w:val="0001434E"/>
    <w:rsid w:val="00015005"/>
    <w:rsid w:val="000157C5"/>
    <w:rsid w:val="00015922"/>
    <w:rsid w:val="000167D2"/>
    <w:rsid w:val="0001755F"/>
    <w:rsid w:val="00017F5D"/>
    <w:rsid w:val="00020356"/>
    <w:rsid w:val="0002060F"/>
    <w:rsid w:val="00020931"/>
    <w:rsid w:val="00020BF8"/>
    <w:rsid w:val="00021D61"/>
    <w:rsid w:val="00022EFD"/>
    <w:rsid w:val="00022F76"/>
    <w:rsid w:val="00023888"/>
    <w:rsid w:val="00024802"/>
    <w:rsid w:val="00024DBA"/>
    <w:rsid w:val="000259D9"/>
    <w:rsid w:val="00025C96"/>
    <w:rsid w:val="00026DEC"/>
    <w:rsid w:val="00026F6C"/>
    <w:rsid w:val="00027A44"/>
    <w:rsid w:val="000306AD"/>
    <w:rsid w:val="00031460"/>
    <w:rsid w:val="00033F94"/>
    <w:rsid w:val="00034484"/>
    <w:rsid w:val="000346DF"/>
    <w:rsid w:val="00034770"/>
    <w:rsid w:val="0003558E"/>
    <w:rsid w:val="00035CF8"/>
    <w:rsid w:val="00036DB1"/>
    <w:rsid w:val="00036DD7"/>
    <w:rsid w:val="00040A2A"/>
    <w:rsid w:val="00042212"/>
    <w:rsid w:val="000437F6"/>
    <w:rsid w:val="00043A9A"/>
    <w:rsid w:val="00045385"/>
    <w:rsid w:val="00046769"/>
    <w:rsid w:val="000467CB"/>
    <w:rsid w:val="00046E99"/>
    <w:rsid w:val="00047200"/>
    <w:rsid w:val="00047242"/>
    <w:rsid w:val="000476FB"/>
    <w:rsid w:val="00047AF5"/>
    <w:rsid w:val="00051038"/>
    <w:rsid w:val="000514C5"/>
    <w:rsid w:val="00051B3C"/>
    <w:rsid w:val="00052115"/>
    <w:rsid w:val="00052E96"/>
    <w:rsid w:val="00053256"/>
    <w:rsid w:val="000540F2"/>
    <w:rsid w:val="0005535B"/>
    <w:rsid w:val="00056AD3"/>
    <w:rsid w:val="0005731B"/>
    <w:rsid w:val="00060014"/>
    <w:rsid w:val="0006030D"/>
    <w:rsid w:val="000655FF"/>
    <w:rsid w:val="0006692B"/>
    <w:rsid w:val="00067284"/>
    <w:rsid w:val="00071161"/>
    <w:rsid w:val="000721A0"/>
    <w:rsid w:val="00072787"/>
    <w:rsid w:val="00072A2D"/>
    <w:rsid w:val="00073B98"/>
    <w:rsid w:val="00075FC1"/>
    <w:rsid w:val="00076836"/>
    <w:rsid w:val="00076DEE"/>
    <w:rsid w:val="000772B0"/>
    <w:rsid w:val="00077CA4"/>
    <w:rsid w:val="00080022"/>
    <w:rsid w:val="0008195A"/>
    <w:rsid w:val="00083A8D"/>
    <w:rsid w:val="00083BBC"/>
    <w:rsid w:val="00083E7A"/>
    <w:rsid w:val="000867EC"/>
    <w:rsid w:val="00086FAD"/>
    <w:rsid w:val="00087D90"/>
    <w:rsid w:val="000902D6"/>
    <w:rsid w:val="000921B4"/>
    <w:rsid w:val="000933EE"/>
    <w:rsid w:val="00093532"/>
    <w:rsid w:val="000937C7"/>
    <w:rsid w:val="00093E65"/>
    <w:rsid w:val="00095E6E"/>
    <w:rsid w:val="00096929"/>
    <w:rsid w:val="000A092C"/>
    <w:rsid w:val="000A0CF6"/>
    <w:rsid w:val="000A0F67"/>
    <w:rsid w:val="000A4467"/>
    <w:rsid w:val="000A6147"/>
    <w:rsid w:val="000A6377"/>
    <w:rsid w:val="000A672F"/>
    <w:rsid w:val="000A73C2"/>
    <w:rsid w:val="000B0163"/>
    <w:rsid w:val="000B01A0"/>
    <w:rsid w:val="000B01BD"/>
    <w:rsid w:val="000B0CCE"/>
    <w:rsid w:val="000B15DA"/>
    <w:rsid w:val="000B16D6"/>
    <w:rsid w:val="000B2B6C"/>
    <w:rsid w:val="000B2D11"/>
    <w:rsid w:val="000B5337"/>
    <w:rsid w:val="000B5B19"/>
    <w:rsid w:val="000B79EA"/>
    <w:rsid w:val="000C0533"/>
    <w:rsid w:val="000C1D3D"/>
    <w:rsid w:val="000C3FA8"/>
    <w:rsid w:val="000C4C4D"/>
    <w:rsid w:val="000C5CF6"/>
    <w:rsid w:val="000C70BF"/>
    <w:rsid w:val="000D00AE"/>
    <w:rsid w:val="000D1DCB"/>
    <w:rsid w:val="000D21F8"/>
    <w:rsid w:val="000D2449"/>
    <w:rsid w:val="000D3112"/>
    <w:rsid w:val="000D5AC9"/>
    <w:rsid w:val="000D5EEA"/>
    <w:rsid w:val="000D5F6F"/>
    <w:rsid w:val="000D6CD9"/>
    <w:rsid w:val="000D75D8"/>
    <w:rsid w:val="000D7837"/>
    <w:rsid w:val="000D7902"/>
    <w:rsid w:val="000E0685"/>
    <w:rsid w:val="000E09F2"/>
    <w:rsid w:val="000E0E9A"/>
    <w:rsid w:val="000E1884"/>
    <w:rsid w:val="000E2A05"/>
    <w:rsid w:val="000E30E1"/>
    <w:rsid w:val="000E3A6C"/>
    <w:rsid w:val="000E4E2D"/>
    <w:rsid w:val="000E4EA0"/>
    <w:rsid w:val="000F051A"/>
    <w:rsid w:val="000F18A5"/>
    <w:rsid w:val="000F1BD8"/>
    <w:rsid w:val="000F20EC"/>
    <w:rsid w:val="000F420C"/>
    <w:rsid w:val="000F4654"/>
    <w:rsid w:val="000F540C"/>
    <w:rsid w:val="000F59E5"/>
    <w:rsid w:val="000F6E94"/>
    <w:rsid w:val="001001EA"/>
    <w:rsid w:val="00101548"/>
    <w:rsid w:val="0010232E"/>
    <w:rsid w:val="001023C9"/>
    <w:rsid w:val="0010344F"/>
    <w:rsid w:val="001044A1"/>
    <w:rsid w:val="001045C8"/>
    <w:rsid w:val="001045E5"/>
    <w:rsid w:val="001047BF"/>
    <w:rsid w:val="00104C04"/>
    <w:rsid w:val="001057D0"/>
    <w:rsid w:val="00105820"/>
    <w:rsid w:val="00106447"/>
    <w:rsid w:val="001064CB"/>
    <w:rsid w:val="001103B0"/>
    <w:rsid w:val="00110850"/>
    <w:rsid w:val="00110C38"/>
    <w:rsid w:val="00111003"/>
    <w:rsid w:val="00111B4A"/>
    <w:rsid w:val="0011230C"/>
    <w:rsid w:val="001139FB"/>
    <w:rsid w:val="00114A9A"/>
    <w:rsid w:val="00114BFF"/>
    <w:rsid w:val="00116378"/>
    <w:rsid w:val="001205FF"/>
    <w:rsid w:val="0012128C"/>
    <w:rsid w:val="0012153A"/>
    <w:rsid w:val="001218BC"/>
    <w:rsid w:val="001230AF"/>
    <w:rsid w:val="001240A5"/>
    <w:rsid w:val="00124DA9"/>
    <w:rsid w:val="001274D2"/>
    <w:rsid w:val="0012799D"/>
    <w:rsid w:val="00130CEC"/>
    <w:rsid w:val="00130FF5"/>
    <w:rsid w:val="00132126"/>
    <w:rsid w:val="0013388C"/>
    <w:rsid w:val="00134718"/>
    <w:rsid w:val="00134E05"/>
    <w:rsid w:val="00135DEC"/>
    <w:rsid w:val="001370F2"/>
    <w:rsid w:val="00137383"/>
    <w:rsid w:val="001379E7"/>
    <w:rsid w:val="00137CB1"/>
    <w:rsid w:val="00137D45"/>
    <w:rsid w:val="00140927"/>
    <w:rsid w:val="00140BF5"/>
    <w:rsid w:val="001416B8"/>
    <w:rsid w:val="001423C0"/>
    <w:rsid w:val="00142FC0"/>
    <w:rsid w:val="001434AC"/>
    <w:rsid w:val="00143ECD"/>
    <w:rsid w:val="00146CE3"/>
    <w:rsid w:val="00147DD9"/>
    <w:rsid w:val="00150585"/>
    <w:rsid w:val="00151CAE"/>
    <w:rsid w:val="00152F7C"/>
    <w:rsid w:val="00153033"/>
    <w:rsid w:val="0015422E"/>
    <w:rsid w:val="00155642"/>
    <w:rsid w:val="00156C75"/>
    <w:rsid w:val="0015750A"/>
    <w:rsid w:val="00160D5F"/>
    <w:rsid w:val="0016153A"/>
    <w:rsid w:val="00161752"/>
    <w:rsid w:val="00161BC4"/>
    <w:rsid w:val="00162761"/>
    <w:rsid w:val="0016306F"/>
    <w:rsid w:val="001638DE"/>
    <w:rsid w:val="00163A17"/>
    <w:rsid w:val="00163D32"/>
    <w:rsid w:val="00165B65"/>
    <w:rsid w:val="0016616E"/>
    <w:rsid w:val="001665A8"/>
    <w:rsid w:val="001667CD"/>
    <w:rsid w:val="0016726A"/>
    <w:rsid w:val="00167686"/>
    <w:rsid w:val="00167A98"/>
    <w:rsid w:val="00167DC4"/>
    <w:rsid w:val="0017113C"/>
    <w:rsid w:val="0017133F"/>
    <w:rsid w:val="0017180C"/>
    <w:rsid w:val="00171D7F"/>
    <w:rsid w:val="001737C8"/>
    <w:rsid w:val="00174CF1"/>
    <w:rsid w:val="001768D2"/>
    <w:rsid w:val="00177275"/>
    <w:rsid w:val="001778C9"/>
    <w:rsid w:val="00177ED2"/>
    <w:rsid w:val="00177FE0"/>
    <w:rsid w:val="00180CDC"/>
    <w:rsid w:val="001810B1"/>
    <w:rsid w:val="00181115"/>
    <w:rsid w:val="001815EF"/>
    <w:rsid w:val="00181F36"/>
    <w:rsid w:val="001823FA"/>
    <w:rsid w:val="0018484B"/>
    <w:rsid w:val="00184900"/>
    <w:rsid w:val="00184A94"/>
    <w:rsid w:val="001869E5"/>
    <w:rsid w:val="00186F58"/>
    <w:rsid w:val="00187090"/>
    <w:rsid w:val="0018772B"/>
    <w:rsid w:val="00190D69"/>
    <w:rsid w:val="0019134C"/>
    <w:rsid w:val="0019205F"/>
    <w:rsid w:val="00192967"/>
    <w:rsid w:val="00192B0F"/>
    <w:rsid w:val="00193748"/>
    <w:rsid w:val="0019484D"/>
    <w:rsid w:val="001A0413"/>
    <w:rsid w:val="001A073B"/>
    <w:rsid w:val="001A0D4B"/>
    <w:rsid w:val="001A0EF9"/>
    <w:rsid w:val="001A2BD6"/>
    <w:rsid w:val="001A2E61"/>
    <w:rsid w:val="001A4604"/>
    <w:rsid w:val="001A638E"/>
    <w:rsid w:val="001A674C"/>
    <w:rsid w:val="001A68DE"/>
    <w:rsid w:val="001B033B"/>
    <w:rsid w:val="001B1519"/>
    <w:rsid w:val="001B1ACD"/>
    <w:rsid w:val="001B2F8F"/>
    <w:rsid w:val="001B3124"/>
    <w:rsid w:val="001B554B"/>
    <w:rsid w:val="001B5AED"/>
    <w:rsid w:val="001B64D4"/>
    <w:rsid w:val="001B6D9F"/>
    <w:rsid w:val="001C0CDF"/>
    <w:rsid w:val="001C1000"/>
    <w:rsid w:val="001C101A"/>
    <w:rsid w:val="001C1514"/>
    <w:rsid w:val="001C2991"/>
    <w:rsid w:val="001C4E36"/>
    <w:rsid w:val="001C5733"/>
    <w:rsid w:val="001C582F"/>
    <w:rsid w:val="001C6BCC"/>
    <w:rsid w:val="001C6DAB"/>
    <w:rsid w:val="001C7DF4"/>
    <w:rsid w:val="001D03CB"/>
    <w:rsid w:val="001D0AC8"/>
    <w:rsid w:val="001D0CB4"/>
    <w:rsid w:val="001D1AE4"/>
    <w:rsid w:val="001D1C98"/>
    <w:rsid w:val="001D20C4"/>
    <w:rsid w:val="001D2DE3"/>
    <w:rsid w:val="001D3A5F"/>
    <w:rsid w:val="001D5026"/>
    <w:rsid w:val="001D51C5"/>
    <w:rsid w:val="001D5460"/>
    <w:rsid w:val="001D54CC"/>
    <w:rsid w:val="001D5A8F"/>
    <w:rsid w:val="001D5CBA"/>
    <w:rsid w:val="001D7124"/>
    <w:rsid w:val="001E0257"/>
    <w:rsid w:val="001E1DB4"/>
    <w:rsid w:val="001E2E7E"/>
    <w:rsid w:val="001E3184"/>
    <w:rsid w:val="001E3EE5"/>
    <w:rsid w:val="001E4953"/>
    <w:rsid w:val="001E4BCD"/>
    <w:rsid w:val="001E5184"/>
    <w:rsid w:val="001E7365"/>
    <w:rsid w:val="001E73DC"/>
    <w:rsid w:val="001E77E8"/>
    <w:rsid w:val="001F0A3F"/>
    <w:rsid w:val="001F0FAE"/>
    <w:rsid w:val="001F1822"/>
    <w:rsid w:val="001F3240"/>
    <w:rsid w:val="001F332B"/>
    <w:rsid w:val="001F4C49"/>
    <w:rsid w:val="001F661D"/>
    <w:rsid w:val="001F72B2"/>
    <w:rsid w:val="001F7F0F"/>
    <w:rsid w:val="00201B13"/>
    <w:rsid w:val="00202904"/>
    <w:rsid w:val="00203A46"/>
    <w:rsid w:val="00203F63"/>
    <w:rsid w:val="002042EB"/>
    <w:rsid w:val="002048D8"/>
    <w:rsid w:val="00205861"/>
    <w:rsid w:val="00205D6E"/>
    <w:rsid w:val="00206ED5"/>
    <w:rsid w:val="0021067A"/>
    <w:rsid w:val="00210AE9"/>
    <w:rsid w:val="00211514"/>
    <w:rsid w:val="002125E3"/>
    <w:rsid w:val="00212D4C"/>
    <w:rsid w:val="002137A8"/>
    <w:rsid w:val="00214D48"/>
    <w:rsid w:val="00215F58"/>
    <w:rsid w:val="00217468"/>
    <w:rsid w:val="002174AA"/>
    <w:rsid w:val="00217CDB"/>
    <w:rsid w:val="00223716"/>
    <w:rsid w:val="00223A7C"/>
    <w:rsid w:val="00223AE5"/>
    <w:rsid w:val="002242B0"/>
    <w:rsid w:val="002265C0"/>
    <w:rsid w:val="002267C2"/>
    <w:rsid w:val="002267DA"/>
    <w:rsid w:val="00226CD0"/>
    <w:rsid w:val="00226F8C"/>
    <w:rsid w:val="0022780C"/>
    <w:rsid w:val="00227D8C"/>
    <w:rsid w:val="00230226"/>
    <w:rsid w:val="00231EF1"/>
    <w:rsid w:val="002322E7"/>
    <w:rsid w:val="002333DD"/>
    <w:rsid w:val="00234930"/>
    <w:rsid w:val="002353FE"/>
    <w:rsid w:val="00235A19"/>
    <w:rsid w:val="002363F6"/>
    <w:rsid w:val="00240412"/>
    <w:rsid w:val="002413CA"/>
    <w:rsid w:val="00241625"/>
    <w:rsid w:val="002435B1"/>
    <w:rsid w:val="00245235"/>
    <w:rsid w:val="002455E2"/>
    <w:rsid w:val="00246B9D"/>
    <w:rsid w:val="00246F11"/>
    <w:rsid w:val="0024720E"/>
    <w:rsid w:val="00247538"/>
    <w:rsid w:val="0025121A"/>
    <w:rsid w:val="0025169F"/>
    <w:rsid w:val="0025241E"/>
    <w:rsid w:val="0025344C"/>
    <w:rsid w:val="00255805"/>
    <w:rsid w:val="00255A52"/>
    <w:rsid w:val="002568F9"/>
    <w:rsid w:val="002573A1"/>
    <w:rsid w:val="00257FD3"/>
    <w:rsid w:val="00260B05"/>
    <w:rsid w:val="002623EF"/>
    <w:rsid w:val="00262C58"/>
    <w:rsid w:val="002632EA"/>
    <w:rsid w:val="00264A2E"/>
    <w:rsid w:val="002657F0"/>
    <w:rsid w:val="00265D70"/>
    <w:rsid w:val="002679AB"/>
    <w:rsid w:val="0027110C"/>
    <w:rsid w:val="00271227"/>
    <w:rsid w:val="002713C2"/>
    <w:rsid w:val="00275529"/>
    <w:rsid w:val="002758E0"/>
    <w:rsid w:val="002761B8"/>
    <w:rsid w:val="002762DF"/>
    <w:rsid w:val="002765B1"/>
    <w:rsid w:val="00277A8B"/>
    <w:rsid w:val="00277C6D"/>
    <w:rsid w:val="0028130D"/>
    <w:rsid w:val="00281EB2"/>
    <w:rsid w:val="00282590"/>
    <w:rsid w:val="00283146"/>
    <w:rsid w:val="00283C83"/>
    <w:rsid w:val="00283CEA"/>
    <w:rsid w:val="00283FC7"/>
    <w:rsid w:val="002858FE"/>
    <w:rsid w:val="0028622A"/>
    <w:rsid w:val="00286273"/>
    <w:rsid w:val="002877F6"/>
    <w:rsid w:val="00290A9A"/>
    <w:rsid w:val="00290C43"/>
    <w:rsid w:val="00291E62"/>
    <w:rsid w:val="00292568"/>
    <w:rsid w:val="00292D40"/>
    <w:rsid w:val="002956B9"/>
    <w:rsid w:val="00295E07"/>
    <w:rsid w:val="002968DD"/>
    <w:rsid w:val="00297E4B"/>
    <w:rsid w:val="002A01BD"/>
    <w:rsid w:val="002A12A3"/>
    <w:rsid w:val="002A14C6"/>
    <w:rsid w:val="002A20E7"/>
    <w:rsid w:val="002A28F4"/>
    <w:rsid w:val="002A3477"/>
    <w:rsid w:val="002A4686"/>
    <w:rsid w:val="002A4D6F"/>
    <w:rsid w:val="002A4E11"/>
    <w:rsid w:val="002A7236"/>
    <w:rsid w:val="002A7AF2"/>
    <w:rsid w:val="002B27ED"/>
    <w:rsid w:val="002B4CAA"/>
    <w:rsid w:val="002B6060"/>
    <w:rsid w:val="002B6540"/>
    <w:rsid w:val="002C0424"/>
    <w:rsid w:val="002C056F"/>
    <w:rsid w:val="002C1549"/>
    <w:rsid w:val="002C257B"/>
    <w:rsid w:val="002C3E85"/>
    <w:rsid w:val="002C65FA"/>
    <w:rsid w:val="002C72B2"/>
    <w:rsid w:val="002C7EC4"/>
    <w:rsid w:val="002D04E5"/>
    <w:rsid w:val="002D0A2D"/>
    <w:rsid w:val="002D0D40"/>
    <w:rsid w:val="002D18A0"/>
    <w:rsid w:val="002D1C50"/>
    <w:rsid w:val="002D3D37"/>
    <w:rsid w:val="002D42F5"/>
    <w:rsid w:val="002D51B6"/>
    <w:rsid w:val="002D51D6"/>
    <w:rsid w:val="002D52B6"/>
    <w:rsid w:val="002D5858"/>
    <w:rsid w:val="002D72D9"/>
    <w:rsid w:val="002D7AA0"/>
    <w:rsid w:val="002D7C2B"/>
    <w:rsid w:val="002E05E1"/>
    <w:rsid w:val="002E1575"/>
    <w:rsid w:val="002E2CC6"/>
    <w:rsid w:val="002E30BA"/>
    <w:rsid w:val="002E32CA"/>
    <w:rsid w:val="002E3C43"/>
    <w:rsid w:val="002E53AA"/>
    <w:rsid w:val="002E5BBA"/>
    <w:rsid w:val="002E6C8D"/>
    <w:rsid w:val="002E7165"/>
    <w:rsid w:val="002F15E1"/>
    <w:rsid w:val="002F1B82"/>
    <w:rsid w:val="002F2058"/>
    <w:rsid w:val="002F3506"/>
    <w:rsid w:val="002F41EF"/>
    <w:rsid w:val="002F5C17"/>
    <w:rsid w:val="002F5ED7"/>
    <w:rsid w:val="0030108E"/>
    <w:rsid w:val="003012B5"/>
    <w:rsid w:val="00301481"/>
    <w:rsid w:val="00301A71"/>
    <w:rsid w:val="00301B55"/>
    <w:rsid w:val="00302548"/>
    <w:rsid w:val="003039C3"/>
    <w:rsid w:val="00304F51"/>
    <w:rsid w:val="003067A5"/>
    <w:rsid w:val="00306998"/>
    <w:rsid w:val="00311414"/>
    <w:rsid w:val="00311677"/>
    <w:rsid w:val="00311B17"/>
    <w:rsid w:val="00312351"/>
    <w:rsid w:val="003129DB"/>
    <w:rsid w:val="003151C5"/>
    <w:rsid w:val="003154C1"/>
    <w:rsid w:val="00315B83"/>
    <w:rsid w:val="003160D4"/>
    <w:rsid w:val="0031618B"/>
    <w:rsid w:val="00316D06"/>
    <w:rsid w:val="00317CC9"/>
    <w:rsid w:val="0032042F"/>
    <w:rsid w:val="0032223E"/>
    <w:rsid w:val="0032420C"/>
    <w:rsid w:val="00330965"/>
    <w:rsid w:val="003322CC"/>
    <w:rsid w:val="003336E5"/>
    <w:rsid w:val="0033372D"/>
    <w:rsid w:val="003339A9"/>
    <w:rsid w:val="00333BBC"/>
    <w:rsid w:val="00336795"/>
    <w:rsid w:val="00336D4D"/>
    <w:rsid w:val="00337C72"/>
    <w:rsid w:val="00337EA0"/>
    <w:rsid w:val="0034129A"/>
    <w:rsid w:val="00341730"/>
    <w:rsid w:val="00342183"/>
    <w:rsid w:val="00343991"/>
    <w:rsid w:val="00344A94"/>
    <w:rsid w:val="003459AA"/>
    <w:rsid w:val="00345CAA"/>
    <w:rsid w:val="00345FB2"/>
    <w:rsid w:val="0034601C"/>
    <w:rsid w:val="00347BC9"/>
    <w:rsid w:val="00351FE6"/>
    <w:rsid w:val="0035268D"/>
    <w:rsid w:val="00352B06"/>
    <w:rsid w:val="00352CA2"/>
    <w:rsid w:val="00353B18"/>
    <w:rsid w:val="00353C0D"/>
    <w:rsid w:val="00355AD6"/>
    <w:rsid w:val="00355BA3"/>
    <w:rsid w:val="003565BF"/>
    <w:rsid w:val="00356897"/>
    <w:rsid w:val="00356F0B"/>
    <w:rsid w:val="003570FA"/>
    <w:rsid w:val="003578F3"/>
    <w:rsid w:val="00357E95"/>
    <w:rsid w:val="00360822"/>
    <w:rsid w:val="00360C41"/>
    <w:rsid w:val="00361315"/>
    <w:rsid w:val="00361F31"/>
    <w:rsid w:val="00362DD7"/>
    <w:rsid w:val="00363AF0"/>
    <w:rsid w:val="0036494F"/>
    <w:rsid w:val="00364A20"/>
    <w:rsid w:val="0036544D"/>
    <w:rsid w:val="00365617"/>
    <w:rsid w:val="00367367"/>
    <w:rsid w:val="00370E44"/>
    <w:rsid w:val="003715D8"/>
    <w:rsid w:val="00371E54"/>
    <w:rsid w:val="003724DC"/>
    <w:rsid w:val="00373260"/>
    <w:rsid w:val="00373CD9"/>
    <w:rsid w:val="00374E4A"/>
    <w:rsid w:val="0037531A"/>
    <w:rsid w:val="00375C5A"/>
    <w:rsid w:val="00376155"/>
    <w:rsid w:val="00376D35"/>
    <w:rsid w:val="0037709B"/>
    <w:rsid w:val="003774C2"/>
    <w:rsid w:val="00380149"/>
    <w:rsid w:val="0038053B"/>
    <w:rsid w:val="003808A5"/>
    <w:rsid w:val="003813D1"/>
    <w:rsid w:val="00381DC3"/>
    <w:rsid w:val="00384800"/>
    <w:rsid w:val="003855DE"/>
    <w:rsid w:val="00386928"/>
    <w:rsid w:val="00387C09"/>
    <w:rsid w:val="003908B6"/>
    <w:rsid w:val="00392D65"/>
    <w:rsid w:val="00393A22"/>
    <w:rsid w:val="0039446E"/>
    <w:rsid w:val="0039568A"/>
    <w:rsid w:val="003958CD"/>
    <w:rsid w:val="00396E4E"/>
    <w:rsid w:val="00397C7A"/>
    <w:rsid w:val="003A1474"/>
    <w:rsid w:val="003A1F82"/>
    <w:rsid w:val="003A230E"/>
    <w:rsid w:val="003A31A7"/>
    <w:rsid w:val="003A3885"/>
    <w:rsid w:val="003A388D"/>
    <w:rsid w:val="003A3ACC"/>
    <w:rsid w:val="003A5286"/>
    <w:rsid w:val="003A5946"/>
    <w:rsid w:val="003A60AD"/>
    <w:rsid w:val="003A66C4"/>
    <w:rsid w:val="003A74A7"/>
    <w:rsid w:val="003B05D3"/>
    <w:rsid w:val="003B065D"/>
    <w:rsid w:val="003B07CC"/>
    <w:rsid w:val="003B0C70"/>
    <w:rsid w:val="003B17E4"/>
    <w:rsid w:val="003B40DD"/>
    <w:rsid w:val="003B43A6"/>
    <w:rsid w:val="003B461C"/>
    <w:rsid w:val="003B4933"/>
    <w:rsid w:val="003B4A7B"/>
    <w:rsid w:val="003B5ABC"/>
    <w:rsid w:val="003B6B64"/>
    <w:rsid w:val="003B74BA"/>
    <w:rsid w:val="003B7DF8"/>
    <w:rsid w:val="003C01A8"/>
    <w:rsid w:val="003C027D"/>
    <w:rsid w:val="003C0A87"/>
    <w:rsid w:val="003C1A17"/>
    <w:rsid w:val="003C41A6"/>
    <w:rsid w:val="003C4808"/>
    <w:rsid w:val="003C4F3A"/>
    <w:rsid w:val="003C7D8E"/>
    <w:rsid w:val="003D029D"/>
    <w:rsid w:val="003D3F59"/>
    <w:rsid w:val="003D4EEE"/>
    <w:rsid w:val="003D6C7F"/>
    <w:rsid w:val="003D7101"/>
    <w:rsid w:val="003D741B"/>
    <w:rsid w:val="003E0515"/>
    <w:rsid w:val="003E0C9A"/>
    <w:rsid w:val="003E0E10"/>
    <w:rsid w:val="003E2349"/>
    <w:rsid w:val="003E258F"/>
    <w:rsid w:val="003E36B8"/>
    <w:rsid w:val="003E37B2"/>
    <w:rsid w:val="003E483F"/>
    <w:rsid w:val="003E494E"/>
    <w:rsid w:val="003E67EF"/>
    <w:rsid w:val="003E70DB"/>
    <w:rsid w:val="003E7335"/>
    <w:rsid w:val="003E76A8"/>
    <w:rsid w:val="003E7921"/>
    <w:rsid w:val="003F00B4"/>
    <w:rsid w:val="003F0A9B"/>
    <w:rsid w:val="003F304B"/>
    <w:rsid w:val="003F368D"/>
    <w:rsid w:val="003F3D7F"/>
    <w:rsid w:val="003F4D39"/>
    <w:rsid w:val="003F4E63"/>
    <w:rsid w:val="003F5E37"/>
    <w:rsid w:val="003F6746"/>
    <w:rsid w:val="003F7441"/>
    <w:rsid w:val="003F78F7"/>
    <w:rsid w:val="003F7FAB"/>
    <w:rsid w:val="00400130"/>
    <w:rsid w:val="004009EC"/>
    <w:rsid w:val="00401AB7"/>
    <w:rsid w:val="004030FC"/>
    <w:rsid w:val="004032A2"/>
    <w:rsid w:val="00406BE8"/>
    <w:rsid w:val="00412495"/>
    <w:rsid w:val="004149D3"/>
    <w:rsid w:val="00414F19"/>
    <w:rsid w:val="00420CD6"/>
    <w:rsid w:val="004226EE"/>
    <w:rsid w:val="0042594F"/>
    <w:rsid w:val="00425DDD"/>
    <w:rsid w:val="00427015"/>
    <w:rsid w:val="00427586"/>
    <w:rsid w:val="004300AE"/>
    <w:rsid w:val="00431F6C"/>
    <w:rsid w:val="004331BD"/>
    <w:rsid w:val="00433382"/>
    <w:rsid w:val="00434066"/>
    <w:rsid w:val="004342A6"/>
    <w:rsid w:val="00434312"/>
    <w:rsid w:val="00434B25"/>
    <w:rsid w:val="00435899"/>
    <w:rsid w:val="0043613D"/>
    <w:rsid w:val="00437174"/>
    <w:rsid w:val="00437675"/>
    <w:rsid w:val="00437804"/>
    <w:rsid w:val="00440D11"/>
    <w:rsid w:val="004410A0"/>
    <w:rsid w:val="004414F4"/>
    <w:rsid w:val="00442A4C"/>
    <w:rsid w:val="00442F9A"/>
    <w:rsid w:val="00443C30"/>
    <w:rsid w:val="0044561E"/>
    <w:rsid w:val="00445D74"/>
    <w:rsid w:val="00447462"/>
    <w:rsid w:val="00447D5D"/>
    <w:rsid w:val="0045021E"/>
    <w:rsid w:val="00450260"/>
    <w:rsid w:val="00451655"/>
    <w:rsid w:val="00451C4E"/>
    <w:rsid w:val="00452F28"/>
    <w:rsid w:val="00453151"/>
    <w:rsid w:val="004531AD"/>
    <w:rsid w:val="00453B26"/>
    <w:rsid w:val="00454A07"/>
    <w:rsid w:val="00454ACB"/>
    <w:rsid w:val="00454C32"/>
    <w:rsid w:val="0045547A"/>
    <w:rsid w:val="00456B22"/>
    <w:rsid w:val="004573D3"/>
    <w:rsid w:val="004577B5"/>
    <w:rsid w:val="00461931"/>
    <w:rsid w:val="00461C2B"/>
    <w:rsid w:val="00461DB1"/>
    <w:rsid w:val="00462C51"/>
    <w:rsid w:val="0046336E"/>
    <w:rsid w:val="0046363D"/>
    <w:rsid w:val="00463686"/>
    <w:rsid w:val="0046380F"/>
    <w:rsid w:val="00463CEF"/>
    <w:rsid w:val="00464538"/>
    <w:rsid w:val="00465609"/>
    <w:rsid w:val="004659F9"/>
    <w:rsid w:val="00465A6D"/>
    <w:rsid w:val="00465DA8"/>
    <w:rsid w:val="00467778"/>
    <w:rsid w:val="00467956"/>
    <w:rsid w:val="00467FD8"/>
    <w:rsid w:val="00471A8E"/>
    <w:rsid w:val="00471C5B"/>
    <w:rsid w:val="00472213"/>
    <w:rsid w:val="004725DE"/>
    <w:rsid w:val="00473424"/>
    <w:rsid w:val="00473B4F"/>
    <w:rsid w:val="00476945"/>
    <w:rsid w:val="00480943"/>
    <w:rsid w:val="004815A3"/>
    <w:rsid w:val="00481C91"/>
    <w:rsid w:val="004820CE"/>
    <w:rsid w:val="004830FD"/>
    <w:rsid w:val="00483526"/>
    <w:rsid w:val="00484434"/>
    <w:rsid w:val="004844CB"/>
    <w:rsid w:val="00484D8D"/>
    <w:rsid w:val="0048513F"/>
    <w:rsid w:val="0048527D"/>
    <w:rsid w:val="00486228"/>
    <w:rsid w:val="00487921"/>
    <w:rsid w:val="00487D9B"/>
    <w:rsid w:val="00487DB7"/>
    <w:rsid w:val="0049056B"/>
    <w:rsid w:val="00490B35"/>
    <w:rsid w:val="00491299"/>
    <w:rsid w:val="00492127"/>
    <w:rsid w:val="00492516"/>
    <w:rsid w:val="00492B85"/>
    <w:rsid w:val="0049415C"/>
    <w:rsid w:val="00494225"/>
    <w:rsid w:val="004953B3"/>
    <w:rsid w:val="004968D9"/>
    <w:rsid w:val="00497C64"/>
    <w:rsid w:val="004A1578"/>
    <w:rsid w:val="004A1A35"/>
    <w:rsid w:val="004A1FD6"/>
    <w:rsid w:val="004A25D9"/>
    <w:rsid w:val="004A2695"/>
    <w:rsid w:val="004A2826"/>
    <w:rsid w:val="004A3161"/>
    <w:rsid w:val="004A36AB"/>
    <w:rsid w:val="004A460A"/>
    <w:rsid w:val="004A4EC9"/>
    <w:rsid w:val="004A54B0"/>
    <w:rsid w:val="004A571F"/>
    <w:rsid w:val="004A602D"/>
    <w:rsid w:val="004A6DC5"/>
    <w:rsid w:val="004A6EDC"/>
    <w:rsid w:val="004B018B"/>
    <w:rsid w:val="004B018D"/>
    <w:rsid w:val="004B12D5"/>
    <w:rsid w:val="004B162C"/>
    <w:rsid w:val="004B26D6"/>
    <w:rsid w:val="004B3745"/>
    <w:rsid w:val="004B3914"/>
    <w:rsid w:val="004B5DB4"/>
    <w:rsid w:val="004B6D0F"/>
    <w:rsid w:val="004B7386"/>
    <w:rsid w:val="004B7B80"/>
    <w:rsid w:val="004C1249"/>
    <w:rsid w:val="004C2ECD"/>
    <w:rsid w:val="004C3299"/>
    <w:rsid w:val="004C5E18"/>
    <w:rsid w:val="004C60BB"/>
    <w:rsid w:val="004D1598"/>
    <w:rsid w:val="004D27A4"/>
    <w:rsid w:val="004D286A"/>
    <w:rsid w:val="004D2FC1"/>
    <w:rsid w:val="004D3CCC"/>
    <w:rsid w:val="004D3ED9"/>
    <w:rsid w:val="004D40E7"/>
    <w:rsid w:val="004D4364"/>
    <w:rsid w:val="004D59D7"/>
    <w:rsid w:val="004D74D1"/>
    <w:rsid w:val="004D7DFC"/>
    <w:rsid w:val="004E0B80"/>
    <w:rsid w:val="004E1807"/>
    <w:rsid w:val="004E2243"/>
    <w:rsid w:val="004E2EAE"/>
    <w:rsid w:val="004E30DF"/>
    <w:rsid w:val="004E4AA6"/>
    <w:rsid w:val="004E4CE6"/>
    <w:rsid w:val="004E4DC6"/>
    <w:rsid w:val="004E51DE"/>
    <w:rsid w:val="004E5733"/>
    <w:rsid w:val="004E5AEB"/>
    <w:rsid w:val="004E6C0E"/>
    <w:rsid w:val="004E6F5D"/>
    <w:rsid w:val="004E7070"/>
    <w:rsid w:val="004F03EE"/>
    <w:rsid w:val="004F04E7"/>
    <w:rsid w:val="004F1E17"/>
    <w:rsid w:val="004F5022"/>
    <w:rsid w:val="004F5BD0"/>
    <w:rsid w:val="004F6F79"/>
    <w:rsid w:val="004F769F"/>
    <w:rsid w:val="00500709"/>
    <w:rsid w:val="00500D83"/>
    <w:rsid w:val="0050112D"/>
    <w:rsid w:val="00501FFD"/>
    <w:rsid w:val="00502041"/>
    <w:rsid w:val="005022BE"/>
    <w:rsid w:val="00502DCB"/>
    <w:rsid w:val="005040A1"/>
    <w:rsid w:val="005040D9"/>
    <w:rsid w:val="005052AE"/>
    <w:rsid w:val="005054B9"/>
    <w:rsid w:val="0050571A"/>
    <w:rsid w:val="00506117"/>
    <w:rsid w:val="0050750F"/>
    <w:rsid w:val="00511040"/>
    <w:rsid w:val="00512581"/>
    <w:rsid w:val="00512E90"/>
    <w:rsid w:val="00512F30"/>
    <w:rsid w:val="00513084"/>
    <w:rsid w:val="00513B33"/>
    <w:rsid w:val="00514820"/>
    <w:rsid w:val="00516868"/>
    <w:rsid w:val="00517402"/>
    <w:rsid w:val="005177C7"/>
    <w:rsid w:val="005179AF"/>
    <w:rsid w:val="005206D1"/>
    <w:rsid w:val="00520A3A"/>
    <w:rsid w:val="005211A9"/>
    <w:rsid w:val="0052134A"/>
    <w:rsid w:val="00521F13"/>
    <w:rsid w:val="005238C8"/>
    <w:rsid w:val="00523A2A"/>
    <w:rsid w:val="00523E76"/>
    <w:rsid w:val="005240EB"/>
    <w:rsid w:val="00524930"/>
    <w:rsid w:val="00525089"/>
    <w:rsid w:val="0052621B"/>
    <w:rsid w:val="00526ED7"/>
    <w:rsid w:val="005278DC"/>
    <w:rsid w:val="0053018F"/>
    <w:rsid w:val="00530B9D"/>
    <w:rsid w:val="00531236"/>
    <w:rsid w:val="00531F6B"/>
    <w:rsid w:val="00532CFF"/>
    <w:rsid w:val="005332D0"/>
    <w:rsid w:val="00535AC7"/>
    <w:rsid w:val="00536C7E"/>
    <w:rsid w:val="00536D5F"/>
    <w:rsid w:val="00536D9A"/>
    <w:rsid w:val="005400B1"/>
    <w:rsid w:val="00540491"/>
    <w:rsid w:val="005404F6"/>
    <w:rsid w:val="00540B1D"/>
    <w:rsid w:val="00542442"/>
    <w:rsid w:val="005424A9"/>
    <w:rsid w:val="005445BA"/>
    <w:rsid w:val="0054565B"/>
    <w:rsid w:val="00545D23"/>
    <w:rsid w:val="005477EA"/>
    <w:rsid w:val="00550C51"/>
    <w:rsid w:val="00550F59"/>
    <w:rsid w:val="00551636"/>
    <w:rsid w:val="005524B6"/>
    <w:rsid w:val="005534F8"/>
    <w:rsid w:val="005540C2"/>
    <w:rsid w:val="005545CB"/>
    <w:rsid w:val="00555A5F"/>
    <w:rsid w:val="005574AD"/>
    <w:rsid w:val="005577F6"/>
    <w:rsid w:val="00560332"/>
    <w:rsid w:val="00561CDF"/>
    <w:rsid w:val="00561F66"/>
    <w:rsid w:val="0056259B"/>
    <w:rsid w:val="00562652"/>
    <w:rsid w:val="00562783"/>
    <w:rsid w:val="00563A3F"/>
    <w:rsid w:val="005650DA"/>
    <w:rsid w:val="00565147"/>
    <w:rsid w:val="005653D6"/>
    <w:rsid w:val="0056640C"/>
    <w:rsid w:val="005677B7"/>
    <w:rsid w:val="00567DFA"/>
    <w:rsid w:val="0057048B"/>
    <w:rsid w:val="0057070E"/>
    <w:rsid w:val="00570FC0"/>
    <w:rsid w:val="0057535C"/>
    <w:rsid w:val="00576BA0"/>
    <w:rsid w:val="00576C68"/>
    <w:rsid w:val="0057725F"/>
    <w:rsid w:val="005803BB"/>
    <w:rsid w:val="00580698"/>
    <w:rsid w:val="005813E6"/>
    <w:rsid w:val="005817BF"/>
    <w:rsid w:val="005822DC"/>
    <w:rsid w:val="0058582F"/>
    <w:rsid w:val="00585AF3"/>
    <w:rsid w:val="00585E8F"/>
    <w:rsid w:val="0058647F"/>
    <w:rsid w:val="005866DD"/>
    <w:rsid w:val="0059123A"/>
    <w:rsid w:val="00591DF1"/>
    <w:rsid w:val="00592475"/>
    <w:rsid w:val="005927C9"/>
    <w:rsid w:val="00593BA6"/>
    <w:rsid w:val="00594113"/>
    <w:rsid w:val="0059468E"/>
    <w:rsid w:val="00594CB6"/>
    <w:rsid w:val="005952AA"/>
    <w:rsid w:val="005953A0"/>
    <w:rsid w:val="00595447"/>
    <w:rsid w:val="00595490"/>
    <w:rsid w:val="00595FF1"/>
    <w:rsid w:val="00596C08"/>
    <w:rsid w:val="005977FF"/>
    <w:rsid w:val="00597FF2"/>
    <w:rsid w:val="005A0264"/>
    <w:rsid w:val="005A0893"/>
    <w:rsid w:val="005A0A21"/>
    <w:rsid w:val="005A12F9"/>
    <w:rsid w:val="005A15AA"/>
    <w:rsid w:val="005A17A4"/>
    <w:rsid w:val="005A28FF"/>
    <w:rsid w:val="005A291F"/>
    <w:rsid w:val="005A2C50"/>
    <w:rsid w:val="005A35E1"/>
    <w:rsid w:val="005A7A9D"/>
    <w:rsid w:val="005B0020"/>
    <w:rsid w:val="005B159B"/>
    <w:rsid w:val="005B1C5A"/>
    <w:rsid w:val="005B25F2"/>
    <w:rsid w:val="005B25FB"/>
    <w:rsid w:val="005B30D2"/>
    <w:rsid w:val="005B4A8C"/>
    <w:rsid w:val="005B50FD"/>
    <w:rsid w:val="005B5295"/>
    <w:rsid w:val="005B54DD"/>
    <w:rsid w:val="005B5802"/>
    <w:rsid w:val="005B5A11"/>
    <w:rsid w:val="005B762B"/>
    <w:rsid w:val="005B7CCE"/>
    <w:rsid w:val="005C028C"/>
    <w:rsid w:val="005C053F"/>
    <w:rsid w:val="005C0E44"/>
    <w:rsid w:val="005C0E4A"/>
    <w:rsid w:val="005C0FB6"/>
    <w:rsid w:val="005C18D0"/>
    <w:rsid w:val="005C1F72"/>
    <w:rsid w:val="005C56AB"/>
    <w:rsid w:val="005C5D99"/>
    <w:rsid w:val="005C7DA7"/>
    <w:rsid w:val="005D00B9"/>
    <w:rsid w:val="005D083E"/>
    <w:rsid w:val="005D0CD2"/>
    <w:rsid w:val="005D18CB"/>
    <w:rsid w:val="005D1CBB"/>
    <w:rsid w:val="005D1EB8"/>
    <w:rsid w:val="005D2173"/>
    <w:rsid w:val="005D32EE"/>
    <w:rsid w:val="005D3733"/>
    <w:rsid w:val="005D56BD"/>
    <w:rsid w:val="005D5ED3"/>
    <w:rsid w:val="005D70D9"/>
    <w:rsid w:val="005D7A07"/>
    <w:rsid w:val="005D7AC9"/>
    <w:rsid w:val="005E1CCD"/>
    <w:rsid w:val="005E2AA3"/>
    <w:rsid w:val="005E2FC5"/>
    <w:rsid w:val="005E33A8"/>
    <w:rsid w:val="005E3463"/>
    <w:rsid w:val="005E3956"/>
    <w:rsid w:val="005E4806"/>
    <w:rsid w:val="005E70EB"/>
    <w:rsid w:val="005E762D"/>
    <w:rsid w:val="005F28C8"/>
    <w:rsid w:val="005F2A29"/>
    <w:rsid w:val="005F2B39"/>
    <w:rsid w:val="005F2FD5"/>
    <w:rsid w:val="005F33CC"/>
    <w:rsid w:val="005F3BD0"/>
    <w:rsid w:val="005F3F3D"/>
    <w:rsid w:val="005F479A"/>
    <w:rsid w:val="005F4EFF"/>
    <w:rsid w:val="005F5D94"/>
    <w:rsid w:val="005F5E32"/>
    <w:rsid w:val="005F657A"/>
    <w:rsid w:val="005F6BCB"/>
    <w:rsid w:val="005F6EA9"/>
    <w:rsid w:val="005F7628"/>
    <w:rsid w:val="005F790E"/>
    <w:rsid w:val="006026AE"/>
    <w:rsid w:val="00602E4F"/>
    <w:rsid w:val="00604FDC"/>
    <w:rsid w:val="0060649E"/>
    <w:rsid w:val="0060703F"/>
    <w:rsid w:val="0061028A"/>
    <w:rsid w:val="006114A7"/>
    <w:rsid w:val="0061299A"/>
    <w:rsid w:val="00615489"/>
    <w:rsid w:val="00616373"/>
    <w:rsid w:val="00616E3F"/>
    <w:rsid w:val="0061773E"/>
    <w:rsid w:val="006177EA"/>
    <w:rsid w:val="006207CE"/>
    <w:rsid w:val="006219CA"/>
    <w:rsid w:val="00625AA7"/>
    <w:rsid w:val="00625B9A"/>
    <w:rsid w:val="0062639C"/>
    <w:rsid w:val="006267AB"/>
    <w:rsid w:val="006273FF"/>
    <w:rsid w:val="00627DC8"/>
    <w:rsid w:val="00627F3E"/>
    <w:rsid w:val="00627FBC"/>
    <w:rsid w:val="00630564"/>
    <w:rsid w:val="00630710"/>
    <w:rsid w:val="00633B3A"/>
    <w:rsid w:val="006346B6"/>
    <w:rsid w:val="00634AF1"/>
    <w:rsid w:val="00635640"/>
    <w:rsid w:val="006360E1"/>
    <w:rsid w:val="00636440"/>
    <w:rsid w:val="00636C5C"/>
    <w:rsid w:val="00641B9E"/>
    <w:rsid w:val="00642755"/>
    <w:rsid w:val="00643A30"/>
    <w:rsid w:val="00643CA0"/>
    <w:rsid w:val="00644A54"/>
    <w:rsid w:val="00644A97"/>
    <w:rsid w:val="00644ED7"/>
    <w:rsid w:val="006450ED"/>
    <w:rsid w:val="00647C9F"/>
    <w:rsid w:val="00650099"/>
    <w:rsid w:val="006506F4"/>
    <w:rsid w:val="00650B96"/>
    <w:rsid w:val="006523DB"/>
    <w:rsid w:val="006553C8"/>
    <w:rsid w:val="006557D9"/>
    <w:rsid w:val="00655D51"/>
    <w:rsid w:val="00655E73"/>
    <w:rsid w:val="00661BEB"/>
    <w:rsid w:val="00661D85"/>
    <w:rsid w:val="00662715"/>
    <w:rsid w:val="00662986"/>
    <w:rsid w:val="00662D91"/>
    <w:rsid w:val="00662EDD"/>
    <w:rsid w:val="00662F04"/>
    <w:rsid w:val="00664DFD"/>
    <w:rsid w:val="006655A6"/>
    <w:rsid w:val="006657DE"/>
    <w:rsid w:val="00671718"/>
    <w:rsid w:val="00671D35"/>
    <w:rsid w:val="00674AAF"/>
    <w:rsid w:val="00674F9F"/>
    <w:rsid w:val="00675132"/>
    <w:rsid w:val="00677828"/>
    <w:rsid w:val="00677C10"/>
    <w:rsid w:val="00680E28"/>
    <w:rsid w:val="00680E95"/>
    <w:rsid w:val="006812B7"/>
    <w:rsid w:val="006817FC"/>
    <w:rsid w:val="006831DE"/>
    <w:rsid w:val="00683202"/>
    <w:rsid w:val="00683641"/>
    <w:rsid w:val="00684174"/>
    <w:rsid w:val="006853CB"/>
    <w:rsid w:val="00685779"/>
    <w:rsid w:val="00686A0F"/>
    <w:rsid w:val="0069094C"/>
    <w:rsid w:val="00690D8A"/>
    <w:rsid w:val="00691195"/>
    <w:rsid w:val="006911D7"/>
    <w:rsid w:val="0069137C"/>
    <w:rsid w:val="0069203E"/>
    <w:rsid w:val="00694658"/>
    <w:rsid w:val="006948AF"/>
    <w:rsid w:val="0069573A"/>
    <w:rsid w:val="00695C44"/>
    <w:rsid w:val="006967C4"/>
    <w:rsid w:val="00697796"/>
    <w:rsid w:val="006A08E4"/>
    <w:rsid w:val="006A12E6"/>
    <w:rsid w:val="006A14F1"/>
    <w:rsid w:val="006A6AD0"/>
    <w:rsid w:val="006A6E76"/>
    <w:rsid w:val="006B1281"/>
    <w:rsid w:val="006B1C3C"/>
    <w:rsid w:val="006B1DC2"/>
    <w:rsid w:val="006B31DE"/>
    <w:rsid w:val="006B372D"/>
    <w:rsid w:val="006B3966"/>
    <w:rsid w:val="006B493C"/>
    <w:rsid w:val="006B5540"/>
    <w:rsid w:val="006B5E15"/>
    <w:rsid w:val="006B603F"/>
    <w:rsid w:val="006B6CBF"/>
    <w:rsid w:val="006B6EA6"/>
    <w:rsid w:val="006B7CF0"/>
    <w:rsid w:val="006C0AC8"/>
    <w:rsid w:val="006C0F40"/>
    <w:rsid w:val="006C1906"/>
    <w:rsid w:val="006C1CD1"/>
    <w:rsid w:val="006C1E1B"/>
    <w:rsid w:val="006C25A9"/>
    <w:rsid w:val="006C2A92"/>
    <w:rsid w:val="006C3055"/>
    <w:rsid w:val="006C35E5"/>
    <w:rsid w:val="006C36F3"/>
    <w:rsid w:val="006C718B"/>
    <w:rsid w:val="006C79CC"/>
    <w:rsid w:val="006C7FE9"/>
    <w:rsid w:val="006D075C"/>
    <w:rsid w:val="006D0F51"/>
    <w:rsid w:val="006D1CBF"/>
    <w:rsid w:val="006D204A"/>
    <w:rsid w:val="006D2308"/>
    <w:rsid w:val="006D2A0C"/>
    <w:rsid w:val="006D2E2D"/>
    <w:rsid w:val="006D361B"/>
    <w:rsid w:val="006D3C95"/>
    <w:rsid w:val="006D412F"/>
    <w:rsid w:val="006D5608"/>
    <w:rsid w:val="006D5BF6"/>
    <w:rsid w:val="006D5DA3"/>
    <w:rsid w:val="006D6011"/>
    <w:rsid w:val="006D6067"/>
    <w:rsid w:val="006D68D6"/>
    <w:rsid w:val="006D7D06"/>
    <w:rsid w:val="006E035F"/>
    <w:rsid w:val="006E09E0"/>
    <w:rsid w:val="006E0B17"/>
    <w:rsid w:val="006E0C12"/>
    <w:rsid w:val="006E1B5F"/>
    <w:rsid w:val="006E2E8E"/>
    <w:rsid w:val="006E31D0"/>
    <w:rsid w:val="006E3B56"/>
    <w:rsid w:val="006E541D"/>
    <w:rsid w:val="006E5503"/>
    <w:rsid w:val="006E5B92"/>
    <w:rsid w:val="006E5CCC"/>
    <w:rsid w:val="006E70F2"/>
    <w:rsid w:val="006E735E"/>
    <w:rsid w:val="006F04B2"/>
    <w:rsid w:val="006F0E9D"/>
    <w:rsid w:val="006F0F3F"/>
    <w:rsid w:val="006F152D"/>
    <w:rsid w:val="006F1705"/>
    <w:rsid w:val="006F2129"/>
    <w:rsid w:val="006F26F2"/>
    <w:rsid w:val="006F2D41"/>
    <w:rsid w:val="006F2E44"/>
    <w:rsid w:val="006F378E"/>
    <w:rsid w:val="006F40A4"/>
    <w:rsid w:val="006F466E"/>
    <w:rsid w:val="006F4E14"/>
    <w:rsid w:val="006F5DA6"/>
    <w:rsid w:val="006F6BF3"/>
    <w:rsid w:val="006F7DA4"/>
    <w:rsid w:val="007000DC"/>
    <w:rsid w:val="0070135B"/>
    <w:rsid w:val="0070164F"/>
    <w:rsid w:val="007017DC"/>
    <w:rsid w:val="00703FD7"/>
    <w:rsid w:val="007047F7"/>
    <w:rsid w:val="00705418"/>
    <w:rsid w:val="00705DB1"/>
    <w:rsid w:val="0070650D"/>
    <w:rsid w:val="007066A4"/>
    <w:rsid w:val="00706971"/>
    <w:rsid w:val="0071070D"/>
    <w:rsid w:val="007118FA"/>
    <w:rsid w:val="00712037"/>
    <w:rsid w:val="007124F8"/>
    <w:rsid w:val="00713324"/>
    <w:rsid w:val="00714D49"/>
    <w:rsid w:val="0071651B"/>
    <w:rsid w:val="00717BEE"/>
    <w:rsid w:val="007234AD"/>
    <w:rsid w:val="0072357A"/>
    <w:rsid w:val="007238A5"/>
    <w:rsid w:val="00724689"/>
    <w:rsid w:val="007267B6"/>
    <w:rsid w:val="00730634"/>
    <w:rsid w:val="007317CB"/>
    <w:rsid w:val="007318B9"/>
    <w:rsid w:val="00731AA5"/>
    <w:rsid w:val="00732C6F"/>
    <w:rsid w:val="00733676"/>
    <w:rsid w:val="00734364"/>
    <w:rsid w:val="00734997"/>
    <w:rsid w:val="00735C31"/>
    <w:rsid w:val="00736E93"/>
    <w:rsid w:val="00736EF7"/>
    <w:rsid w:val="00737424"/>
    <w:rsid w:val="00737F39"/>
    <w:rsid w:val="0074035D"/>
    <w:rsid w:val="00740BF4"/>
    <w:rsid w:val="00741077"/>
    <w:rsid w:val="007417BA"/>
    <w:rsid w:val="007420F3"/>
    <w:rsid w:val="0074223D"/>
    <w:rsid w:val="00742782"/>
    <w:rsid w:val="007433CC"/>
    <w:rsid w:val="0074388F"/>
    <w:rsid w:val="00743B57"/>
    <w:rsid w:val="00744AE3"/>
    <w:rsid w:val="00744BFD"/>
    <w:rsid w:val="007451E9"/>
    <w:rsid w:val="00745D39"/>
    <w:rsid w:val="0074666F"/>
    <w:rsid w:val="007479EE"/>
    <w:rsid w:val="00750462"/>
    <w:rsid w:val="007508DE"/>
    <w:rsid w:val="00750C31"/>
    <w:rsid w:val="00751DC9"/>
    <w:rsid w:val="007520C4"/>
    <w:rsid w:val="007575E4"/>
    <w:rsid w:val="0075789E"/>
    <w:rsid w:val="00761077"/>
    <w:rsid w:val="00761225"/>
    <w:rsid w:val="00761D97"/>
    <w:rsid w:val="007628D6"/>
    <w:rsid w:val="00763D8C"/>
    <w:rsid w:val="007645F6"/>
    <w:rsid w:val="0076551B"/>
    <w:rsid w:val="0076660A"/>
    <w:rsid w:val="00766763"/>
    <w:rsid w:val="00766C04"/>
    <w:rsid w:val="007677F5"/>
    <w:rsid w:val="0077019A"/>
    <w:rsid w:val="00771C7B"/>
    <w:rsid w:val="00773586"/>
    <w:rsid w:val="00773A42"/>
    <w:rsid w:val="00774EE3"/>
    <w:rsid w:val="0077580C"/>
    <w:rsid w:val="00776997"/>
    <w:rsid w:val="00777694"/>
    <w:rsid w:val="0077775A"/>
    <w:rsid w:val="00782010"/>
    <w:rsid w:val="00784B0C"/>
    <w:rsid w:val="00785389"/>
    <w:rsid w:val="00785427"/>
    <w:rsid w:val="007869C3"/>
    <w:rsid w:val="007876AD"/>
    <w:rsid w:val="00787EBB"/>
    <w:rsid w:val="00790365"/>
    <w:rsid w:val="00790A63"/>
    <w:rsid w:val="00790DD8"/>
    <w:rsid w:val="00790F47"/>
    <w:rsid w:val="007910FE"/>
    <w:rsid w:val="00792545"/>
    <w:rsid w:val="00795242"/>
    <w:rsid w:val="00795A9E"/>
    <w:rsid w:val="007973B8"/>
    <w:rsid w:val="007A04B6"/>
    <w:rsid w:val="007A054B"/>
    <w:rsid w:val="007A0CEE"/>
    <w:rsid w:val="007A1663"/>
    <w:rsid w:val="007A2364"/>
    <w:rsid w:val="007A31DB"/>
    <w:rsid w:val="007A3C02"/>
    <w:rsid w:val="007A5033"/>
    <w:rsid w:val="007A52CC"/>
    <w:rsid w:val="007A5E47"/>
    <w:rsid w:val="007A6CBC"/>
    <w:rsid w:val="007A7753"/>
    <w:rsid w:val="007A7BF6"/>
    <w:rsid w:val="007B015A"/>
    <w:rsid w:val="007B0A31"/>
    <w:rsid w:val="007B21DF"/>
    <w:rsid w:val="007B33C2"/>
    <w:rsid w:val="007B37CF"/>
    <w:rsid w:val="007B5022"/>
    <w:rsid w:val="007B6768"/>
    <w:rsid w:val="007B75E8"/>
    <w:rsid w:val="007B7D03"/>
    <w:rsid w:val="007C0913"/>
    <w:rsid w:val="007C2A34"/>
    <w:rsid w:val="007C383B"/>
    <w:rsid w:val="007C396C"/>
    <w:rsid w:val="007C4033"/>
    <w:rsid w:val="007C41DD"/>
    <w:rsid w:val="007C535E"/>
    <w:rsid w:val="007C53EF"/>
    <w:rsid w:val="007C69F8"/>
    <w:rsid w:val="007C6C3B"/>
    <w:rsid w:val="007C75F6"/>
    <w:rsid w:val="007C7D27"/>
    <w:rsid w:val="007D05AA"/>
    <w:rsid w:val="007D07F9"/>
    <w:rsid w:val="007D0E79"/>
    <w:rsid w:val="007D22E1"/>
    <w:rsid w:val="007D3540"/>
    <w:rsid w:val="007D3617"/>
    <w:rsid w:val="007D3F2E"/>
    <w:rsid w:val="007D45C2"/>
    <w:rsid w:val="007D5692"/>
    <w:rsid w:val="007D5E9F"/>
    <w:rsid w:val="007D5F34"/>
    <w:rsid w:val="007D6413"/>
    <w:rsid w:val="007D718A"/>
    <w:rsid w:val="007E0499"/>
    <w:rsid w:val="007E06AF"/>
    <w:rsid w:val="007E0F0F"/>
    <w:rsid w:val="007E110A"/>
    <w:rsid w:val="007E14FA"/>
    <w:rsid w:val="007E18CE"/>
    <w:rsid w:val="007E1AF2"/>
    <w:rsid w:val="007E2444"/>
    <w:rsid w:val="007E2C70"/>
    <w:rsid w:val="007E2FBC"/>
    <w:rsid w:val="007E34A1"/>
    <w:rsid w:val="007E37D9"/>
    <w:rsid w:val="007E3C65"/>
    <w:rsid w:val="007E67C4"/>
    <w:rsid w:val="007E67CD"/>
    <w:rsid w:val="007E7CAE"/>
    <w:rsid w:val="007E7EED"/>
    <w:rsid w:val="007F0B83"/>
    <w:rsid w:val="007F13F5"/>
    <w:rsid w:val="007F2A75"/>
    <w:rsid w:val="007F2E37"/>
    <w:rsid w:val="007F4ADC"/>
    <w:rsid w:val="007F50FD"/>
    <w:rsid w:val="007F5239"/>
    <w:rsid w:val="007F6CA2"/>
    <w:rsid w:val="007F7646"/>
    <w:rsid w:val="00802029"/>
    <w:rsid w:val="008024D6"/>
    <w:rsid w:val="008026B5"/>
    <w:rsid w:val="0080351C"/>
    <w:rsid w:val="008041D5"/>
    <w:rsid w:val="00804DBF"/>
    <w:rsid w:val="00805805"/>
    <w:rsid w:val="00805972"/>
    <w:rsid w:val="0080669E"/>
    <w:rsid w:val="0080695A"/>
    <w:rsid w:val="008077FB"/>
    <w:rsid w:val="00807950"/>
    <w:rsid w:val="0081035A"/>
    <w:rsid w:val="0081168A"/>
    <w:rsid w:val="00811B38"/>
    <w:rsid w:val="00811C27"/>
    <w:rsid w:val="00811CFB"/>
    <w:rsid w:val="008127FD"/>
    <w:rsid w:val="008136E9"/>
    <w:rsid w:val="00814148"/>
    <w:rsid w:val="00814DBD"/>
    <w:rsid w:val="00815272"/>
    <w:rsid w:val="008157EE"/>
    <w:rsid w:val="0081666D"/>
    <w:rsid w:val="00820ED2"/>
    <w:rsid w:val="00822DD8"/>
    <w:rsid w:val="00823CFD"/>
    <w:rsid w:val="008249E0"/>
    <w:rsid w:val="0082570E"/>
    <w:rsid w:val="00825987"/>
    <w:rsid w:val="00825DF0"/>
    <w:rsid w:val="00826019"/>
    <w:rsid w:val="00826A37"/>
    <w:rsid w:val="00830680"/>
    <w:rsid w:val="00830778"/>
    <w:rsid w:val="008322F1"/>
    <w:rsid w:val="00833F44"/>
    <w:rsid w:val="00836696"/>
    <w:rsid w:val="008367DC"/>
    <w:rsid w:val="008446AD"/>
    <w:rsid w:val="00846ECE"/>
    <w:rsid w:val="008475A3"/>
    <w:rsid w:val="00847E14"/>
    <w:rsid w:val="00850CAA"/>
    <w:rsid w:val="0085124C"/>
    <w:rsid w:val="00851724"/>
    <w:rsid w:val="00851AF8"/>
    <w:rsid w:val="00852AEB"/>
    <w:rsid w:val="008536FF"/>
    <w:rsid w:val="00853EC7"/>
    <w:rsid w:val="00853F2E"/>
    <w:rsid w:val="008547D3"/>
    <w:rsid w:val="00854A66"/>
    <w:rsid w:val="008557F0"/>
    <w:rsid w:val="0085602C"/>
    <w:rsid w:val="0085678D"/>
    <w:rsid w:val="00856FEE"/>
    <w:rsid w:val="0085796A"/>
    <w:rsid w:val="0085796C"/>
    <w:rsid w:val="00861525"/>
    <w:rsid w:val="00862A5A"/>
    <w:rsid w:val="00862AC0"/>
    <w:rsid w:val="008631C6"/>
    <w:rsid w:val="00863E00"/>
    <w:rsid w:val="00864816"/>
    <w:rsid w:val="0086581B"/>
    <w:rsid w:val="008658C7"/>
    <w:rsid w:val="008658D2"/>
    <w:rsid w:val="00867D5D"/>
    <w:rsid w:val="00867FFA"/>
    <w:rsid w:val="008714DD"/>
    <w:rsid w:val="00871B10"/>
    <w:rsid w:val="008728F5"/>
    <w:rsid w:val="00872BFB"/>
    <w:rsid w:val="00872E20"/>
    <w:rsid w:val="0087335A"/>
    <w:rsid w:val="00873517"/>
    <w:rsid w:val="00876745"/>
    <w:rsid w:val="00876F7F"/>
    <w:rsid w:val="0087762C"/>
    <w:rsid w:val="00877E28"/>
    <w:rsid w:val="00880723"/>
    <w:rsid w:val="0088180C"/>
    <w:rsid w:val="00881F46"/>
    <w:rsid w:val="008825FF"/>
    <w:rsid w:val="00882B47"/>
    <w:rsid w:val="00883336"/>
    <w:rsid w:val="0088443C"/>
    <w:rsid w:val="00884CED"/>
    <w:rsid w:val="00886145"/>
    <w:rsid w:val="00886442"/>
    <w:rsid w:val="008866C8"/>
    <w:rsid w:val="00887590"/>
    <w:rsid w:val="00890C5C"/>
    <w:rsid w:val="00890FEF"/>
    <w:rsid w:val="00891A7A"/>
    <w:rsid w:val="00891C50"/>
    <w:rsid w:val="00892C0F"/>
    <w:rsid w:val="008936CA"/>
    <w:rsid w:val="00893D29"/>
    <w:rsid w:val="00895071"/>
    <w:rsid w:val="00895279"/>
    <w:rsid w:val="0089627B"/>
    <w:rsid w:val="0089644B"/>
    <w:rsid w:val="00896B10"/>
    <w:rsid w:val="00896B7C"/>
    <w:rsid w:val="008972CC"/>
    <w:rsid w:val="008972E9"/>
    <w:rsid w:val="0089749A"/>
    <w:rsid w:val="008974EB"/>
    <w:rsid w:val="00897ED5"/>
    <w:rsid w:val="008A0064"/>
    <w:rsid w:val="008A0D1B"/>
    <w:rsid w:val="008A154D"/>
    <w:rsid w:val="008A1FB6"/>
    <w:rsid w:val="008A2315"/>
    <w:rsid w:val="008A2452"/>
    <w:rsid w:val="008A3B83"/>
    <w:rsid w:val="008A3DF8"/>
    <w:rsid w:val="008A4349"/>
    <w:rsid w:val="008A4C45"/>
    <w:rsid w:val="008A4EC4"/>
    <w:rsid w:val="008A517B"/>
    <w:rsid w:val="008A61E2"/>
    <w:rsid w:val="008A6ACA"/>
    <w:rsid w:val="008A6C44"/>
    <w:rsid w:val="008A756B"/>
    <w:rsid w:val="008B03E7"/>
    <w:rsid w:val="008B06FF"/>
    <w:rsid w:val="008B0D60"/>
    <w:rsid w:val="008B2889"/>
    <w:rsid w:val="008B28A9"/>
    <w:rsid w:val="008B2AD7"/>
    <w:rsid w:val="008B467C"/>
    <w:rsid w:val="008B4C9B"/>
    <w:rsid w:val="008B60C7"/>
    <w:rsid w:val="008B6BE2"/>
    <w:rsid w:val="008B7021"/>
    <w:rsid w:val="008C0A8B"/>
    <w:rsid w:val="008C0C94"/>
    <w:rsid w:val="008C1596"/>
    <w:rsid w:val="008C31C2"/>
    <w:rsid w:val="008C350C"/>
    <w:rsid w:val="008C3760"/>
    <w:rsid w:val="008C3858"/>
    <w:rsid w:val="008C4B74"/>
    <w:rsid w:val="008C4CD5"/>
    <w:rsid w:val="008C5CBF"/>
    <w:rsid w:val="008C5EC1"/>
    <w:rsid w:val="008C6D34"/>
    <w:rsid w:val="008D0ED0"/>
    <w:rsid w:val="008D1469"/>
    <w:rsid w:val="008D1D04"/>
    <w:rsid w:val="008D32C6"/>
    <w:rsid w:val="008D32ED"/>
    <w:rsid w:val="008D3D69"/>
    <w:rsid w:val="008D3DFE"/>
    <w:rsid w:val="008D44B3"/>
    <w:rsid w:val="008D6242"/>
    <w:rsid w:val="008E07B4"/>
    <w:rsid w:val="008E0CB5"/>
    <w:rsid w:val="008E1AEE"/>
    <w:rsid w:val="008E2651"/>
    <w:rsid w:val="008E4559"/>
    <w:rsid w:val="008E5541"/>
    <w:rsid w:val="008E5755"/>
    <w:rsid w:val="008E5EBA"/>
    <w:rsid w:val="008E618C"/>
    <w:rsid w:val="008E79E0"/>
    <w:rsid w:val="008F095D"/>
    <w:rsid w:val="008F0CCC"/>
    <w:rsid w:val="008F1475"/>
    <w:rsid w:val="008F152E"/>
    <w:rsid w:val="008F184E"/>
    <w:rsid w:val="008F2850"/>
    <w:rsid w:val="008F2BBD"/>
    <w:rsid w:val="008F3436"/>
    <w:rsid w:val="008F38FA"/>
    <w:rsid w:val="008F4AD8"/>
    <w:rsid w:val="008F6164"/>
    <w:rsid w:val="008F6909"/>
    <w:rsid w:val="008F6C01"/>
    <w:rsid w:val="008F6FB0"/>
    <w:rsid w:val="008F70F3"/>
    <w:rsid w:val="008F7962"/>
    <w:rsid w:val="008F7EC9"/>
    <w:rsid w:val="009001BD"/>
    <w:rsid w:val="00901996"/>
    <w:rsid w:val="00902AE4"/>
    <w:rsid w:val="009031C7"/>
    <w:rsid w:val="009036EA"/>
    <w:rsid w:val="009043DC"/>
    <w:rsid w:val="0090712B"/>
    <w:rsid w:val="00907586"/>
    <w:rsid w:val="00907CA8"/>
    <w:rsid w:val="00907E7E"/>
    <w:rsid w:val="00911141"/>
    <w:rsid w:val="00911A0B"/>
    <w:rsid w:val="00912622"/>
    <w:rsid w:val="00913220"/>
    <w:rsid w:val="00913F89"/>
    <w:rsid w:val="00917E0A"/>
    <w:rsid w:val="0092361E"/>
    <w:rsid w:val="00923A89"/>
    <w:rsid w:val="00923F00"/>
    <w:rsid w:val="0092411D"/>
    <w:rsid w:val="00924874"/>
    <w:rsid w:val="0092544E"/>
    <w:rsid w:val="00925DF2"/>
    <w:rsid w:val="009272A4"/>
    <w:rsid w:val="009277EF"/>
    <w:rsid w:val="00927DC0"/>
    <w:rsid w:val="00931619"/>
    <w:rsid w:val="00931E21"/>
    <w:rsid w:val="00932EF3"/>
    <w:rsid w:val="009350D2"/>
    <w:rsid w:val="009364CA"/>
    <w:rsid w:val="009368F0"/>
    <w:rsid w:val="00936C83"/>
    <w:rsid w:val="009375BE"/>
    <w:rsid w:val="009434AC"/>
    <w:rsid w:val="009438FA"/>
    <w:rsid w:val="00943A49"/>
    <w:rsid w:val="0094455A"/>
    <w:rsid w:val="009448C2"/>
    <w:rsid w:val="00945BA5"/>
    <w:rsid w:val="00947F2C"/>
    <w:rsid w:val="009517D9"/>
    <w:rsid w:val="00951F88"/>
    <w:rsid w:val="00952C0E"/>
    <w:rsid w:val="009532AF"/>
    <w:rsid w:val="00954FCA"/>
    <w:rsid w:val="009553BA"/>
    <w:rsid w:val="009566AE"/>
    <w:rsid w:val="009566D4"/>
    <w:rsid w:val="00960EB1"/>
    <w:rsid w:val="00961439"/>
    <w:rsid w:val="00961904"/>
    <w:rsid w:val="00962C38"/>
    <w:rsid w:val="0096399A"/>
    <w:rsid w:val="00963F44"/>
    <w:rsid w:val="009643F0"/>
    <w:rsid w:val="00964F2B"/>
    <w:rsid w:val="0096530A"/>
    <w:rsid w:val="00965BA9"/>
    <w:rsid w:val="00966633"/>
    <w:rsid w:val="00966E65"/>
    <w:rsid w:val="009704AB"/>
    <w:rsid w:val="0097050C"/>
    <w:rsid w:val="00970D26"/>
    <w:rsid w:val="009721B1"/>
    <w:rsid w:val="009731AD"/>
    <w:rsid w:val="00974594"/>
    <w:rsid w:val="00974E79"/>
    <w:rsid w:val="009753FA"/>
    <w:rsid w:val="00975A34"/>
    <w:rsid w:val="00975FFF"/>
    <w:rsid w:val="009777B0"/>
    <w:rsid w:val="009808F5"/>
    <w:rsid w:val="00980B85"/>
    <w:rsid w:val="00980FFB"/>
    <w:rsid w:val="009826D5"/>
    <w:rsid w:val="0098435C"/>
    <w:rsid w:val="00984F1B"/>
    <w:rsid w:val="0098697C"/>
    <w:rsid w:val="00986B1F"/>
    <w:rsid w:val="00987203"/>
    <w:rsid w:val="009905B0"/>
    <w:rsid w:val="00991CDA"/>
    <w:rsid w:val="00992793"/>
    <w:rsid w:val="00994077"/>
    <w:rsid w:val="00994152"/>
    <w:rsid w:val="00994733"/>
    <w:rsid w:val="00994D58"/>
    <w:rsid w:val="00995359"/>
    <w:rsid w:val="00997F09"/>
    <w:rsid w:val="00997F3D"/>
    <w:rsid w:val="009A121B"/>
    <w:rsid w:val="009A146D"/>
    <w:rsid w:val="009A1706"/>
    <w:rsid w:val="009A212F"/>
    <w:rsid w:val="009A2689"/>
    <w:rsid w:val="009A2C28"/>
    <w:rsid w:val="009A38FC"/>
    <w:rsid w:val="009A688E"/>
    <w:rsid w:val="009A6C9A"/>
    <w:rsid w:val="009B0506"/>
    <w:rsid w:val="009B06E1"/>
    <w:rsid w:val="009B14CE"/>
    <w:rsid w:val="009B2013"/>
    <w:rsid w:val="009B2E2D"/>
    <w:rsid w:val="009B3336"/>
    <w:rsid w:val="009B37FB"/>
    <w:rsid w:val="009B388E"/>
    <w:rsid w:val="009B39A2"/>
    <w:rsid w:val="009B4179"/>
    <w:rsid w:val="009B4F20"/>
    <w:rsid w:val="009B51DB"/>
    <w:rsid w:val="009B5414"/>
    <w:rsid w:val="009B60DA"/>
    <w:rsid w:val="009B6F1A"/>
    <w:rsid w:val="009B7491"/>
    <w:rsid w:val="009B7AAA"/>
    <w:rsid w:val="009C01C4"/>
    <w:rsid w:val="009C23C9"/>
    <w:rsid w:val="009C2410"/>
    <w:rsid w:val="009C25BE"/>
    <w:rsid w:val="009C2A60"/>
    <w:rsid w:val="009C2FEE"/>
    <w:rsid w:val="009C36C0"/>
    <w:rsid w:val="009C3EDC"/>
    <w:rsid w:val="009C454C"/>
    <w:rsid w:val="009C559D"/>
    <w:rsid w:val="009C600C"/>
    <w:rsid w:val="009C68C5"/>
    <w:rsid w:val="009C6AFA"/>
    <w:rsid w:val="009C6B08"/>
    <w:rsid w:val="009C714D"/>
    <w:rsid w:val="009D0B46"/>
    <w:rsid w:val="009D0E40"/>
    <w:rsid w:val="009D21AD"/>
    <w:rsid w:val="009D3085"/>
    <w:rsid w:val="009D3821"/>
    <w:rsid w:val="009D3A54"/>
    <w:rsid w:val="009D3EE3"/>
    <w:rsid w:val="009D4AAB"/>
    <w:rsid w:val="009D5692"/>
    <w:rsid w:val="009D60CE"/>
    <w:rsid w:val="009D68B8"/>
    <w:rsid w:val="009D7290"/>
    <w:rsid w:val="009E0E92"/>
    <w:rsid w:val="009E1CC9"/>
    <w:rsid w:val="009E2ACE"/>
    <w:rsid w:val="009E3B3E"/>
    <w:rsid w:val="009E59F0"/>
    <w:rsid w:val="009E6754"/>
    <w:rsid w:val="009F0054"/>
    <w:rsid w:val="009F0A49"/>
    <w:rsid w:val="009F10CC"/>
    <w:rsid w:val="009F20C4"/>
    <w:rsid w:val="009F30A3"/>
    <w:rsid w:val="009F43B2"/>
    <w:rsid w:val="009F4A6C"/>
    <w:rsid w:val="009F4D86"/>
    <w:rsid w:val="009F50B2"/>
    <w:rsid w:val="009F5A61"/>
    <w:rsid w:val="009F624D"/>
    <w:rsid w:val="009F6E22"/>
    <w:rsid w:val="009F7B2E"/>
    <w:rsid w:val="009F7F81"/>
    <w:rsid w:val="00A00ACB"/>
    <w:rsid w:val="00A01055"/>
    <w:rsid w:val="00A012CD"/>
    <w:rsid w:val="00A021BC"/>
    <w:rsid w:val="00A02EC6"/>
    <w:rsid w:val="00A06479"/>
    <w:rsid w:val="00A0672E"/>
    <w:rsid w:val="00A069D3"/>
    <w:rsid w:val="00A06FBD"/>
    <w:rsid w:val="00A11059"/>
    <w:rsid w:val="00A11671"/>
    <w:rsid w:val="00A11D47"/>
    <w:rsid w:val="00A12551"/>
    <w:rsid w:val="00A13F47"/>
    <w:rsid w:val="00A14CFC"/>
    <w:rsid w:val="00A166EE"/>
    <w:rsid w:val="00A16EAB"/>
    <w:rsid w:val="00A17133"/>
    <w:rsid w:val="00A17D02"/>
    <w:rsid w:val="00A202BC"/>
    <w:rsid w:val="00A215A3"/>
    <w:rsid w:val="00A2220F"/>
    <w:rsid w:val="00A23743"/>
    <w:rsid w:val="00A250ED"/>
    <w:rsid w:val="00A25582"/>
    <w:rsid w:val="00A255E5"/>
    <w:rsid w:val="00A25E7C"/>
    <w:rsid w:val="00A265CD"/>
    <w:rsid w:val="00A27D35"/>
    <w:rsid w:val="00A30BC1"/>
    <w:rsid w:val="00A30EEB"/>
    <w:rsid w:val="00A30F05"/>
    <w:rsid w:val="00A317CC"/>
    <w:rsid w:val="00A31BDB"/>
    <w:rsid w:val="00A32F22"/>
    <w:rsid w:val="00A33290"/>
    <w:rsid w:val="00A33F38"/>
    <w:rsid w:val="00A34105"/>
    <w:rsid w:val="00A3420E"/>
    <w:rsid w:val="00A34692"/>
    <w:rsid w:val="00A349A1"/>
    <w:rsid w:val="00A35CBC"/>
    <w:rsid w:val="00A35FEF"/>
    <w:rsid w:val="00A36B99"/>
    <w:rsid w:val="00A42171"/>
    <w:rsid w:val="00A42918"/>
    <w:rsid w:val="00A432E7"/>
    <w:rsid w:val="00A43BCB"/>
    <w:rsid w:val="00A43D80"/>
    <w:rsid w:val="00A44BF4"/>
    <w:rsid w:val="00A45195"/>
    <w:rsid w:val="00A4668A"/>
    <w:rsid w:val="00A502A6"/>
    <w:rsid w:val="00A506D7"/>
    <w:rsid w:val="00A5125E"/>
    <w:rsid w:val="00A512F3"/>
    <w:rsid w:val="00A516F0"/>
    <w:rsid w:val="00A52512"/>
    <w:rsid w:val="00A52B1D"/>
    <w:rsid w:val="00A52C42"/>
    <w:rsid w:val="00A5442A"/>
    <w:rsid w:val="00A546EA"/>
    <w:rsid w:val="00A54ECB"/>
    <w:rsid w:val="00A54F40"/>
    <w:rsid w:val="00A54FE6"/>
    <w:rsid w:val="00A5529D"/>
    <w:rsid w:val="00A555E9"/>
    <w:rsid w:val="00A556CA"/>
    <w:rsid w:val="00A55BEB"/>
    <w:rsid w:val="00A56DA6"/>
    <w:rsid w:val="00A56E8F"/>
    <w:rsid w:val="00A573E6"/>
    <w:rsid w:val="00A60F01"/>
    <w:rsid w:val="00A60FA0"/>
    <w:rsid w:val="00A6145D"/>
    <w:rsid w:val="00A62696"/>
    <w:rsid w:val="00A6270A"/>
    <w:rsid w:val="00A6689B"/>
    <w:rsid w:val="00A67908"/>
    <w:rsid w:val="00A70031"/>
    <w:rsid w:val="00A700DE"/>
    <w:rsid w:val="00A70EB1"/>
    <w:rsid w:val="00A721E6"/>
    <w:rsid w:val="00A72322"/>
    <w:rsid w:val="00A725DD"/>
    <w:rsid w:val="00A728ED"/>
    <w:rsid w:val="00A72F1C"/>
    <w:rsid w:val="00A7549D"/>
    <w:rsid w:val="00A75D37"/>
    <w:rsid w:val="00A763D0"/>
    <w:rsid w:val="00A7641E"/>
    <w:rsid w:val="00A778D9"/>
    <w:rsid w:val="00A80725"/>
    <w:rsid w:val="00A8154F"/>
    <w:rsid w:val="00A8177B"/>
    <w:rsid w:val="00A82E11"/>
    <w:rsid w:val="00A82E25"/>
    <w:rsid w:val="00A83014"/>
    <w:rsid w:val="00A83A1D"/>
    <w:rsid w:val="00A83F0C"/>
    <w:rsid w:val="00A845BA"/>
    <w:rsid w:val="00A8516E"/>
    <w:rsid w:val="00A86F98"/>
    <w:rsid w:val="00A875FB"/>
    <w:rsid w:val="00A878EF"/>
    <w:rsid w:val="00A903B9"/>
    <w:rsid w:val="00A90D77"/>
    <w:rsid w:val="00A94D44"/>
    <w:rsid w:val="00A95055"/>
    <w:rsid w:val="00A96376"/>
    <w:rsid w:val="00A97EAD"/>
    <w:rsid w:val="00AA0381"/>
    <w:rsid w:val="00AA0873"/>
    <w:rsid w:val="00AA0A3D"/>
    <w:rsid w:val="00AA0BA9"/>
    <w:rsid w:val="00AA3C1A"/>
    <w:rsid w:val="00AA5D76"/>
    <w:rsid w:val="00AA6855"/>
    <w:rsid w:val="00AA7C1C"/>
    <w:rsid w:val="00AB034C"/>
    <w:rsid w:val="00AB07AD"/>
    <w:rsid w:val="00AB103F"/>
    <w:rsid w:val="00AB2593"/>
    <w:rsid w:val="00AB2ABD"/>
    <w:rsid w:val="00AB2B0B"/>
    <w:rsid w:val="00AB2C90"/>
    <w:rsid w:val="00AB331C"/>
    <w:rsid w:val="00AB39EC"/>
    <w:rsid w:val="00AB4B91"/>
    <w:rsid w:val="00AB564C"/>
    <w:rsid w:val="00AB5748"/>
    <w:rsid w:val="00AB5A4C"/>
    <w:rsid w:val="00AB6D8A"/>
    <w:rsid w:val="00AB7577"/>
    <w:rsid w:val="00AC13E8"/>
    <w:rsid w:val="00AC213E"/>
    <w:rsid w:val="00AC2411"/>
    <w:rsid w:val="00AC296D"/>
    <w:rsid w:val="00AC36B4"/>
    <w:rsid w:val="00AC4450"/>
    <w:rsid w:val="00AC454B"/>
    <w:rsid w:val="00AC50DC"/>
    <w:rsid w:val="00AC5BA7"/>
    <w:rsid w:val="00AC5FE7"/>
    <w:rsid w:val="00AC6170"/>
    <w:rsid w:val="00AC6A26"/>
    <w:rsid w:val="00AC73C7"/>
    <w:rsid w:val="00AD00D6"/>
    <w:rsid w:val="00AD04A1"/>
    <w:rsid w:val="00AD0820"/>
    <w:rsid w:val="00AD09E6"/>
    <w:rsid w:val="00AD1D61"/>
    <w:rsid w:val="00AD3776"/>
    <w:rsid w:val="00AD40B7"/>
    <w:rsid w:val="00AD5BF7"/>
    <w:rsid w:val="00AD61DC"/>
    <w:rsid w:val="00AD6A65"/>
    <w:rsid w:val="00AE01DD"/>
    <w:rsid w:val="00AE1553"/>
    <w:rsid w:val="00AE2BEC"/>
    <w:rsid w:val="00AE597F"/>
    <w:rsid w:val="00AE61F9"/>
    <w:rsid w:val="00AE77B4"/>
    <w:rsid w:val="00AF0401"/>
    <w:rsid w:val="00AF137E"/>
    <w:rsid w:val="00AF1795"/>
    <w:rsid w:val="00AF224B"/>
    <w:rsid w:val="00AF405B"/>
    <w:rsid w:val="00AF4F09"/>
    <w:rsid w:val="00AF54A6"/>
    <w:rsid w:val="00AF6C7C"/>
    <w:rsid w:val="00AF7691"/>
    <w:rsid w:val="00AF7E63"/>
    <w:rsid w:val="00AF7F84"/>
    <w:rsid w:val="00B0189A"/>
    <w:rsid w:val="00B02DA9"/>
    <w:rsid w:val="00B05F98"/>
    <w:rsid w:val="00B07AD8"/>
    <w:rsid w:val="00B1020A"/>
    <w:rsid w:val="00B1235D"/>
    <w:rsid w:val="00B125C4"/>
    <w:rsid w:val="00B128D2"/>
    <w:rsid w:val="00B12C4E"/>
    <w:rsid w:val="00B139E1"/>
    <w:rsid w:val="00B13B74"/>
    <w:rsid w:val="00B13E88"/>
    <w:rsid w:val="00B14B23"/>
    <w:rsid w:val="00B1562D"/>
    <w:rsid w:val="00B15FE4"/>
    <w:rsid w:val="00B17308"/>
    <w:rsid w:val="00B17B81"/>
    <w:rsid w:val="00B217AC"/>
    <w:rsid w:val="00B2447F"/>
    <w:rsid w:val="00B2480A"/>
    <w:rsid w:val="00B2553E"/>
    <w:rsid w:val="00B26392"/>
    <w:rsid w:val="00B2683F"/>
    <w:rsid w:val="00B271E7"/>
    <w:rsid w:val="00B305F1"/>
    <w:rsid w:val="00B3085D"/>
    <w:rsid w:val="00B308C9"/>
    <w:rsid w:val="00B30FDB"/>
    <w:rsid w:val="00B3101C"/>
    <w:rsid w:val="00B3126B"/>
    <w:rsid w:val="00B31382"/>
    <w:rsid w:val="00B31A0F"/>
    <w:rsid w:val="00B32AF6"/>
    <w:rsid w:val="00B363D6"/>
    <w:rsid w:val="00B377A7"/>
    <w:rsid w:val="00B37F4D"/>
    <w:rsid w:val="00B40EE6"/>
    <w:rsid w:val="00B4268E"/>
    <w:rsid w:val="00B4367B"/>
    <w:rsid w:val="00B439D9"/>
    <w:rsid w:val="00B44BB9"/>
    <w:rsid w:val="00B44FF0"/>
    <w:rsid w:val="00B475A2"/>
    <w:rsid w:val="00B525FD"/>
    <w:rsid w:val="00B53AF3"/>
    <w:rsid w:val="00B53D70"/>
    <w:rsid w:val="00B53F85"/>
    <w:rsid w:val="00B54853"/>
    <w:rsid w:val="00B548E4"/>
    <w:rsid w:val="00B54A20"/>
    <w:rsid w:val="00B55559"/>
    <w:rsid w:val="00B55A86"/>
    <w:rsid w:val="00B56660"/>
    <w:rsid w:val="00B57B8D"/>
    <w:rsid w:val="00B60588"/>
    <w:rsid w:val="00B60C7D"/>
    <w:rsid w:val="00B60D6C"/>
    <w:rsid w:val="00B617F7"/>
    <w:rsid w:val="00B62753"/>
    <w:rsid w:val="00B629B3"/>
    <w:rsid w:val="00B62DFC"/>
    <w:rsid w:val="00B63E92"/>
    <w:rsid w:val="00B65896"/>
    <w:rsid w:val="00B66385"/>
    <w:rsid w:val="00B665FD"/>
    <w:rsid w:val="00B6697A"/>
    <w:rsid w:val="00B66C1D"/>
    <w:rsid w:val="00B66F59"/>
    <w:rsid w:val="00B67884"/>
    <w:rsid w:val="00B67BEA"/>
    <w:rsid w:val="00B70341"/>
    <w:rsid w:val="00B7080D"/>
    <w:rsid w:val="00B71434"/>
    <w:rsid w:val="00B71457"/>
    <w:rsid w:val="00B7343B"/>
    <w:rsid w:val="00B73910"/>
    <w:rsid w:val="00B74E77"/>
    <w:rsid w:val="00B75995"/>
    <w:rsid w:val="00B76690"/>
    <w:rsid w:val="00B76C94"/>
    <w:rsid w:val="00B77243"/>
    <w:rsid w:val="00B77870"/>
    <w:rsid w:val="00B77888"/>
    <w:rsid w:val="00B77CEB"/>
    <w:rsid w:val="00B77D3D"/>
    <w:rsid w:val="00B8018D"/>
    <w:rsid w:val="00B80A25"/>
    <w:rsid w:val="00B80D56"/>
    <w:rsid w:val="00B81F2C"/>
    <w:rsid w:val="00B82C7B"/>
    <w:rsid w:val="00B8396D"/>
    <w:rsid w:val="00B8431F"/>
    <w:rsid w:val="00B847D9"/>
    <w:rsid w:val="00B84FA9"/>
    <w:rsid w:val="00B85250"/>
    <w:rsid w:val="00B85BE4"/>
    <w:rsid w:val="00B87214"/>
    <w:rsid w:val="00B90A5E"/>
    <w:rsid w:val="00B9206F"/>
    <w:rsid w:val="00B93705"/>
    <w:rsid w:val="00B941FD"/>
    <w:rsid w:val="00B947E8"/>
    <w:rsid w:val="00B948ED"/>
    <w:rsid w:val="00B94AA7"/>
    <w:rsid w:val="00B94FD9"/>
    <w:rsid w:val="00B95814"/>
    <w:rsid w:val="00B96D24"/>
    <w:rsid w:val="00B96EEC"/>
    <w:rsid w:val="00BA15FB"/>
    <w:rsid w:val="00BA1756"/>
    <w:rsid w:val="00BA26D7"/>
    <w:rsid w:val="00BA3FBD"/>
    <w:rsid w:val="00BA4F49"/>
    <w:rsid w:val="00BA567E"/>
    <w:rsid w:val="00BB06CF"/>
    <w:rsid w:val="00BB2B56"/>
    <w:rsid w:val="00BB571D"/>
    <w:rsid w:val="00BB5B7D"/>
    <w:rsid w:val="00BB5CF4"/>
    <w:rsid w:val="00BB6C88"/>
    <w:rsid w:val="00BC09E6"/>
    <w:rsid w:val="00BC12CD"/>
    <w:rsid w:val="00BC178B"/>
    <w:rsid w:val="00BC1828"/>
    <w:rsid w:val="00BC22BC"/>
    <w:rsid w:val="00BC3A87"/>
    <w:rsid w:val="00BC42BE"/>
    <w:rsid w:val="00BC5499"/>
    <w:rsid w:val="00BC5B93"/>
    <w:rsid w:val="00BC6DF4"/>
    <w:rsid w:val="00BC77C0"/>
    <w:rsid w:val="00BC7B6B"/>
    <w:rsid w:val="00BC7DBC"/>
    <w:rsid w:val="00BD0C74"/>
    <w:rsid w:val="00BD1209"/>
    <w:rsid w:val="00BD1368"/>
    <w:rsid w:val="00BD1574"/>
    <w:rsid w:val="00BD2B5E"/>
    <w:rsid w:val="00BD35F6"/>
    <w:rsid w:val="00BD3656"/>
    <w:rsid w:val="00BD38AD"/>
    <w:rsid w:val="00BD3932"/>
    <w:rsid w:val="00BD3BDE"/>
    <w:rsid w:val="00BD4A3B"/>
    <w:rsid w:val="00BD5310"/>
    <w:rsid w:val="00BD5471"/>
    <w:rsid w:val="00BD64D9"/>
    <w:rsid w:val="00BD6B28"/>
    <w:rsid w:val="00BD6C2D"/>
    <w:rsid w:val="00BD6E9E"/>
    <w:rsid w:val="00BD6F49"/>
    <w:rsid w:val="00BE08A8"/>
    <w:rsid w:val="00BE291D"/>
    <w:rsid w:val="00BE3933"/>
    <w:rsid w:val="00BE4D64"/>
    <w:rsid w:val="00BE500A"/>
    <w:rsid w:val="00BE5E6D"/>
    <w:rsid w:val="00BE69DF"/>
    <w:rsid w:val="00BE7D31"/>
    <w:rsid w:val="00BF017B"/>
    <w:rsid w:val="00BF0D7E"/>
    <w:rsid w:val="00BF0F8D"/>
    <w:rsid w:val="00BF104E"/>
    <w:rsid w:val="00BF1082"/>
    <w:rsid w:val="00BF2CD2"/>
    <w:rsid w:val="00BF2F6C"/>
    <w:rsid w:val="00BF3ED1"/>
    <w:rsid w:val="00BF46EA"/>
    <w:rsid w:val="00BF69D4"/>
    <w:rsid w:val="00BF6C1B"/>
    <w:rsid w:val="00BF77C6"/>
    <w:rsid w:val="00C00AB3"/>
    <w:rsid w:val="00C01AE5"/>
    <w:rsid w:val="00C01E67"/>
    <w:rsid w:val="00C0214F"/>
    <w:rsid w:val="00C025A7"/>
    <w:rsid w:val="00C0266B"/>
    <w:rsid w:val="00C02D6A"/>
    <w:rsid w:val="00C03144"/>
    <w:rsid w:val="00C03423"/>
    <w:rsid w:val="00C03CBB"/>
    <w:rsid w:val="00C049DC"/>
    <w:rsid w:val="00C04B7A"/>
    <w:rsid w:val="00C05F67"/>
    <w:rsid w:val="00C0706B"/>
    <w:rsid w:val="00C076D0"/>
    <w:rsid w:val="00C07E99"/>
    <w:rsid w:val="00C11C77"/>
    <w:rsid w:val="00C12FC8"/>
    <w:rsid w:val="00C135D0"/>
    <w:rsid w:val="00C14CAA"/>
    <w:rsid w:val="00C15BF7"/>
    <w:rsid w:val="00C15E12"/>
    <w:rsid w:val="00C16BA2"/>
    <w:rsid w:val="00C202D1"/>
    <w:rsid w:val="00C20B19"/>
    <w:rsid w:val="00C210DA"/>
    <w:rsid w:val="00C2189F"/>
    <w:rsid w:val="00C22411"/>
    <w:rsid w:val="00C23D10"/>
    <w:rsid w:val="00C2446F"/>
    <w:rsid w:val="00C249FA"/>
    <w:rsid w:val="00C24F71"/>
    <w:rsid w:val="00C26858"/>
    <w:rsid w:val="00C27052"/>
    <w:rsid w:val="00C27875"/>
    <w:rsid w:val="00C27BD5"/>
    <w:rsid w:val="00C30977"/>
    <w:rsid w:val="00C3198E"/>
    <w:rsid w:val="00C31F52"/>
    <w:rsid w:val="00C3242B"/>
    <w:rsid w:val="00C33DDE"/>
    <w:rsid w:val="00C35103"/>
    <w:rsid w:val="00C351FC"/>
    <w:rsid w:val="00C36573"/>
    <w:rsid w:val="00C368CD"/>
    <w:rsid w:val="00C36E1A"/>
    <w:rsid w:val="00C376B0"/>
    <w:rsid w:val="00C4022B"/>
    <w:rsid w:val="00C40850"/>
    <w:rsid w:val="00C42F75"/>
    <w:rsid w:val="00C431D3"/>
    <w:rsid w:val="00C44763"/>
    <w:rsid w:val="00C447C7"/>
    <w:rsid w:val="00C4509A"/>
    <w:rsid w:val="00C45743"/>
    <w:rsid w:val="00C45975"/>
    <w:rsid w:val="00C507F7"/>
    <w:rsid w:val="00C5269A"/>
    <w:rsid w:val="00C538B9"/>
    <w:rsid w:val="00C54790"/>
    <w:rsid w:val="00C554B7"/>
    <w:rsid w:val="00C559CB"/>
    <w:rsid w:val="00C55BAE"/>
    <w:rsid w:val="00C56601"/>
    <w:rsid w:val="00C5737D"/>
    <w:rsid w:val="00C573F1"/>
    <w:rsid w:val="00C60394"/>
    <w:rsid w:val="00C6090C"/>
    <w:rsid w:val="00C6116C"/>
    <w:rsid w:val="00C61792"/>
    <w:rsid w:val="00C6280B"/>
    <w:rsid w:val="00C634BA"/>
    <w:rsid w:val="00C656C3"/>
    <w:rsid w:val="00C66710"/>
    <w:rsid w:val="00C66BBA"/>
    <w:rsid w:val="00C67589"/>
    <w:rsid w:val="00C67F5E"/>
    <w:rsid w:val="00C701AF"/>
    <w:rsid w:val="00C702C0"/>
    <w:rsid w:val="00C70CE5"/>
    <w:rsid w:val="00C70F65"/>
    <w:rsid w:val="00C71766"/>
    <w:rsid w:val="00C7223E"/>
    <w:rsid w:val="00C72CE2"/>
    <w:rsid w:val="00C73426"/>
    <w:rsid w:val="00C768F0"/>
    <w:rsid w:val="00C76B52"/>
    <w:rsid w:val="00C77C68"/>
    <w:rsid w:val="00C80189"/>
    <w:rsid w:val="00C8037F"/>
    <w:rsid w:val="00C80F55"/>
    <w:rsid w:val="00C82AF1"/>
    <w:rsid w:val="00C82EC8"/>
    <w:rsid w:val="00C830DC"/>
    <w:rsid w:val="00C835AE"/>
    <w:rsid w:val="00C83E54"/>
    <w:rsid w:val="00C844E9"/>
    <w:rsid w:val="00C86CC8"/>
    <w:rsid w:val="00C8701C"/>
    <w:rsid w:val="00C91EDD"/>
    <w:rsid w:val="00C92A91"/>
    <w:rsid w:val="00C94744"/>
    <w:rsid w:val="00C973D5"/>
    <w:rsid w:val="00C976B5"/>
    <w:rsid w:val="00C97902"/>
    <w:rsid w:val="00CA047B"/>
    <w:rsid w:val="00CA05BD"/>
    <w:rsid w:val="00CA0840"/>
    <w:rsid w:val="00CA0BFF"/>
    <w:rsid w:val="00CA217E"/>
    <w:rsid w:val="00CA3E08"/>
    <w:rsid w:val="00CA4110"/>
    <w:rsid w:val="00CA641D"/>
    <w:rsid w:val="00CA6BE1"/>
    <w:rsid w:val="00CA6E78"/>
    <w:rsid w:val="00CB0327"/>
    <w:rsid w:val="00CB09B4"/>
    <w:rsid w:val="00CB3299"/>
    <w:rsid w:val="00CB39C2"/>
    <w:rsid w:val="00CB4598"/>
    <w:rsid w:val="00CB5021"/>
    <w:rsid w:val="00CB58B7"/>
    <w:rsid w:val="00CB5BE8"/>
    <w:rsid w:val="00CB656E"/>
    <w:rsid w:val="00CC04C4"/>
    <w:rsid w:val="00CC0A64"/>
    <w:rsid w:val="00CC188F"/>
    <w:rsid w:val="00CC235F"/>
    <w:rsid w:val="00CC2AE7"/>
    <w:rsid w:val="00CC310F"/>
    <w:rsid w:val="00CC36EF"/>
    <w:rsid w:val="00CC560E"/>
    <w:rsid w:val="00CC656F"/>
    <w:rsid w:val="00CC6D93"/>
    <w:rsid w:val="00CC7F6E"/>
    <w:rsid w:val="00CD0358"/>
    <w:rsid w:val="00CD0964"/>
    <w:rsid w:val="00CD0BD5"/>
    <w:rsid w:val="00CD33E1"/>
    <w:rsid w:val="00CD3F74"/>
    <w:rsid w:val="00CD43A0"/>
    <w:rsid w:val="00CD4C53"/>
    <w:rsid w:val="00CD5347"/>
    <w:rsid w:val="00CD541E"/>
    <w:rsid w:val="00CD5931"/>
    <w:rsid w:val="00CD6C32"/>
    <w:rsid w:val="00CE101E"/>
    <w:rsid w:val="00CE128E"/>
    <w:rsid w:val="00CE1499"/>
    <w:rsid w:val="00CE3001"/>
    <w:rsid w:val="00CE3CE0"/>
    <w:rsid w:val="00CE3D64"/>
    <w:rsid w:val="00CE4239"/>
    <w:rsid w:val="00CE496A"/>
    <w:rsid w:val="00CE4A9A"/>
    <w:rsid w:val="00CE4D23"/>
    <w:rsid w:val="00CE6E1B"/>
    <w:rsid w:val="00CE768D"/>
    <w:rsid w:val="00CE79B1"/>
    <w:rsid w:val="00CE7DAA"/>
    <w:rsid w:val="00CE7EF1"/>
    <w:rsid w:val="00CF0299"/>
    <w:rsid w:val="00CF04AA"/>
    <w:rsid w:val="00CF3009"/>
    <w:rsid w:val="00CF3C6C"/>
    <w:rsid w:val="00CF4A67"/>
    <w:rsid w:val="00CF5C85"/>
    <w:rsid w:val="00CF646B"/>
    <w:rsid w:val="00CF6786"/>
    <w:rsid w:val="00CF6A49"/>
    <w:rsid w:val="00CF735C"/>
    <w:rsid w:val="00CF7D38"/>
    <w:rsid w:val="00D00850"/>
    <w:rsid w:val="00D0175E"/>
    <w:rsid w:val="00D0230C"/>
    <w:rsid w:val="00D02D1D"/>
    <w:rsid w:val="00D03279"/>
    <w:rsid w:val="00D0426C"/>
    <w:rsid w:val="00D04E51"/>
    <w:rsid w:val="00D05CBA"/>
    <w:rsid w:val="00D06977"/>
    <w:rsid w:val="00D10068"/>
    <w:rsid w:val="00D100AC"/>
    <w:rsid w:val="00D10E00"/>
    <w:rsid w:val="00D1224F"/>
    <w:rsid w:val="00D122CE"/>
    <w:rsid w:val="00D1256D"/>
    <w:rsid w:val="00D130AC"/>
    <w:rsid w:val="00D1357F"/>
    <w:rsid w:val="00D142F0"/>
    <w:rsid w:val="00D1462F"/>
    <w:rsid w:val="00D14E41"/>
    <w:rsid w:val="00D15F72"/>
    <w:rsid w:val="00D168AF"/>
    <w:rsid w:val="00D2007E"/>
    <w:rsid w:val="00D2039A"/>
    <w:rsid w:val="00D20627"/>
    <w:rsid w:val="00D20928"/>
    <w:rsid w:val="00D2264F"/>
    <w:rsid w:val="00D233FE"/>
    <w:rsid w:val="00D23458"/>
    <w:rsid w:val="00D2371D"/>
    <w:rsid w:val="00D23AB4"/>
    <w:rsid w:val="00D23E48"/>
    <w:rsid w:val="00D25014"/>
    <w:rsid w:val="00D260DB"/>
    <w:rsid w:val="00D26131"/>
    <w:rsid w:val="00D27552"/>
    <w:rsid w:val="00D30249"/>
    <w:rsid w:val="00D31017"/>
    <w:rsid w:val="00D311B2"/>
    <w:rsid w:val="00D3135E"/>
    <w:rsid w:val="00D3168D"/>
    <w:rsid w:val="00D31F3D"/>
    <w:rsid w:val="00D324C2"/>
    <w:rsid w:val="00D32696"/>
    <w:rsid w:val="00D345CB"/>
    <w:rsid w:val="00D35E9A"/>
    <w:rsid w:val="00D37E92"/>
    <w:rsid w:val="00D40251"/>
    <w:rsid w:val="00D40604"/>
    <w:rsid w:val="00D41831"/>
    <w:rsid w:val="00D41A20"/>
    <w:rsid w:val="00D41B6C"/>
    <w:rsid w:val="00D42361"/>
    <w:rsid w:val="00D42D62"/>
    <w:rsid w:val="00D42F16"/>
    <w:rsid w:val="00D456AD"/>
    <w:rsid w:val="00D45B07"/>
    <w:rsid w:val="00D45EB0"/>
    <w:rsid w:val="00D461FC"/>
    <w:rsid w:val="00D4662D"/>
    <w:rsid w:val="00D50EE3"/>
    <w:rsid w:val="00D51659"/>
    <w:rsid w:val="00D51BEE"/>
    <w:rsid w:val="00D5203A"/>
    <w:rsid w:val="00D522A1"/>
    <w:rsid w:val="00D52474"/>
    <w:rsid w:val="00D531C5"/>
    <w:rsid w:val="00D5349C"/>
    <w:rsid w:val="00D559EA"/>
    <w:rsid w:val="00D55C96"/>
    <w:rsid w:val="00D566B5"/>
    <w:rsid w:val="00D6046F"/>
    <w:rsid w:val="00D60EB7"/>
    <w:rsid w:val="00D61467"/>
    <w:rsid w:val="00D6331E"/>
    <w:rsid w:val="00D633C2"/>
    <w:rsid w:val="00D65A2D"/>
    <w:rsid w:val="00D66076"/>
    <w:rsid w:val="00D66434"/>
    <w:rsid w:val="00D66AA6"/>
    <w:rsid w:val="00D672CB"/>
    <w:rsid w:val="00D677C6"/>
    <w:rsid w:val="00D70296"/>
    <w:rsid w:val="00D706B8"/>
    <w:rsid w:val="00D7118F"/>
    <w:rsid w:val="00D72213"/>
    <w:rsid w:val="00D7265D"/>
    <w:rsid w:val="00D749C6"/>
    <w:rsid w:val="00D7582C"/>
    <w:rsid w:val="00D75BD6"/>
    <w:rsid w:val="00D76315"/>
    <w:rsid w:val="00D775EF"/>
    <w:rsid w:val="00D8013D"/>
    <w:rsid w:val="00D808D1"/>
    <w:rsid w:val="00D8160B"/>
    <w:rsid w:val="00D81DDF"/>
    <w:rsid w:val="00D82553"/>
    <w:rsid w:val="00D872B7"/>
    <w:rsid w:val="00D9065F"/>
    <w:rsid w:val="00D91154"/>
    <w:rsid w:val="00D9142C"/>
    <w:rsid w:val="00D91B99"/>
    <w:rsid w:val="00D92A47"/>
    <w:rsid w:val="00D93799"/>
    <w:rsid w:val="00D9394A"/>
    <w:rsid w:val="00D93B89"/>
    <w:rsid w:val="00D93E4D"/>
    <w:rsid w:val="00D956EB"/>
    <w:rsid w:val="00D95E4A"/>
    <w:rsid w:val="00D96D77"/>
    <w:rsid w:val="00D97095"/>
    <w:rsid w:val="00D97631"/>
    <w:rsid w:val="00D97F4B"/>
    <w:rsid w:val="00DA174D"/>
    <w:rsid w:val="00DA3180"/>
    <w:rsid w:val="00DA4303"/>
    <w:rsid w:val="00DA46DA"/>
    <w:rsid w:val="00DA4E43"/>
    <w:rsid w:val="00DA6215"/>
    <w:rsid w:val="00DA6505"/>
    <w:rsid w:val="00DA72E2"/>
    <w:rsid w:val="00DB05B8"/>
    <w:rsid w:val="00DB301D"/>
    <w:rsid w:val="00DB3FC5"/>
    <w:rsid w:val="00DB4938"/>
    <w:rsid w:val="00DB5BDE"/>
    <w:rsid w:val="00DC05D4"/>
    <w:rsid w:val="00DC0FFF"/>
    <w:rsid w:val="00DC155A"/>
    <w:rsid w:val="00DC1863"/>
    <w:rsid w:val="00DC23DB"/>
    <w:rsid w:val="00DC302D"/>
    <w:rsid w:val="00DC4417"/>
    <w:rsid w:val="00DC487B"/>
    <w:rsid w:val="00DC5984"/>
    <w:rsid w:val="00DC6FE6"/>
    <w:rsid w:val="00DC7004"/>
    <w:rsid w:val="00DC7675"/>
    <w:rsid w:val="00DC7993"/>
    <w:rsid w:val="00DD0CD8"/>
    <w:rsid w:val="00DD256C"/>
    <w:rsid w:val="00DD2599"/>
    <w:rsid w:val="00DD2660"/>
    <w:rsid w:val="00DD2B44"/>
    <w:rsid w:val="00DD3014"/>
    <w:rsid w:val="00DD41B0"/>
    <w:rsid w:val="00DD44B2"/>
    <w:rsid w:val="00DD4FAE"/>
    <w:rsid w:val="00DD50A7"/>
    <w:rsid w:val="00DD549C"/>
    <w:rsid w:val="00DD5ED8"/>
    <w:rsid w:val="00DD6424"/>
    <w:rsid w:val="00DD6EE7"/>
    <w:rsid w:val="00DE1986"/>
    <w:rsid w:val="00DE1E2C"/>
    <w:rsid w:val="00DE1F1F"/>
    <w:rsid w:val="00DE1F77"/>
    <w:rsid w:val="00DE40BE"/>
    <w:rsid w:val="00DE6A17"/>
    <w:rsid w:val="00DE6D87"/>
    <w:rsid w:val="00DE726D"/>
    <w:rsid w:val="00DF0D67"/>
    <w:rsid w:val="00DF1A8B"/>
    <w:rsid w:val="00DF25DF"/>
    <w:rsid w:val="00DF3983"/>
    <w:rsid w:val="00DF4A5A"/>
    <w:rsid w:val="00DF5330"/>
    <w:rsid w:val="00DF537D"/>
    <w:rsid w:val="00DF5E05"/>
    <w:rsid w:val="00DF6126"/>
    <w:rsid w:val="00DF753E"/>
    <w:rsid w:val="00E0037C"/>
    <w:rsid w:val="00E00625"/>
    <w:rsid w:val="00E02354"/>
    <w:rsid w:val="00E025C2"/>
    <w:rsid w:val="00E03EA7"/>
    <w:rsid w:val="00E04E18"/>
    <w:rsid w:val="00E05242"/>
    <w:rsid w:val="00E058D9"/>
    <w:rsid w:val="00E061DB"/>
    <w:rsid w:val="00E103B5"/>
    <w:rsid w:val="00E1059A"/>
    <w:rsid w:val="00E106CF"/>
    <w:rsid w:val="00E1114A"/>
    <w:rsid w:val="00E129C8"/>
    <w:rsid w:val="00E12BD5"/>
    <w:rsid w:val="00E12CD4"/>
    <w:rsid w:val="00E15DBE"/>
    <w:rsid w:val="00E16AEA"/>
    <w:rsid w:val="00E174EF"/>
    <w:rsid w:val="00E17980"/>
    <w:rsid w:val="00E20684"/>
    <w:rsid w:val="00E207A4"/>
    <w:rsid w:val="00E20F42"/>
    <w:rsid w:val="00E22B11"/>
    <w:rsid w:val="00E22CC2"/>
    <w:rsid w:val="00E23EFB"/>
    <w:rsid w:val="00E24856"/>
    <w:rsid w:val="00E24FA5"/>
    <w:rsid w:val="00E25DDB"/>
    <w:rsid w:val="00E263C5"/>
    <w:rsid w:val="00E26F28"/>
    <w:rsid w:val="00E27442"/>
    <w:rsid w:val="00E2751F"/>
    <w:rsid w:val="00E30290"/>
    <w:rsid w:val="00E308CD"/>
    <w:rsid w:val="00E308E8"/>
    <w:rsid w:val="00E30BB9"/>
    <w:rsid w:val="00E3164F"/>
    <w:rsid w:val="00E31DC8"/>
    <w:rsid w:val="00E3203C"/>
    <w:rsid w:val="00E329E1"/>
    <w:rsid w:val="00E343D4"/>
    <w:rsid w:val="00E34C9B"/>
    <w:rsid w:val="00E37EF1"/>
    <w:rsid w:val="00E41685"/>
    <w:rsid w:val="00E418D8"/>
    <w:rsid w:val="00E421B9"/>
    <w:rsid w:val="00E42782"/>
    <w:rsid w:val="00E428F4"/>
    <w:rsid w:val="00E44477"/>
    <w:rsid w:val="00E44C64"/>
    <w:rsid w:val="00E456E9"/>
    <w:rsid w:val="00E45D38"/>
    <w:rsid w:val="00E46D6F"/>
    <w:rsid w:val="00E47DE6"/>
    <w:rsid w:val="00E47F0F"/>
    <w:rsid w:val="00E50035"/>
    <w:rsid w:val="00E500DA"/>
    <w:rsid w:val="00E505AE"/>
    <w:rsid w:val="00E50932"/>
    <w:rsid w:val="00E50E05"/>
    <w:rsid w:val="00E512ED"/>
    <w:rsid w:val="00E515D1"/>
    <w:rsid w:val="00E51E95"/>
    <w:rsid w:val="00E5215D"/>
    <w:rsid w:val="00E527F9"/>
    <w:rsid w:val="00E52FC1"/>
    <w:rsid w:val="00E53122"/>
    <w:rsid w:val="00E53D33"/>
    <w:rsid w:val="00E54F8D"/>
    <w:rsid w:val="00E56439"/>
    <w:rsid w:val="00E5652D"/>
    <w:rsid w:val="00E56EDB"/>
    <w:rsid w:val="00E57B51"/>
    <w:rsid w:val="00E57E9E"/>
    <w:rsid w:val="00E60EE2"/>
    <w:rsid w:val="00E61478"/>
    <w:rsid w:val="00E61725"/>
    <w:rsid w:val="00E61FA4"/>
    <w:rsid w:val="00E63B19"/>
    <w:rsid w:val="00E63B6C"/>
    <w:rsid w:val="00E64A42"/>
    <w:rsid w:val="00E652EC"/>
    <w:rsid w:val="00E7016A"/>
    <w:rsid w:val="00E705C2"/>
    <w:rsid w:val="00E71867"/>
    <w:rsid w:val="00E71A45"/>
    <w:rsid w:val="00E76155"/>
    <w:rsid w:val="00E761C7"/>
    <w:rsid w:val="00E76AEC"/>
    <w:rsid w:val="00E772CF"/>
    <w:rsid w:val="00E77C59"/>
    <w:rsid w:val="00E77F23"/>
    <w:rsid w:val="00E8153A"/>
    <w:rsid w:val="00E81945"/>
    <w:rsid w:val="00E834F2"/>
    <w:rsid w:val="00E83B45"/>
    <w:rsid w:val="00E8664D"/>
    <w:rsid w:val="00E90FDC"/>
    <w:rsid w:val="00E91133"/>
    <w:rsid w:val="00E91513"/>
    <w:rsid w:val="00E9277D"/>
    <w:rsid w:val="00E92E12"/>
    <w:rsid w:val="00E9394D"/>
    <w:rsid w:val="00E94E98"/>
    <w:rsid w:val="00E9626C"/>
    <w:rsid w:val="00E967C0"/>
    <w:rsid w:val="00E96EE4"/>
    <w:rsid w:val="00E96F8B"/>
    <w:rsid w:val="00E972DF"/>
    <w:rsid w:val="00E97A56"/>
    <w:rsid w:val="00EA05FE"/>
    <w:rsid w:val="00EA14B4"/>
    <w:rsid w:val="00EA31B8"/>
    <w:rsid w:val="00EA3431"/>
    <w:rsid w:val="00EA35A9"/>
    <w:rsid w:val="00EA3ABD"/>
    <w:rsid w:val="00EA464F"/>
    <w:rsid w:val="00EA5972"/>
    <w:rsid w:val="00EA684B"/>
    <w:rsid w:val="00EA71DA"/>
    <w:rsid w:val="00EB1556"/>
    <w:rsid w:val="00EB1856"/>
    <w:rsid w:val="00EB1D2C"/>
    <w:rsid w:val="00EB29A9"/>
    <w:rsid w:val="00EB2BAC"/>
    <w:rsid w:val="00EB43E8"/>
    <w:rsid w:val="00EB530C"/>
    <w:rsid w:val="00EB6D99"/>
    <w:rsid w:val="00EB7CB1"/>
    <w:rsid w:val="00EB7DEE"/>
    <w:rsid w:val="00EC026B"/>
    <w:rsid w:val="00EC111E"/>
    <w:rsid w:val="00EC2022"/>
    <w:rsid w:val="00EC2316"/>
    <w:rsid w:val="00EC46E7"/>
    <w:rsid w:val="00EC4CD0"/>
    <w:rsid w:val="00EC58B6"/>
    <w:rsid w:val="00ED0832"/>
    <w:rsid w:val="00ED087B"/>
    <w:rsid w:val="00ED1105"/>
    <w:rsid w:val="00ED190C"/>
    <w:rsid w:val="00ED2521"/>
    <w:rsid w:val="00ED3CC6"/>
    <w:rsid w:val="00ED64A7"/>
    <w:rsid w:val="00EE0899"/>
    <w:rsid w:val="00EE15DE"/>
    <w:rsid w:val="00EE2065"/>
    <w:rsid w:val="00EE21FC"/>
    <w:rsid w:val="00EE2BF8"/>
    <w:rsid w:val="00EE3564"/>
    <w:rsid w:val="00EE4824"/>
    <w:rsid w:val="00EE4D96"/>
    <w:rsid w:val="00EE4DDC"/>
    <w:rsid w:val="00EE6997"/>
    <w:rsid w:val="00EF0461"/>
    <w:rsid w:val="00EF0BE6"/>
    <w:rsid w:val="00EF1320"/>
    <w:rsid w:val="00EF1AFB"/>
    <w:rsid w:val="00EF337E"/>
    <w:rsid w:val="00EF360D"/>
    <w:rsid w:val="00EF4253"/>
    <w:rsid w:val="00EF4344"/>
    <w:rsid w:val="00EF44B2"/>
    <w:rsid w:val="00EF496F"/>
    <w:rsid w:val="00EF4A79"/>
    <w:rsid w:val="00EF51C8"/>
    <w:rsid w:val="00EF7B26"/>
    <w:rsid w:val="00F010C0"/>
    <w:rsid w:val="00F01690"/>
    <w:rsid w:val="00F027D1"/>
    <w:rsid w:val="00F02AAF"/>
    <w:rsid w:val="00F037E9"/>
    <w:rsid w:val="00F03FD6"/>
    <w:rsid w:val="00F070AF"/>
    <w:rsid w:val="00F07849"/>
    <w:rsid w:val="00F10D43"/>
    <w:rsid w:val="00F11B2E"/>
    <w:rsid w:val="00F11B58"/>
    <w:rsid w:val="00F12688"/>
    <w:rsid w:val="00F14829"/>
    <w:rsid w:val="00F151C1"/>
    <w:rsid w:val="00F15DCD"/>
    <w:rsid w:val="00F16036"/>
    <w:rsid w:val="00F16B3F"/>
    <w:rsid w:val="00F17D07"/>
    <w:rsid w:val="00F22499"/>
    <w:rsid w:val="00F22747"/>
    <w:rsid w:val="00F22AB6"/>
    <w:rsid w:val="00F236EC"/>
    <w:rsid w:val="00F23918"/>
    <w:rsid w:val="00F23B23"/>
    <w:rsid w:val="00F23BDD"/>
    <w:rsid w:val="00F24C30"/>
    <w:rsid w:val="00F24E81"/>
    <w:rsid w:val="00F25482"/>
    <w:rsid w:val="00F30FB7"/>
    <w:rsid w:val="00F31D74"/>
    <w:rsid w:val="00F32634"/>
    <w:rsid w:val="00F326FF"/>
    <w:rsid w:val="00F32853"/>
    <w:rsid w:val="00F332B8"/>
    <w:rsid w:val="00F339F2"/>
    <w:rsid w:val="00F33A18"/>
    <w:rsid w:val="00F354DD"/>
    <w:rsid w:val="00F35C25"/>
    <w:rsid w:val="00F362E4"/>
    <w:rsid w:val="00F41A58"/>
    <w:rsid w:val="00F42513"/>
    <w:rsid w:val="00F43325"/>
    <w:rsid w:val="00F467ED"/>
    <w:rsid w:val="00F472AE"/>
    <w:rsid w:val="00F47912"/>
    <w:rsid w:val="00F47D4E"/>
    <w:rsid w:val="00F50A33"/>
    <w:rsid w:val="00F50A7C"/>
    <w:rsid w:val="00F50F25"/>
    <w:rsid w:val="00F5196B"/>
    <w:rsid w:val="00F51FA7"/>
    <w:rsid w:val="00F52EC7"/>
    <w:rsid w:val="00F5329C"/>
    <w:rsid w:val="00F534B8"/>
    <w:rsid w:val="00F53553"/>
    <w:rsid w:val="00F53BB2"/>
    <w:rsid w:val="00F548DB"/>
    <w:rsid w:val="00F54E0E"/>
    <w:rsid w:val="00F6020B"/>
    <w:rsid w:val="00F606E8"/>
    <w:rsid w:val="00F614FE"/>
    <w:rsid w:val="00F62CDA"/>
    <w:rsid w:val="00F63451"/>
    <w:rsid w:val="00F63FC9"/>
    <w:rsid w:val="00F64AA7"/>
    <w:rsid w:val="00F64D77"/>
    <w:rsid w:val="00F6532A"/>
    <w:rsid w:val="00F65CA3"/>
    <w:rsid w:val="00F65F32"/>
    <w:rsid w:val="00F66221"/>
    <w:rsid w:val="00F669B7"/>
    <w:rsid w:val="00F676BB"/>
    <w:rsid w:val="00F70717"/>
    <w:rsid w:val="00F71951"/>
    <w:rsid w:val="00F7328B"/>
    <w:rsid w:val="00F73BA2"/>
    <w:rsid w:val="00F752A0"/>
    <w:rsid w:val="00F755CC"/>
    <w:rsid w:val="00F75D12"/>
    <w:rsid w:val="00F76069"/>
    <w:rsid w:val="00F76E3D"/>
    <w:rsid w:val="00F77B0B"/>
    <w:rsid w:val="00F81088"/>
    <w:rsid w:val="00F8137B"/>
    <w:rsid w:val="00F81FD0"/>
    <w:rsid w:val="00F8258D"/>
    <w:rsid w:val="00F83966"/>
    <w:rsid w:val="00F839C6"/>
    <w:rsid w:val="00F83BD7"/>
    <w:rsid w:val="00F84A31"/>
    <w:rsid w:val="00F8508C"/>
    <w:rsid w:val="00F8534A"/>
    <w:rsid w:val="00F85B04"/>
    <w:rsid w:val="00F85DCE"/>
    <w:rsid w:val="00F8792A"/>
    <w:rsid w:val="00F906A1"/>
    <w:rsid w:val="00F90A5F"/>
    <w:rsid w:val="00F90CE1"/>
    <w:rsid w:val="00F90F32"/>
    <w:rsid w:val="00F91818"/>
    <w:rsid w:val="00F9183E"/>
    <w:rsid w:val="00F92396"/>
    <w:rsid w:val="00F932EF"/>
    <w:rsid w:val="00F93720"/>
    <w:rsid w:val="00F946DF"/>
    <w:rsid w:val="00F947F1"/>
    <w:rsid w:val="00F957C3"/>
    <w:rsid w:val="00F96BDD"/>
    <w:rsid w:val="00FA25B6"/>
    <w:rsid w:val="00FA3D44"/>
    <w:rsid w:val="00FA4356"/>
    <w:rsid w:val="00FB00C4"/>
    <w:rsid w:val="00FB018D"/>
    <w:rsid w:val="00FB0CF2"/>
    <w:rsid w:val="00FB2B8E"/>
    <w:rsid w:val="00FB2CFF"/>
    <w:rsid w:val="00FB3A3B"/>
    <w:rsid w:val="00FB47A0"/>
    <w:rsid w:val="00FB4CFC"/>
    <w:rsid w:val="00FB56AC"/>
    <w:rsid w:val="00FB6362"/>
    <w:rsid w:val="00FB63B5"/>
    <w:rsid w:val="00FB6568"/>
    <w:rsid w:val="00FC15F6"/>
    <w:rsid w:val="00FC177D"/>
    <w:rsid w:val="00FC249F"/>
    <w:rsid w:val="00FC66BB"/>
    <w:rsid w:val="00FC6BD3"/>
    <w:rsid w:val="00FC7151"/>
    <w:rsid w:val="00FC72A0"/>
    <w:rsid w:val="00FD0669"/>
    <w:rsid w:val="00FD0FAA"/>
    <w:rsid w:val="00FD143E"/>
    <w:rsid w:val="00FD1F58"/>
    <w:rsid w:val="00FD1F6F"/>
    <w:rsid w:val="00FD24FA"/>
    <w:rsid w:val="00FD4E3C"/>
    <w:rsid w:val="00FD68C1"/>
    <w:rsid w:val="00FD7F34"/>
    <w:rsid w:val="00FE029F"/>
    <w:rsid w:val="00FE0B76"/>
    <w:rsid w:val="00FE1177"/>
    <w:rsid w:val="00FE11AD"/>
    <w:rsid w:val="00FE1A61"/>
    <w:rsid w:val="00FE1B2D"/>
    <w:rsid w:val="00FE2982"/>
    <w:rsid w:val="00FE2D91"/>
    <w:rsid w:val="00FE3DB5"/>
    <w:rsid w:val="00FE422E"/>
    <w:rsid w:val="00FE4AB5"/>
    <w:rsid w:val="00FE566F"/>
    <w:rsid w:val="00FE6AC8"/>
    <w:rsid w:val="00FF0945"/>
    <w:rsid w:val="00FF0B25"/>
    <w:rsid w:val="00FF34E3"/>
    <w:rsid w:val="00FF3886"/>
    <w:rsid w:val="00FF43DF"/>
    <w:rsid w:val="00FF47A7"/>
    <w:rsid w:val="00FF562C"/>
    <w:rsid w:val="00FF5AE0"/>
    <w:rsid w:val="00FF5E83"/>
    <w:rsid w:val="00FF649E"/>
    <w:rsid w:val="00FF795D"/>
    <w:rsid w:val="00FF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99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99" w:unhideWhenUsed="1" w:qFormat="1"/>
  </w:latentStyles>
  <w:style w:type="paragraph" w:default="1" w:styleId="Normal">
    <w:name w:val="Normal"/>
    <w:qFormat/>
    <w:rsid w:val="00E500DA"/>
    <w:rPr>
      <w:rFonts w:eastAsia="Times New Roman"/>
      <w:sz w:val="24"/>
    </w:rPr>
  </w:style>
  <w:style w:type="paragraph" w:styleId="Heading1">
    <w:name w:val="heading 1"/>
    <w:aliases w:val="Heading 1 Char"/>
    <w:basedOn w:val="Normal"/>
    <w:next w:val="Normal"/>
    <w:qFormat/>
    <w:rsid w:val="00E500D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BF46EA"/>
    <w:pPr>
      <w:keepNext/>
      <w:spacing w:before="240" w:after="240"/>
      <w:outlineLvl w:val="1"/>
    </w:pPr>
    <w:rPr>
      <w:rFonts w:ascii="Arial" w:eastAsia="Times" w:hAnsi="Arial"/>
      <w:b/>
      <w:color w:val="000000"/>
      <w:sz w:val="28"/>
    </w:rPr>
  </w:style>
  <w:style w:type="paragraph" w:styleId="Heading3">
    <w:name w:val="heading 3"/>
    <w:aliases w:val="Don't use"/>
    <w:basedOn w:val="Normal"/>
    <w:next w:val="Normal"/>
    <w:link w:val="Heading3Char"/>
    <w:qFormat/>
    <w:rsid w:val="008E5EBA"/>
    <w:pPr>
      <w:keepNext/>
      <w:spacing w:before="240" w:after="60"/>
      <w:ind w:firstLine="360"/>
      <w:outlineLvl w:val="2"/>
    </w:pPr>
    <w:rPr>
      <w:rFonts w:ascii="Times New Roman" w:hAnsi="Times New Roman" w:cs="Arial"/>
      <w:b/>
      <w:bCs/>
      <w:szCs w:val="26"/>
    </w:rPr>
  </w:style>
  <w:style w:type="paragraph" w:styleId="Heading4">
    <w:name w:val="heading 4"/>
    <w:aliases w:val="Do not use"/>
    <w:basedOn w:val="Normal"/>
    <w:next w:val="Normal"/>
    <w:link w:val="Heading4Char"/>
    <w:qFormat/>
    <w:rsid w:val="008E5EBA"/>
    <w:pPr>
      <w:keepNext/>
      <w:tabs>
        <w:tab w:val="right" w:pos="9180"/>
      </w:tabs>
      <w:ind w:firstLine="360"/>
      <w:outlineLvl w:val="3"/>
    </w:pPr>
    <w:rPr>
      <w:rFonts w:eastAsia="Times"/>
      <w:i/>
      <w:szCs w:val="28"/>
    </w:rPr>
  </w:style>
  <w:style w:type="paragraph" w:styleId="Heading5">
    <w:name w:val="heading 5"/>
    <w:aliases w:val="do not use"/>
    <w:basedOn w:val="Normal"/>
    <w:next w:val="Normal"/>
    <w:link w:val="Heading5Char"/>
    <w:qFormat/>
    <w:rsid w:val="00B77D3D"/>
    <w:pPr>
      <w:keepNext/>
      <w:tabs>
        <w:tab w:val="left" w:pos="360"/>
        <w:tab w:val="left" w:pos="990"/>
        <w:tab w:val="left" w:leader="dot" w:pos="8856"/>
      </w:tabs>
      <w:ind w:right="-360"/>
      <w:outlineLvl w:val="4"/>
    </w:pPr>
    <w:rPr>
      <w:rFonts w:ascii="Arial" w:hAnsi="Arial"/>
      <w:b/>
      <w:bCs/>
      <w:szCs w:val="40"/>
    </w:rPr>
  </w:style>
  <w:style w:type="paragraph" w:styleId="Heading6">
    <w:name w:val="heading 6"/>
    <w:aliases w:val="do not use Heading 6"/>
    <w:basedOn w:val="Normal"/>
    <w:next w:val="Normal"/>
    <w:link w:val="Heading6Char"/>
    <w:qFormat/>
    <w:rsid w:val="00B77D3D"/>
    <w:pPr>
      <w:keepNext/>
      <w:tabs>
        <w:tab w:val="left" w:pos="6030"/>
      </w:tabs>
      <w:spacing w:line="360" w:lineRule="auto"/>
      <w:ind w:left="1800"/>
      <w:outlineLvl w:val="5"/>
    </w:pPr>
    <w:rPr>
      <w:b/>
      <w:sz w:val="28"/>
    </w:rPr>
  </w:style>
  <w:style w:type="paragraph" w:styleId="Heading7">
    <w:name w:val="heading 7"/>
    <w:aliases w:val="Do not use Heading 7"/>
    <w:basedOn w:val="Normal"/>
    <w:next w:val="Normal"/>
    <w:link w:val="Heading7Char"/>
    <w:qFormat/>
    <w:rsid w:val="00B77D3D"/>
    <w:pPr>
      <w:keepNext/>
      <w:tabs>
        <w:tab w:val="left" w:pos="5400"/>
      </w:tabs>
      <w:ind w:left="2160"/>
      <w:outlineLvl w:val="6"/>
    </w:pPr>
    <w:rPr>
      <w:b/>
      <w:sz w:val="28"/>
    </w:rPr>
  </w:style>
  <w:style w:type="paragraph" w:styleId="Heading8">
    <w:name w:val="heading 8"/>
    <w:aliases w:val="Do not use Heading 8"/>
    <w:basedOn w:val="Normal"/>
    <w:next w:val="Normal"/>
    <w:link w:val="Heading8Char"/>
    <w:qFormat/>
    <w:rsid w:val="00B77D3D"/>
    <w:pPr>
      <w:keepNext/>
      <w:jc w:val="center"/>
      <w:outlineLvl w:val="7"/>
    </w:pPr>
    <w:rPr>
      <w:b/>
      <w:sz w:val="36"/>
    </w:rPr>
  </w:style>
  <w:style w:type="paragraph" w:styleId="Heading9">
    <w:name w:val="heading 9"/>
    <w:aliases w:val="don't use Heading 9"/>
    <w:basedOn w:val="Normal"/>
    <w:next w:val="Normal"/>
    <w:link w:val="Heading9Char"/>
    <w:qFormat/>
    <w:rsid w:val="00B77D3D"/>
    <w:pPr>
      <w:keepNext/>
      <w:tabs>
        <w:tab w:val="left" w:pos="3870"/>
        <w:tab w:val="left" w:pos="6030"/>
      </w:tabs>
      <w:spacing w:line="480" w:lineRule="auto"/>
      <w:ind w:left="1080"/>
      <w:outlineLvl w:val="8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BF46EA"/>
    <w:rPr>
      <w:rFonts w:ascii="Arial" w:eastAsia="Times" w:hAnsi="Arial"/>
      <w:b/>
      <w:color w:val="000000"/>
      <w:sz w:val="28"/>
      <w:lang w:val="en-US" w:eastAsia="en-US" w:bidi="ar-SA"/>
    </w:rPr>
  </w:style>
  <w:style w:type="character" w:customStyle="1" w:styleId="Heading3Char">
    <w:name w:val="Heading 3 Char"/>
    <w:aliases w:val="Don't use Char"/>
    <w:basedOn w:val="DefaultParagraphFont"/>
    <w:link w:val="Heading3"/>
    <w:rsid w:val="0002060F"/>
    <w:rPr>
      <w:rFonts w:ascii="Times New Roman" w:hAnsi="Times New Roman" w:cs="Arial"/>
      <w:b/>
      <w:bCs/>
      <w:sz w:val="24"/>
      <w:szCs w:val="26"/>
    </w:rPr>
  </w:style>
  <w:style w:type="character" w:customStyle="1" w:styleId="Heading4Char">
    <w:name w:val="Heading 4 Char"/>
    <w:aliases w:val="Do not use Char"/>
    <w:link w:val="Heading4"/>
    <w:rsid w:val="008E5EBA"/>
    <w:rPr>
      <w:rFonts w:eastAsia="Times"/>
      <w:i/>
      <w:sz w:val="24"/>
      <w:szCs w:val="28"/>
      <w:lang w:val="en-US" w:eastAsia="en-US" w:bidi="ar-SA"/>
    </w:rPr>
  </w:style>
  <w:style w:type="character" w:customStyle="1" w:styleId="Heading5Char">
    <w:name w:val="Heading 5 Char"/>
    <w:aliases w:val="do not use Char"/>
    <w:basedOn w:val="DefaultParagraphFont"/>
    <w:link w:val="Heading5"/>
    <w:rsid w:val="0002060F"/>
    <w:rPr>
      <w:rFonts w:ascii="Arial" w:hAnsi="Arial"/>
      <w:b/>
      <w:bCs/>
      <w:sz w:val="24"/>
      <w:szCs w:val="40"/>
    </w:rPr>
  </w:style>
  <w:style w:type="character" w:customStyle="1" w:styleId="Heading6Char">
    <w:name w:val="Heading 6 Char"/>
    <w:aliases w:val="do not use Heading 6 Char"/>
    <w:basedOn w:val="DefaultParagraphFont"/>
    <w:link w:val="Heading6"/>
    <w:rsid w:val="0002060F"/>
    <w:rPr>
      <w:b/>
      <w:sz w:val="28"/>
    </w:rPr>
  </w:style>
  <w:style w:type="character" w:customStyle="1" w:styleId="Heading7Char">
    <w:name w:val="Heading 7 Char"/>
    <w:aliases w:val="Do not use Heading 7 Char"/>
    <w:basedOn w:val="DefaultParagraphFont"/>
    <w:link w:val="Heading7"/>
    <w:rsid w:val="0002060F"/>
    <w:rPr>
      <w:b/>
      <w:sz w:val="28"/>
    </w:rPr>
  </w:style>
  <w:style w:type="character" w:customStyle="1" w:styleId="Heading8Char">
    <w:name w:val="Heading 8 Char"/>
    <w:aliases w:val="Do not use Heading 8 Char"/>
    <w:basedOn w:val="DefaultParagraphFont"/>
    <w:link w:val="Heading8"/>
    <w:rsid w:val="0002060F"/>
    <w:rPr>
      <w:b/>
      <w:sz w:val="36"/>
    </w:rPr>
  </w:style>
  <w:style w:type="character" w:customStyle="1" w:styleId="Heading9Char">
    <w:name w:val="Heading 9 Char"/>
    <w:aliases w:val="don't use Heading 9 Char"/>
    <w:basedOn w:val="DefaultParagraphFont"/>
    <w:link w:val="Heading9"/>
    <w:rsid w:val="0002060F"/>
    <w:rPr>
      <w:b/>
      <w:sz w:val="28"/>
    </w:rPr>
  </w:style>
  <w:style w:type="table" w:styleId="TableGrid">
    <w:name w:val="Table Grid"/>
    <w:basedOn w:val="TableNormal"/>
    <w:uiPriority w:val="59"/>
    <w:rsid w:val="00E500DA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HRQ1">
    <w:name w:val="AHRQ1"/>
    <w:basedOn w:val="TableGrid"/>
    <w:rsid w:val="00E500DA"/>
    <w:pPr>
      <w:ind w:left="187" w:hanging="187"/>
    </w:pPr>
    <w:rPr>
      <w:rFonts w:ascii="Arial" w:eastAsia="Times New Roman" w:hAnsi="Arial"/>
      <w:sz w:val="18"/>
    </w:rPr>
    <w:tblPr>
      <w:tblInd w:w="0" w:type="dxa"/>
      <w:tblBorders>
        <w:top w:val="single" w:sz="12" w:space="0" w:color="auto"/>
        <w:bottom w:val="single" w:sz="12" w:space="0" w:color="auto"/>
        <w:insideH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ind w:leftChars="0" w:left="0" w:firstLineChars="0" w:firstLine="0"/>
      </w:pPr>
      <w:rPr>
        <w:b/>
      </w:rPr>
      <w:tblPr/>
      <w:tcPr>
        <w:vAlign w:val="center"/>
      </w:tcPr>
    </w:tblStylePr>
  </w:style>
  <w:style w:type="paragraph" w:styleId="BalloonText">
    <w:name w:val="Balloon Text"/>
    <w:basedOn w:val="Normal"/>
    <w:link w:val="BalloonTextChar"/>
    <w:unhideWhenUsed/>
    <w:rsid w:val="00E500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500DA"/>
    <w:rPr>
      <w:rFonts w:ascii="Tahoma" w:eastAsia="Times New Roman" w:hAnsi="Tahoma" w:cs="Tahoma"/>
      <w:sz w:val="16"/>
      <w:szCs w:val="16"/>
    </w:rPr>
  </w:style>
  <w:style w:type="paragraph" w:customStyle="1" w:styleId="Bullet1">
    <w:name w:val="Bullet1"/>
    <w:qFormat/>
    <w:rsid w:val="00E500DA"/>
    <w:pPr>
      <w:numPr>
        <w:numId w:val="17"/>
      </w:numPr>
    </w:pPr>
    <w:rPr>
      <w:rFonts w:ascii="Times New Roman" w:eastAsia="Times New Roman" w:hAnsi="Times New Roman"/>
      <w:bCs/>
      <w:sz w:val="24"/>
      <w:szCs w:val="24"/>
    </w:rPr>
  </w:style>
  <w:style w:type="paragraph" w:customStyle="1" w:styleId="Bullet2">
    <w:name w:val="Bullet2"/>
    <w:qFormat/>
    <w:rsid w:val="00E500DA"/>
    <w:pPr>
      <w:numPr>
        <w:ilvl w:val="1"/>
        <w:numId w:val="17"/>
      </w:numPr>
    </w:pPr>
    <w:rPr>
      <w:rFonts w:ascii="Times New Roman" w:eastAsia="Times New Roman" w:hAnsi="Times New Roman"/>
      <w:bCs/>
      <w:sz w:val="24"/>
      <w:szCs w:val="24"/>
    </w:rPr>
  </w:style>
  <w:style w:type="paragraph" w:customStyle="1" w:styleId="ChapterHeading">
    <w:name w:val="ChapterHeading"/>
    <w:qFormat/>
    <w:rsid w:val="00E500DA"/>
    <w:pPr>
      <w:keepNext/>
      <w:spacing w:before="240" w:after="60"/>
      <w:jc w:val="center"/>
    </w:pPr>
    <w:rPr>
      <w:rFonts w:ascii="Arial" w:eastAsia="Times New Roman" w:hAnsi="Arial"/>
      <w:b/>
      <w:bCs/>
      <w:sz w:val="36"/>
      <w:szCs w:val="24"/>
    </w:rPr>
  </w:style>
  <w:style w:type="character" w:styleId="CommentReference">
    <w:name w:val="annotation reference"/>
    <w:basedOn w:val="DefaultParagraphFont"/>
    <w:rsid w:val="00E500DA"/>
    <w:rPr>
      <w:sz w:val="16"/>
      <w:szCs w:val="16"/>
    </w:rPr>
  </w:style>
  <w:style w:type="paragraph" w:styleId="CommentText">
    <w:name w:val="annotation text"/>
    <w:basedOn w:val="Normal"/>
    <w:link w:val="CommentTextChar"/>
    <w:rsid w:val="00E500DA"/>
    <w:pPr>
      <w:spacing w:before="240" w:after="60"/>
    </w:pPr>
    <w:rPr>
      <w:rFonts w:ascii="Calibri" w:eastAsia="Calibri" w:hAnsi="Calibri"/>
      <w:sz w:val="20"/>
    </w:rPr>
  </w:style>
  <w:style w:type="character" w:customStyle="1" w:styleId="CommentTextChar">
    <w:name w:val="Comment Text Char"/>
    <w:basedOn w:val="DefaultParagraphFont"/>
    <w:link w:val="CommentText"/>
    <w:rsid w:val="00E500DA"/>
    <w:rPr>
      <w:rFonts w:ascii="Calibri" w:eastAsia="Calibri" w:hAnsi="Calibri"/>
    </w:rPr>
  </w:style>
  <w:style w:type="paragraph" w:styleId="CommentSubject">
    <w:name w:val="annotation subject"/>
    <w:basedOn w:val="CommentText"/>
    <w:next w:val="CommentText"/>
    <w:link w:val="CommentSubjectChar"/>
    <w:rsid w:val="00E500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500DA"/>
    <w:rPr>
      <w:rFonts w:ascii="Calibri" w:eastAsia="Calibri" w:hAnsi="Calibri"/>
      <w:b/>
      <w:bCs/>
    </w:rPr>
  </w:style>
  <w:style w:type="paragraph" w:customStyle="1" w:styleId="Contents">
    <w:name w:val="Contents"/>
    <w:qFormat/>
    <w:rsid w:val="00E500DA"/>
    <w:pPr>
      <w:keepNext/>
      <w:jc w:val="center"/>
    </w:pPr>
    <w:rPr>
      <w:rFonts w:ascii="Arial" w:eastAsia="Calibri" w:hAnsi="Arial" w:cs="Arial"/>
      <w:b/>
      <w:sz w:val="36"/>
      <w:szCs w:val="32"/>
    </w:rPr>
  </w:style>
  <w:style w:type="paragraph" w:customStyle="1" w:styleId="ContentsSubhead">
    <w:name w:val="ContentsSubhead"/>
    <w:qFormat/>
    <w:rsid w:val="00E500DA"/>
    <w:pPr>
      <w:keepNext/>
      <w:spacing w:before="240"/>
    </w:pPr>
    <w:rPr>
      <w:rFonts w:ascii="Times New Roman" w:eastAsia="Times New Roman" w:hAnsi="Times New Roman"/>
      <w:b/>
      <w:bCs/>
      <w:sz w:val="24"/>
      <w:szCs w:val="28"/>
    </w:rPr>
  </w:style>
  <w:style w:type="paragraph" w:customStyle="1" w:styleId="ContractNumber">
    <w:name w:val="ContractNumber"/>
    <w:next w:val="Normal"/>
    <w:qFormat/>
    <w:rsid w:val="00E500DA"/>
    <w:rPr>
      <w:rFonts w:ascii="Times New Roman" w:eastAsia="Times New Roman" w:hAnsi="Times New Roman"/>
      <w:b/>
      <w:bCs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500DA"/>
    <w:pPr>
      <w:tabs>
        <w:tab w:val="center" w:pos="4680"/>
        <w:tab w:val="right" w:pos="9360"/>
      </w:tabs>
      <w:spacing w:before="240" w:after="60"/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500DA"/>
    <w:rPr>
      <w:rFonts w:ascii="Calibri" w:eastAsia="Calibri" w:hAnsi="Calibri"/>
      <w:sz w:val="22"/>
      <w:szCs w:val="22"/>
    </w:rPr>
  </w:style>
  <w:style w:type="paragraph" w:customStyle="1" w:styleId="FrontMatterHead">
    <w:name w:val="FrontMatterHead"/>
    <w:qFormat/>
    <w:rsid w:val="00E500DA"/>
    <w:pPr>
      <w:keepNext/>
      <w:spacing w:before="240" w:after="60"/>
    </w:pPr>
    <w:rPr>
      <w:rFonts w:ascii="Arial" w:eastAsia="Calibri" w:hAnsi="Arial" w:cs="Arial"/>
      <w:b/>
      <w:sz w:val="32"/>
      <w:szCs w:val="32"/>
    </w:rPr>
  </w:style>
  <w:style w:type="paragraph" w:styleId="Header">
    <w:name w:val="header"/>
    <w:basedOn w:val="Normal"/>
    <w:link w:val="HeaderChar"/>
    <w:unhideWhenUsed/>
    <w:rsid w:val="00E500DA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E500DA"/>
    <w:rPr>
      <w:rFonts w:ascii="Calibri" w:eastAsia="Calibri" w:hAnsi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E500DA"/>
    <w:rPr>
      <w:color w:val="0000FF"/>
      <w:u w:val="single"/>
    </w:rPr>
  </w:style>
  <w:style w:type="paragraph" w:customStyle="1" w:styleId="Investigators">
    <w:name w:val="Investigators"/>
    <w:qFormat/>
    <w:rsid w:val="00E500DA"/>
    <w:rPr>
      <w:rFonts w:ascii="Times New Roman" w:eastAsia="Times New Roman" w:hAnsi="Times New Roman"/>
      <w:bCs/>
      <w:sz w:val="24"/>
      <w:szCs w:val="24"/>
    </w:rPr>
  </w:style>
  <w:style w:type="paragraph" w:customStyle="1" w:styleId="KeyQuestion">
    <w:name w:val="KeyQuestion"/>
    <w:rsid w:val="00E500DA"/>
    <w:pPr>
      <w:keepNext/>
      <w:spacing w:before="120" w:after="120"/>
    </w:pPr>
    <w:rPr>
      <w:rFonts w:ascii="Arial" w:eastAsia="Times New Roman" w:hAnsi="Arial" w:cs="Arial"/>
      <w:iCs/>
      <w:kern w:val="32"/>
      <w:sz w:val="28"/>
      <w:szCs w:val="28"/>
    </w:rPr>
  </w:style>
  <w:style w:type="paragraph" w:customStyle="1" w:styleId="Level1Heading">
    <w:name w:val="Level1Heading"/>
    <w:qFormat/>
    <w:rsid w:val="00E500DA"/>
    <w:pPr>
      <w:keepNext/>
      <w:spacing w:before="240" w:after="60"/>
    </w:pPr>
    <w:rPr>
      <w:rFonts w:ascii="Arial" w:eastAsia="Times New Roman" w:hAnsi="Arial"/>
      <w:b/>
      <w:bCs/>
      <w:sz w:val="32"/>
      <w:szCs w:val="24"/>
    </w:rPr>
  </w:style>
  <w:style w:type="paragraph" w:customStyle="1" w:styleId="Level2Heading">
    <w:name w:val="Level2Heading"/>
    <w:qFormat/>
    <w:rsid w:val="00E500DA"/>
    <w:pPr>
      <w:keepNext/>
      <w:spacing w:before="240" w:after="60"/>
    </w:pPr>
    <w:rPr>
      <w:rFonts w:ascii="Times New Roman" w:eastAsia="Times New Roman" w:hAnsi="Times New Roman"/>
      <w:b/>
      <w:bCs/>
      <w:sz w:val="32"/>
      <w:szCs w:val="24"/>
    </w:rPr>
  </w:style>
  <w:style w:type="paragraph" w:customStyle="1" w:styleId="Level3Heading">
    <w:name w:val="Level3Heading"/>
    <w:qFormat/>
    <w:rsid w:val="00E500DA"/>
    <w:pPr>
      <w:keepNext/>
      <w:spacing w:before="240"/>
    </w:pPr>
    <w:rPr>
      <w:rFonts w:ascii="Arial" w:eastAsia="Times New Roman" w:hAnsi="Arial"/>
      <w:b/>
      <w:bCs/>
      <w:sz w:val="28"/>
      <w:szCs w:val="24"/>
    </w:rPr>
  </w:style>
  <w:style w:type="paragraph" w:customStyle="1" w:styleId="Level4Heading">
    <w:name w:val="Level4Heading"/>
    <w:qFormat/>
    <w:rsid w:val="00E500DA"/>
    <w:pPr>
      <w:keepNext/>
      <w:spacing w:before="240"/>
    </w:pPr>
    <w:rPr>
      <w:rFonts w:ascii="Times New Roman" w:eastAsia="Times New Roman" w:hAnsi="Times New Roman"/>
      <w:b/>
      <w:bCs/>
      <w:sz w:val="28"/>
      <w:szCs w:val="24"/>
    </w:rPr>
  </w:style>
  <w:style w:type="paragraph" w:customStyle="1" w:styleId="Level5Heading">
    <w:name w:val="Level5Heading"/>
    <w:qFormat/>
    <w:rsid w:val="00E500DA"/>
    <w:pPr>
      <w:keepNext/>
      <w:spacing w:before="240"/>
    </w:pPr>
    <w:rPr>
      <w:rFonts w:ascii="Arial" w:eastAsia="Times New Roman" w:hAnsi="Arial"/>
      <w:b/>
      <w:bCs/>
      <w:sz w:val="24"/>
      <w:szCs w:val="24"/>
    </w:rPr>
  </w:style>
  <w:style w:type="paragraph" w:customStyle="1" w:styleId="Level6Heading">
    <w:name w:val="Level6Heading"/>
    <w:qFormat/>
    <w:rsid w:val="00E500DA"/>
    <w:pPr>
      <w:keepNext/>
      <w:spacing w:before="24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Level7Heading">
    <w:name w:val="Level7Heading"/>
    <w:qFormat/>
    <w:rsid w:val="00E500DA"/>
    <w:pPr>
      <w:keepNext/>
    </w:pPr>
    <w:rPr>
      <w:rFonts w:ascii="Times New Roman" w:eastAsia="Calibri" w:hAnsi="Times New Roman"/>
      <w:b/>
      <w:color w:val="000000"/>
      <w:sz w:val="24"/>
      <w:szCs w:val="24"/>
    </w:rPr>
  </w:style>
  <w:style w:type="paragraph" w:customStyle="1" w:styleId="Level8Heading">
    <w:name w:val="Level8Heading"/>
    <w:qFormat/>
    <w:rsid w:val="00E500DA"/>
    <w:pPr>
      <w:keepNext/>
    </w:pPr>
    <w:rPr>
      <w:rFonts w:ascii="Times New Roman" w:eastAsia="Times New Roman" w:hAnsi="Times New Roman"/>
      <w:bCs/>
      <w:i/>
      <w:sz w:val="24"/>
      <w:szCs w:val="24"/>
    </w:rPr>
  </w:style>
  <w:style w:type="paragraph" w:styleId="NormalWeb">
    <w:name w:val="Normal (Web)"/>
    <w:basedOn w:val="Normal"/>
    <w:uiPriority w:val="99"/>
    <w:rsid w:val="00E500DA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NumberLine">
    <w:name w:val="NumberLine"/>
    <w:qFormat/>
    <w:rsid w:val="00E500DA"/>
    <w:rPr>
      <w:rFonts w:ascii="Arial" w:eastAsia="Times New Roman" w:hAnsi="Arial"/>
      <w:b/>
      <w:bCs/>
      <w:sz w:val="28"/>
      <w:szCs w:val="28"/>
    </w:rPr>
  </w:style>
  <w:style w:type="paragraph" w:customStyle="1" w:styleId="NumberLineCover">
    <w:name w:val="NumberLineCover"/>
    <w:qFormat/>
    <w:rsid w:val="00E500DA"/>
    <w:rPr>
      <w:rFonts w:ascii="Times New Roman" w:eastAsia="Times New Roman" w:hAnsi="Times New Roman"/>
      <w:bCs/>
      <w:sz w:val="28"/>
      <w:szCs w:val="28"/>
    </w:rPr>
  </w:style>
  <w:style w:type="paragraph" w:customStyle="1" w:styleId="PageNumber">
    <w:name w:val="PageNumber"/>
    <w:qFormat/>
    <w:rsid w:val="00E500DA"/>
    <w:pPr>
      <w:jc w:val="center"/>
    </w:pPr>
    <w:rPr>
      <w:rFonts w:ascii="Times New Roman" w:eastAsia="Calibri" w:hAnsi="Times New Roman"/>
      <w:sz w:val="24"/>
      <w:szCs w:val="24"/>
    </w:rPr>
  </w:style>
  <w:style w:type="paragraph" w:customStyle="1" w:styleId="ParagraphIndent">
    <w:name w:val="ParagraphIndent"/>
    <w:qFormat/>
    <w:rsid w:val="00E500DA"/>
    <w:pPr>
      <w:ind w:firstLine="360"/>
    </w:pPr>
    <w:rPr>
      <w:rFonts w:ascii="Times New Roman" w:eastAsia="Calibri" w:hAnsi="Times New Roman"/>
      <w:color w:val="000000"/>
      <w:sz w:val="24"/>
      <w:szCs w:val="24"/>
    </w:rPr>
  </w:style>
  <w:style w:type="paragraph" w:customStyle="1" w:styleId="ParagraphNoIndent">
    <w:name w:val="ParagraphNoIndent"/>
    <w:qFormat/>
    <w:rsid w:val="00E500DA"/>
    <w:rPr>
      <w:rFonts w:ascii="Times New Roman" w:eastAsia="Times New Roman" w:hAnsi="Times New Roman"/>
      <w:bCs/>
      <w:sz w:val="24"/>
      <w:szCs w:val="24"/>
    </w:rPr>
  </w:style>
  <w:style w:type="paragraph" w:customStyle="1" w:styleId="ParagraphNoIndentBold">
    <w:name w:val="ParagraphNoIndentBold"/>
    <w:qFormat/>
    <w:rsid w:val="00E500DA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PreparedByText">
    <w:name w:val="PreparedByText"/>
    <w:qFormat/>
    <w:rsid w:val="00E500DA"/>
    <w:rPr>
      <w:rFonts w:ascii="Times New Roman" w:eastAsia="Times New Roman" w:hAnsi="Times New Roman"/>
      <w:bCs/>
      <w:sz w:val="24"/>
      <w:szCs w:val="24"/>
    </w:rPr>
  </w:style>
  <w:style w:type="paragraph" w:customStyle="1" w:styleId="PreparedForText">
    <w:name w:val="PreparedForText"/>
    <w:qFormat/>
    <w:rsid w:val="00E500DA"/>
    <w:rPr>
      <w:rFonts w:ascii="Times New Roman" w:eastAsia="Times New Roman" w:hAnsi="Times New Roman"/>
      <w:bCs/>
      <w:sz w:val="24"/>
      <w:szCs w:val="24"/>
    </w:rPr>
  </w:style>
  <w:style w:type="paragraph" w:customStyle="1" w:styleId="PublicationNumberDate">
    <w:name w:val="PublicationNumberDate"/>
    <w:qFormat/>
    <w:rsid w:val="00E500DA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Reference">
    <w:name w:val="Reference"/>
    <w:qFormat/>
    <w:rsid w:val="00E500DA"/>
    <w:pPr>
      <w:keepLines/>
      <w:spacing w:before="120" w:after="120"/>
      <w:ind w:left="720" w:hanging="720"/>
    </w:pPr>
    <w:rPr>
      <w:rFonts w:ascii="Times New Roman" w:eastAsia="Times New Roman" w:hAnsi="Times New Roman"/>
      <w:bCs/>
      <w:szCs w:val="24"/>
    </w:rPr>
  </w:style>
  <w:style w:type="paragraph" w:customStyle="1" w:styleId="ReportSubtitle">
    <w:name w:val="ReportSubtitle"/>
    <w:qFormat/>
    <w:rsid w:val="00E500DA"/>
    <w:rPr>
      <w:rFonts w:ascii="Arial" w:eastAsia="Times New Roman" w:hAnsi="Arial"/>
      <w:b/>
      <w:bCs/>
      <w:sz w:val="24"/>
      <w:szCs w:val="24"/>
    </w:rPr>
  </w:style>
  <w:style w:type="paragraph" w:customStyle="1" w:styleId="ReportTitle">
    <w:name w:val="ReportTitle"/>
    <w:uiPriority w:val="99"/>
    <w:qFormat/>
    <w:rsid w:val="00E500DA"/>
    <w:rPr>
      <w:rFonts w:ascii="Arial" w:eastAsia="Times New Roman" w:hAnsi="Arial"/>
      <w:b/>
      <w:bCs/>
      <w:sz w:val="36"/>
      <w:szCs w:val="36"/>
    </w:rPr>
  </w:style>
  <w:style w:type="paragraph" w:customStyle="1" w:styleId="ReportType">
    <w:name w:val="ReportType"/>
    <w:qFormat/>
    <w:rsid w:val="00E500DA"/>
    <w:rPr>
      <w:rFonts w:ascii="Times New Roman" w:eastAsia="Times New Roman" w:hAnsi="Times New Roman"/>
      <w:b/>
      <w:bCs/>
      <w:i/>
      <w:sz w:val="36"/>
      <w:szCs w:val="36"/>
    </w:rPr>
  </w:style>
  <w:style w:type="paragraph" w:customStyle="1" w:styleId="ReportTypeCover">
    <w:name w:val="ReportTypeCover"/>
    <w:qFormat/>
    <w:rsid w:val="00E500DA"/>
    <w:pPr>
      <w:pBdr>
        <w:bottom w:val="single" w:sz="12" w:space="1" w:color="auto"/>
      </w:pBdr>
    </w:pPr>
    <w:rPr>
      <w:rFonts w:ascii="Times New Roman" w:eastAsia="Times New Roman" w:hAnsi="Times New Roman"/>
      <w:bCs/>
      <w:i/>
      <w:sz w:val="36"/>
      <w:szCs w:val="36"/>
    </w:rPr>
  </w:style>
  <w:style w:type="paragraph" w:customStyle="1" w:styleId="Studies1">
    <w:name w:val="Studies1"/>
    <w:qFormat/>
    <w:rsid w:val="00E500DA"/>
    <w:pPr>
      <w:keepLines/>
      <w:spacing w:before="120" w:after="120"/>
    </w:pPr>
    <w:rPr>
      <w:rFonts w:ascii="Times New Roman" w:eastAsia="Calibri" w:hAnsi="Times New Roman" w:cs="Arial"/>
      <w:color w:val="000000"/>
      <w:sz w:val="24"/>
      <w:szCs w:val="32"/>
    </w:rPr>
  </w:style>
  <w:style w:type="paragraph" w:customStyle="1" w:styleId="Studies2">
    <w:name w:val="Studies2"/>
    <w:qFormat/>
    <w:rsid w:val="00E500DA"/>
    <w:pPr>
      <w:keepLines/>
      <w:numPr>
        <w:numId w:val="18"/>
      </w:numPr>
      <w:spacing w:before="120" w:after="120"/>
    </w:pPr>
    <w:rPr>
      <w:rFonts w:ascii="Times New Roman" w:hAnsi="Times New Roman"/>
      <w:color w:val="000000"/>
      <w:sz w:val="24"/>
      <w:szCs w:val="24"/>
    </w:rPr>
  </w:style>
  <w:style w:type="paragraph" w:customStyle="1" w:styleId="SuggestedCitation">
    <w:name w:val="SuggestedCitation"/>
    <w:qFormat/>
    <w:rsid w:val="00E500DA"/>
    <w:rPr>
      <w:rFonts w:ascii="Times New Roman" w:eastAsia="Times New Roman" w:hAnsi="Times New Roman"/>
      <w:bCs/>
      <w:sz w:val="24"/>
      <w:szCs w:val="24"/>
    </w:rPr>
  </w:style>
  <w:style w:type="paragraph" w:customStyle="1" w:styleId="TableBoldText">
    <w:name w:val="TableBoldText"/>
    <w:qFormat/>
    <w:rsid w:val="00E500DA"/>
    <w:rPr>
      <w:rFonts w:ascii="Arial" w:eastAsia="Calibri" w:hAnsi="Arial" w:cs="Arial"/>
      <w:b/>
      <w:sz w:val="18"/>
      <w:szCs w:val="18"/>
    </w:rPr>
  </w:style>
  <w:style w:type="paragraph" w:customStyle="1" w:styleId="TableCenteredText">
    <w:name w:val="TableCenteredText"/>
    <w:qFormat/>
    <w:rsid w:val="00E500DA"/>
    <w:pPr>
      <w:jc w:val="center"/>
    </w:pPr>
    <w:rPr>
      <w:rFonts w:ascii="Arial" w:eastAsia="Calibri" w:hAnsi="Arial" w:cs="Arial"/>
      <w:sz w:val="18"/>
      <w:szCs w:val="18"/>
    </w:rPr>
  </w:style>
  <w:style w:type="paragraph" w:customStyle="1" w:styleId="TableColumnHead">
    <w:name w:val="TableColumnHead"/>
    <w:qFormat/>
    <w:rsid w:val="00E500DA"/>
    <w:pPr>
      <w:jc w:val="center"/>
    </w:pPr>
    <w:rPr>
      <w:rFonts w:ascii="Arial" w:eastAsia="Calibri" w:hAnsi="Arial" w:cs="Arial"/>
      <w:b/>
      <w:bCs/>
      <w:sz w:val="18"/>
      <w:szCs w:val="18"/>
    </w:rPr>
  </w:style>
  <w:style w:type="paragraph" w:customStyle="1" w:styleId="TableLeftText">
    <w:name w:val="TableLeftText"/>
    <w:qFormat/>
    <w:rsid w:val="00E500DA"/>
    <w:rPr>
      <w:rFonts w:ascii="Arial" w:eastAsia="Calibri" w:hAnsi="Arial" w:cs="Arial"/>
      <w:sz w:val="18"/>
      <w:szCs w:val="18"/>
    </w:rPr>
  </w:style>
  <w:style w:type="paragraph" w:customStyle="1" w:styleId="TableNote">
    <w:name w:val="TableNote"/>
    <w:qFormat/>
    <w:rsid w:val="00E500DA"/>
    <w:pPr>
      <w:spacing w:after="240"/>
    </w:pPr>
    <w:rPr>
      <w:rFonts w:ascii="Times New Roman" w:eastAsia="Times New Roman" w:hAnsi="Times New Roman"/>
      <w:bCs/>
      <w:sz w:val="18"/>
      <w:szCs w:val="24"/>
    </w:rPr>
  </w:style>
  <w:style w:type="paragraph" w:customStyle="1" w:styleId="TableSubhead">
    <w:name w:val="TableSubhead"/>
    <w:qFormat/>
    <w:rsid w:val="00E500DA"/>
    <w:rPr>
      <w:rFonts w:ascii="Arial" w:eastAsia="Calibri" w:hAnsi="Arial" w:cs="Arial"/>
      <w:b/>
      <w:i/>
      <w:sz w:val="18"/>
      <w:szCs w:val="18"/>
    </w:rPr>
  </w:style>
  <w:style w:type="paragraph" w:customStyle="1" w:styleId="TableText">
    <w:name w:val="TableText"/>
    <w:qFormat/>
    <w:rsid w:val="00E500DA"/>
    <w:rPr>
      <w:rFonts w:ascii="Arial" w:eastAsia="Calibri" w:hAnsi="Arial" w:cs="Arial"/>
      <w:sz w:val="18"/>
      <w:szCs w:val="18"/>
    </w:rPr>
  </w:style>
  <w:style w:type="paragraph" w:customStyle="1" w:styleId="TableTitle">
    <w:name w:val="TableTitle"/>
    <w:qFormat/>
    <w:rsid w:val="00E500DA"/>
    <w:pPr>
      <w:keepNext/>
      <w:spacing w:before="240"/>
    </w:pPr>
    <w:rPr>
      <w:rFonts w:ascii="Arial" w:eastAsia="Calibri" w:hAnsi="Arial"/>
      <w:b/>
      <w:color w:val="000000"/>
      <w:szCs w:val="24"/>
    </w:rPr>
  </w:style>
  <w:style w:type="paragraph" w:styleId="TOC1">
    <w:name w:val="toc 1"/>
    <w:basedOn w:val="Normal"/>
    <w:next w:val="Normal"/>
    <w:autoRedefine/>
    <w:rsid w:val="00E500DA"/>
    <w:rPr>
      <w:rFonts w:ascii="Times New Roman" w:hAnsi="Times New Roman"/>
      <w:szCs w:val="24"/>
      <w:lang w:val="en-CA"/>
    </w:rPr>
  </w:style>
  <w:style w:type="paragraph" w:styleId="TOC2">
    <w:name w:val="toc 2"/>
    <w:basedOn w:val="Normal"/>
    <w:next w:val="Normal"/>
    <w:autoRedefine/>
    <w:rsid w:val="00E500DA"/>
    <w:pPr>
      <w:ind w:left="240"/>
    </w:pPr>
    <w:rPr>
      <w:rFonts w:ascii="Times New Roman" w:hAnsi="Times New Roman"/>
      <w:szCs w:val="24"/>
      <w:lang w:val="en-CA"/>
    </w:rPr>
  </w:style>
  <w:style w:type="paragraph" w:styleId="Revision">
    <w:name w:val="Revision"/>
    <w:hidden/>
    <w:uiPriority w:val="99"/>
    <w:semiHidden/>
    <w:rsid w:val="008F38FA"/>
    <w:rPr>
      <w:sz w:val="24"/>
    </w:rPr>
  </w:style>
  <w:style w:type="paragraph" w:styleId="FootnoteText">
    <w:name w:val="footnote text"/>
    <w:basedOn w:val="Normal"/>
    <w:link w:val="FootnoteTextChar"/>
    <w:rsid w:val="00344A94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344A94"/>
    <w:rPr>
      <w:rFonts w:eastAsia="Times New Roman"/>
    </w:rPr>
  </w:style>
  <w:style w:type="character" w:styleId="FootnoteReference">
    <w:name w:val="footnote reference"/>
    <w:basedOn w:val="DefaultParagraphFont"/>
    <w:rsid w:val="00344A94"/>
    <w:rPr>
      <w:vertAlign w:val="superscript"/>
    </w:rPr>
  </w:style>
  <w:style w:type="paragraph" w:customStyle="1" w:styleId="AppendixTextStartsHere">
    <w:name w:val="Appendix Text Starts Here"/>
    <w:basedOn w:val="Normal"/>
    <w:rsid w:val="00EC46E7"/>
    <w:rPr>
      <w:rFonts w:ascii="Arial" w:eastAsia="Times" w:hAnsi="Arial"/>
      <w:b/>
      <w:sz w:val="32"/>
    </w:rPr>
  </w:style>
  <w:style w:type="paragraph" w:styleId="NoSpacing">
    <w:name w:val="No Spacing"/>
    <w:qFormat/>
    <w:rsid w:val="00EC46E7"/>
    <w:rPr>
      <w:rFonts w:ascii="Calibri" w:eastAsia="Calibri" w:hAnsi="Calibri"/>
      <w:sz w:val="22"/>
      <w:szCs w:val="22"/>
    </w:rPr>
  </w:style>
  <w:style w:type="paragraph" w:styleId="BodyText">
    <w:name w:val="Body Text"/>
    <w:aliases w:val="1st line flush left"/>
    <w:basedOn w:val="Normal"/>
    <w:link w:val="BodyTextChar"/>
    <w:rsid w:val="00241625"/>
    <w:pPr>
      <w:spacing w:after="120"/>
    </w:pPr>
  </w:style>
  <w:style w:type="character" w:customStyle="1" w:styleId="BodyTextChar">
    <w:name w:val="Body Text Char"/>
    <w:aliases w:val="1st line flush left Char"/>
    <w:basedOn w:val="DefaultParagraphFont"/>
    <w:link w:val="BodyText"/>
    <w:rsid w:val="00241625"/>
    <w:rPr>
      <w:rFonts w:eastAsia="Times New Roman"/>
      <w:sz w:val="24"/>
    </w:rPr>
  </w:style>
  <w:style w:type="paragraph" w:styleId="BodyTextFirstIndent">
    <w:name w:val="Body Text First Indent"/>
    <w:basedOn w:val="BodyText"/>
    <w:link w:val="BodyTextFirstIndentChar"/>
    <w:rsid w:val="00241625"/>
    <w:pPr>
      <w:spacing w:before="120"/>
      <w:ind w:firstLine="360"/>
      <w:contextualSpacing/>
    </w:pPr>
    <w:rPr>
      <w:rFonts w:eastAsia="Times"/>
    </w:rPr>
  </w:style>
  <w:style w:type="character" w:customStyle="1" w:styleId="BodyTextFirstIndentChar">
    <w:name w:val="Body Text First Indent Char"/>
    <w:basedOn w:val="BodyTextChar"/>
    <w:link w:val="BodyTextFirstIndent"/>
    <w:rsid w:val="00241625"/>
    <w:rPr>
      <w:rFonts w:eastAsia="Times New Roman"/>
      <w:sz w:val="24"/>
    </w:rPr>
  </w:style>
  <w:style w:type="paragraph" w:customStyle="1" w:styleId="TableHeading">
    <w:name w:val="Table Heading"/>
    <w:basedOn w:val="Normal"/>
    <w:link w:val="TableHeadingCharChar"/>
    <w:rsid w:val="00241625"/>
    <w:pPr>
      <w:spacing w:after="120"/>
    </w:pPr>
    <w:rPr>
      <w:rFonts w:ascii="Arial" w:eastAsia="Times" w:hAnsi="Arial"/>
      <w:b/>
      <w:sz w:val="18"/>
      <w:szCs w:val="36"/>
    </w:rPr>
  </w:style>
  <w:style w:type="character" w:customStyle="1" w:styleId="TableHeadingCharChar">
    <w:name w:val="Table Heading Char Char"/>
    <w:link w:val="TableHeading"/>
    <w:rsid w:val="00241625"/>
    <w:rPr>
      <w:rFonts w:ascii="Arial" w:hAnsi="Arial" w:cs="Arial"/>
      <w:b/>
      <w:sz w:val="18"/>
      <w:szCs w:val="36"/>
    </w:rPr>
  </w:style>
  <w:style w:type="paragraph" w:customStyle="1" w:styleId="Header1">
    <w:name w:val="Header 1"/>
    <w:basedOn w:val="ExecSummaryHeader"/>
    <w:link w:val="Header1Char"/>
    <w:rsid w:val="00241625"/>
    <w:pPr>
      <w:spacing w:before="240" w:after="240"/>
    </w:pPr>
  </w:style>
  <w:style w:type="paragraph" w:customStyle="1" w:styleId="ExecSummaryHeader">
    <w:name w:val="Exec Summary Header"/>
    <w:basedOn w:val="Normal"/>
    <w:link w:val="ExecSummaryHeaderCharChar"/>
    <w:rsid w:val="00241625"/>
    <w:pPr>
      <w:autoSpaceDE w:val="0"/>
      <w:autoSpaceDN w:val="0"/>
      <w:adjustRightInd w:val="0"/>
      <w:jc w:val="center"/>
    </w:pPr>
    <w:rPr>
      <w:rFonts w:ascii="Arial" w:hAnsi="Arial"/>
      <w:b/>
      <w:bCs/>
      <w:i/>
      <w:color w:val="000000"/>
      <w:sz w:val="36"/>
      <w:szCs w:val="36"/>
    </w:rPr>
  </w:style>
  <w:style w:type="character" w:customStyle="1" w:styleId="ExecSummaryHeaderCharChar">
    <w:name w:val="Exec Summary Header Char Char"/>
    <w:link w:val="ExecSummaryHeader"/>
    <w:rsid w:val="00241625"/>
    <w:rPr>
      <w:rFonts w:ascii="Arial" w:eastAsia="Times New Roman" w:hAnsi="Arial" w:cs="Arial"/>
      <w:b/>
      <w:bCs/>
      <w:i/>
      <w:color w:val="000000"/>
      <w:sz w:val="36"/>
      <w:szCs w:val="36"/>
    </w:rPr>
  </w:style>
  <w:style w:type="character" w:customStyle="1" w:styleId="Header1Char">
    <w:name w:val="Header 1 Char"/>
    <w:basedOn w:val="ExecSummaryHeaderCharChar"/>
    <w:link w:val="Header1"/>
    <w:rsid w:val="00241625"/>
    <w:rPr>
      <w:rFonts w:ascii="Arial" w:eastAsia="Times New Roman" w:hAnsi="Arial" w:cs="Arial"/>
      <w:b/>
      <w:bCs/>
      <w:i/>
      <w:color w:val="000000"/>
      <w:sz w:val="36"/>
      <w:szCs w:val="36"/>
    </w:rPr>
  </w:style>
  <w:style w:type="paragraph" w:customStyle="1" w:styleId="BulletedList">
    <w:name w:val="Bulleted List"/>
    <w:basedOn w:val="BodyTextFirstIndent"/>
    <w:rsid w:val="00241625"/>
    <w:pPr>
      <w:tabs>
        <w:tab w:val="num" w:pos="1440"/>
      </w:tabs>
      <w:ind w:left="1440" w:hanging="360"/>
    </w:pPr>
  </w:style>
  <w:style w:type="paragraph" w:customStyle="1" w:styleId="CERexecsumbullet2">
    <w:name w:val="CER exec sum bullet 2"/>
    <w:basedOn w:val="Normal"/>
    <w:rsid w:val="00241625"/>
    <w:pPr>
      <w:tabs>
        <w:tab w:val="num" w:pos="720"/>
      </w:tabs>
      <w:spacing w:before="60"/>
      <w:ind w:left="720" w:hanging="360"/>
    </w:pPr>
    <w:rPr>
      <w:rFonts w:ascii="Arial" w:hAnsi="Arial" w:cs="Arial"/>
      <w:color w:val="000000"/>
      <w:sz w:val="20"/>
    </w:rPr>
  </w:style>
  <w:style w:type="character" w:customStyle="1" w:styleId="TableText0">
    <w:name w:val="Table Text"/>
    <w:rsid w:val="001A2BD6"/>
    <w:rPr>
      <w:rFonts w:ascii="Arial" w:hAnsi="Arial" w:cs="Arial"/>
      <w:sz w:val="20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6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6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26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036350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839703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14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74646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01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261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2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4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2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771970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761738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100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94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787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9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1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44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438345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00569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016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76810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616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802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0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15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5962C-B783-4CEA-BDF2-77676D3E1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45</Pages>
  <Words>41300</Words>
  <Characters>235415</Characters>
  <Application>Microsoft Office Word</Application>
  <DocSecurity>0</DocSecurity>
  <Lines>1961</Lines>
  <Paragraphs>552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Draft Reports</vt:lpstr>
    </vt:vector>
  </TitlesOfParts>
  <Company>RAND Corporation</Company>
  <LinksUpToDate>false</LinksUpToDate>
  <CharactersWithSpaces>276163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Draft Reports</dc:title>
  <dc:subject/>
  <dc:creator>IST</dc:creator>
  <cp:keywords/>
  <cp:lastModifiedBy>Sarita Paradkar</cp:lastModifiedBy>
  <cp:revision>8</cp:revision>
  <cp:lastPrinted>2012-03-12T18:01:00Z</cp:lastPrinted>
  <dcterms:created xsi:type="dcterms:W3CDTF">2012-03-12T18:33:00Z</dcterms:created>
  <dcterms:modified xsi:type="dcterms:W3CDTF">2012-04-12T09:55:00Z</dcterms:modified>
</cp:coreProperties>
</file>