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6413"/>
        <w:gridCol w:w="6500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Citation &amp; Study info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Eligibility, Interventions, Outcomes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Results - Number of people with fracture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Cummings et al., 1998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ExcludeYear="1"&gt;&lt;RecNum&gt;1116&lt;/RecNum&gt;&lt;DisplayText&gt;&lt;style face="superscript"&gt;44&lt;/style&gt;&lt;/DisplayText&gt;&lt;record&gt;&lt;rec-number&gt;1116&lt;/rec-number&gt;&lt;foreign-keys&gt;&lt;key app="EN" db-id="wsrs5w0xuesfv3ezfa7pwf9dap92swfzares"&gt;1116&lt;/key&gt;&lt;/foreign-keys&gt;&lt;ref-type name="Journal Article"&gt;17&lt;/ref-type&gt;&lt;contributors&gt;&lt;authors&gt;&lt;author&gt;Cummings, S. R. Black, D. M. Thompson, D. E. Applegate, W. B. Barrett-Connor, E. Musliner, T. A. Palermo, L. Prineas, R. Rubin, S. M. Scott, J. C. Vogt, T. Wallace, R. Yates, A. J. LaCroix, A. Z.&lt;/author&gt;&lt;/authors&gt;&lt;/contributors&gt;&lt;titles&gt;&lt;title&gt;Effect of alendronate on risk of fracture in women with low bone density but without vertebral fractures: results from the Fracture Intervention Trial&lt;/title&gt;&lt;secondary-title&gt;JAMA&lt;/secondary-title&gt;&lt;/titles&gt;&lt;pages&gt;2077-82&lt;/pages&gt;&lt;volume&gt;280&lt;/volume&gt;&lt;number&gt;24&lt;/number&gt;&lt;keywords&gt;&lt;keyword&gt;Aged Aged, 80 and over Alendronate: *therapeutic use *Bone Density Calcium: administration &amp;amp; dosage Cholecalciferol: administration &amp;amp; dosage Densitometry, X-Ray Dietary Supplements Female Femur Neck: pathology: radiography Fractures: *prevention &amp;amp; contr&lt;/keyword&gt;&lt;/keywords&gt;&lt;dates&gt;&lt;year&gt;1998&lt;/year&gt;&lt;/dates&gt;&lt;isbn&gt;0098-7484&lt;/isbn&gt;&lt;urls&gt;&lt;related-urls&gt;&lt;url&gt;9875874&lt;/url&gt;&lt;/related-urls&gt;&lt;/urls&gt;&lt;/record&gt;&lt;/Cite&gt;&lt;/EndNote&gt;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Alendronate (Fosamax)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Location: US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FIT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Setting: Multicenter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Jadad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: 5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Age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Mean/Range: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100% Female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Race: Not reported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Screened: 26,137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Eligible: 10,668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Enrolled: 4,432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Withdrawn: 298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Lost to follow-up: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Analyzed: 4,432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Method of AE Assessment: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Monitored, Elicited by investigator</w:t>
            </w:r>
          </w:p>
        </w:tc>
        <w:tc>
          <w:tcPr>
            <w:tcW w:w="64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Post-menopausal women &gt;2 years, Age under 80 years, Age over 54 years, Osteopenia NOS, Femoral neck BMD lesser than 0.68 g/cm2. No vertebral fracture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Exclusion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Cardiovascular disease, Hepatic insufficiency, Renal insufficiency,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Malabsorption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syndrome, Upper GI, Bisphosphonates, Calcitonin, Fluoride, Estrogen agonists including estrogen,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Dysepsia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requiring daily treatment; Hypertension; Medical problem for 3 years that prevent from participating in study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Interventions: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Placebo Daily for 2 Year(s)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vs.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5mg of Alendronate Daily for 1 Year(s) followed by 10mg of Alendronate Daily for 1 Year(s)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All received: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Calcium, Vitamin 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Run-in/wash-out unclear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Fracture outcomes assessed at baseline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Outcomes: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mineral density by DXA - Hip, Bone mineral density by DXA - Spine, Vertebral fracture, Non-vertebral fracture, Radiographic vertebral fractures, Symptomatic vertebral fractures</w:t>
            </w:r>
          </w:p>
        </w:tc>
        <w:tc>
          <w:tcPr>
            <w:tcW w:w="6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Any clinical fracture at 48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Alendronate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12.3%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14.1%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0.85 (95% CI 0.72, 1.02)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Any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nonvertebral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fracture at 48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Alendronate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11.8%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13.3%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0.87 (95% CI 0.73, 1.04)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Hip fracture at 48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Alendronate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0.9%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1.1%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0.82 (95% CI 0.45, 1.49)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Other clinical fracture at 48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Alendronate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8.2%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10.2%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0.79 (95% CI 0.64, 0.96)    NNT=49.9 (95% CI 27.0-327.0)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Vertebral fracture, </w:t>
            </w:r>
            <w:r>
              <w:rPr>
                <w:color w:val="000000"/>
                <w:sz w:val="18"/>
                <w:szCs w:val="18"/>
              </w:rPr>
              <w:t>≥1 at 48 MOS:</w:t>
            </w:r>
            <w:r>
              <w:rPr>
                <w:color w:val="000000"/>
                <w:sz w:val="18"/>
                <w:szCs w:val="18"/>
              </w:rPr>
              <w:br/>
              <w:t xml:space="preserve">Alendronate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Placebo:  2.1%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3.8%</w:t>
            </w:r>
            <w:r>
              <w:rPr>
                <w:color w:val="000000"/>
                <w:sz w:val="18"/>
                <w:szCs w:val="18"/>
              </w:rPr>
              <w:br/>
              <w:t>OR = 0.55 (95% CI 0.38, 0.79)    NNT=58.8 (95% CI 36.6-150.3)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Vertebral fracture, ≥2 at 48 MOS:</w:t>
            </w:r>
            <w:r>
              <w:rPr>
                <w:color w:val="000000"/>
                <w:sz w:val="18"/>
                <w:szCs w:val="18"/>
              </w:rPr>
              <w:br/>
              <w:t xml:space="preserve">Alendronate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Placebo:  0.2%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0.5%</w:t>
            </w:r>
            <w:r>
              <w:rPr>
                <w:color w:val="000000"/>
                <w:sz w:val="18"/>
                <w:szCs w:val="18"/>
              </w:rPr>
              <w:br/>
              <w:t>OR = 0.42 (95% CI 0.15, 1.21)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Wrist at 48 MOS:</w:t>
            </w:r>
            <w:r>
              <w:rPr>
                <w:color w:val="000000"/>
                <w:sz w:val="18"/>
                <w:szCs w:val="18"/>
              </w:rPr>
              <w:br/>
              <w:t xml:space="preserve">Alendronate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Placebo:  3.7%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3.2%</w:t>
            </w:r>
            <w:r>
              <w:rPr>
                <w:color w:val="000000"/>
                <w:sz w:val="18"/>
                <w:szCs w:val="18"/>
              </w:rPr>
              <w:br/>
              <w:t>OR = 1.16 (95% CI 0.84, 1.60)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Fogelman et al., 2000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ExcludeYear="1"&gt;&lt;RecNum&gt;1639&lt;/RecNum&gt;&lt;DisplayText&gt;&lt;style face="superscript"&gt;90&lt;/style&gt;&lt;/DisplayText&gt;&lt;record&gt;&lt;rec-number&gt;1639&lt;/rec-number&gt;&lt;foreign-keys&gt;&lt;key app="EN" db-id="wsrs5w0xuesfv3ezfa7pwf9dap92swfzares"&gt;1639&lt;/key&gt;&lt;/foreign-keys&gt;&lt;ref-type name="Journal Article"&gt;17&lt;/ref-type&gt;&lt;contributors&gt;&lt;authors&gt;&lt;author&gt;Fogelman, I. Ribot, C. Smith, R. Ethgen, D. Sod, E. Reginster, J. Y.&lt;/author&gt;&lt;/authors&gt;&lt;/contributors&gt;&lt;titles&gt;&lt;title&gt;Risedronate reverses bone loss in postmenopausal women with low bone mass: results from a multinational, double-blind, placebo-controlled trial. BMD-MN Study Group&lt;/title&gt;&lt;secondary-title&gt;J Clin Endocrinol Metab&lt;/secondary-title&gt;&lt;/titles&gt;&lt;pages&gt;1895-900&lt;/pages&gt;&lt;volume&gt;85&lt;/volume&gt;&lt;number&gt;5&lt;/number&gt;&lt;keywords&gt;&lt;keyword&gt;Aged Bone Density: *drug effects Calcium: therapeutic use Calcium Channel Blockers: adverse effects: *therapeutic use Comparative Study Double-Blind Method Etidronic Acid: adverse effects: *analogs &amp;amp; derivatives: therapeutic use Europe Female Femur Huma&lt;/keyword&gt;&lt;/keywords&gt;&lt;dates&gt;&lt;year&gt;2000&lt;/year&gt;&lt;/dates&gt;&lt;isbn&gt;0021-972X&lt;/isbn&gt;&lt;urls&gt;&lt;related-urls&gt;&lt;url&gt;10843171 http://jcem.endojournals.org/cgi/reprint/85/5/1895.pdf&lt;/url&gt;&lt;/related-urls&gt;&lt;/urls&gt;&lt;/record&gt;&lt;/Cite&gt;&lt;/EndNote&gt;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90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(Actonel)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Location: </w:t>
            </w:r>
            <w:smartTag w:uri="urn:schemas-microsoft-com:office:smarttags" w:element="country-region">
              <w:r>
                <w:rPr>
                  <w:rFonts w:cs="Times"/>
                  <w:color w:val="000000"/>
                  <w:sz w:val="18"/>
                  <w:szCs w:val="18"/>
                </w:rPr>
                <w:t>UK</w:t>
              </w:r>
            </w:smartTag>
            <w:r>
              <w:rPr>
                <w:rFonts w:cs="Times"/>
                <w:color w:val="000000"/>
                <w:sz w:val="18"/>
                <w:szCs w:val="18"/>
              </w:rPr>
              <w:t xml:space="preserve">, </w:t>
            </w:r>
            <w:smartTag w:uri="urn:schemas-microsoft-com:office:smarttags" w:element="place">
              <w:r>
                <w:rPr>
                  <w:rFonts w:cs="Times"/>
                  <w:color w:val="000000"/>
                  <w:sz w:val="18"/>
                  <w:szCs w:val="18"/>
                </w:rPr>
                <w:t>Western Europe</w:t>
              </w:r>
            </w:smartTag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Setting: Multicenter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Jadad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: 1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Age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Mean/Range: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100% Female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Race: Not reported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Screened: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Eligible: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Enrolled: 543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Withdrawn: 178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Lost to follow-up: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Analyzed: 541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Method of AE Assessment: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Elicited by investigator, Reported spontaneously by patient</w:t>
            </w:r>
          </w:p>
        </w:tc>
        <w:tc>
          <w:tcPr>
            <w:tcW w:w="64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Post-menopausal women &gt;1 year, Age under 80 years, T-Score </w:t>
            </w:r>
            <w:r>
              <w:rPr>
                <w:color w:val="000000"/>
                <w:sz w:val="18"/>
                <w:szCs w:val="18"/>
              </w:rPr>
              <w:t>≤ -2.0 Spine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Exclusion criteria:</w:t>
            </w:r>
            <w:r>
              <w:rPr>
                <w:color w:val="000000"/>
                <w:sz w:val="18"/>
                <w:szCs w:val="18"/>
              </w:rPr>
              <w:br/>
              <w:t>Carcinoma or suspected carcinoma, Hyperthyroidism, Hyperparathyroidism, Metabolic bone disorder other than osteoporosis, LS spine abnormalities prohibiting DXA, Vitamin D use, Medications known to affect skeleton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Interventions:</w:t>
            </w:r>
            <w:r>
              <w:rPr>
                <w:color w:val="000000"/>
                <w:sz w:val="18"/>
                <w:szCs w:val="18"/>
              </w:rPr>
              <w:br/>
              <w:t>Placebo Daily for 24 Month(s)</w:t>
            </w:r>
            <w:r>
              <w:rPr>
                <w:color w:val="000000"/>
                <w:sz w:val="18"/>
                <w:szCs w:val="18"/>
              </w:rPr>
              <w:br/>
              <w:t>vs.</w:t>
            </w:r>
            <w:r>
              <w:rPr>
                <w:color w:val="000000"/>
                <w:sz w:val="18"/>
                <w:szCs w:val="18"/>
              </w:rPr>
              <w:br/>
              <w:t xml:space="preserve">2.5mg of </w:t>
            </w:r>
            <w:proofErr w:type="spellStart"/>
            <w:r>
              <w:rPr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Daily for 24 Month(s)</w:t>
            </w:r>
            <w:r>
              <w:rPr>
                <w:color w:val="000000"/>
                <w:sz w:val="18"/>
                <w:szCs w:val="18"/>
              </w:rPr>
              <w:br/>
              <w:t>vs.</w:t>
            </w:r>
            <w:r>
              <w:rPr>
                <w:color w:val="000000"/>
                <w:sz w:val="18"/>
                <w:szCs w:val="18"/>
              </w:rPr>
              <w:br/>
              <w:t xml:space="preserve">5mg of </w:t>
            </w:r>
            <w:proofErr w:type="spellStart"/>
            <w:r>
              <w:rPr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Daily for 24 Month(s)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All received:</w:t>
            </w:r>
            <w:r>
              <w:rPr>
                <w:color w:val="000000"/>
                <w:sz w:val="18"/>
                <w:szCs w:val="18"/>
              </w:rPr>
              <w:br/>
              <w:t>Calcium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No run-in or wash-out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Fracture outcomes assessed at baseline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Outcomes:</w:t>
            </w:r>
            <w:r>
              <w:rPr>
                <w:color w:val="000000"/>
                <w:sz w:val="18"/>
                <w:szCs w:val="18"/>
              </w:rPr>
              <w:br/>
              <w:t>Bone mineral density by DXA - Hip, Bone mineral density by DXA - Spine, Vertebral fracture, Radiographic vertebral fractures</w:t>
            </w:r>
          </w:p>
        </w:tc>
        <w:tc>
          <w:tcPr>
            <w:tcW w:w="6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Fracture counts reported at baseline only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Harris et al., 1999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ExcludeYear="1"&gt;&lt;RecNum&gt;1025&lt;/RecNum&gt;&lt;DisplayText&gt;&lt;style face="superscript"&gt;91&lt;/style&gt;&lt;/DisplayText&gt;&lt;record&gt;&lt;rec-number&gt;1025&lt;/rec-number&gt;&lt;foreign-keys&gt;&lt;key app="EN" db-id="wsrs5w0xuesfv3ezfa7pwf9dap92swfzares"&gt;1025&lt;/key&gt;&lt;/foreign-keys&gt;&lt;ref-type name="Journal Article"&gt;17&lt;/ref-type&gt;&lt;contributors&gt;&lt;authors&gt;&lt;author&gt;Harris, S. T. Watts, N. B. Genant, H. K. McKeever, C. D. Hangartner, T. Keller, M. Chesnut, C. H., 3rd Brown, J. Eriksen, E. F. Hoseyni, M. S. Axelrod, D. W. Miller, P. D.&lt;/author&gt;&lt;/authors&gt;&lt;/contributors&gt;&lt;titles&gt;&lt;title&gt;Effects of risedronate treatment on vertebral and nonvertebral fractures in women with postmenopausal osteoporosis: a randomized controlled trial. Vertebral Efficacy With Risedronate Therapy (VERT) Study Group&lt;/title&gt;&lt;secondary-title&gt;JAMA&lt;/secondary-title&gt;&lt;/titles&gt;&lt;pages&gt;1344-52&lt;/pages&gt;&lt;volume&gt;282&lt;/volume&gt;&lt;number&gt;14&lt;/number&gt;&lt;keywords&gt;&lt;keyword&gt;Aged Analysis of Variance Bone Density: drug effects Bone Remodeling Double-Blind Method Etidronic Acid: adverse effects: *analogs &amp;amp; derivatives: therapeutic use Female Fractures: epidemiology: etiology: *prevention &amp;amp; control: radiography Humans Inciden&lt;/keyword&gt;&lt;/keywords&gt;&lt;dates&gt;&lt;year&gt;1999&lt;/year&gt;&lt;/dates&gt;&lt;isbn&gt;0098-7484&lt;/isbn&gt;&lt;urls&gt;&lt;related-urls&gt;&lt;url&gt;10527181&lt;/url&gt;&lt;/related-urls&gt;&lt;/urls&gt;&lt;/record&gt;&lt;/Cite&gt;&lt;/EndNote&gt;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91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(Actonel)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Location: US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VERT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Setting: Multicenter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Jadad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: 5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Age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Mean/Range: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100% Female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Race: Not reported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Screened: 9,400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Eligible: 2,458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Enrolled: 2,458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Withdrawn: 1,674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Lost to follow-up: 35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Analyzed: 2,246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Method of AE Assessment: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Monitored, Reported spontaneously by patient</w:t>
            </w:r>
          </w:p>
        </w:tc>
        <w:tc>
          <w:tcPr>
            <w:tcW w:w="64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Ambulatory, Post-menopausal women &gt;5 years, Age under 85 years, T-Score </w:t>
            </w:r>
            <w:r>
              <w:rPr>
                <w:color w:val="000000"/>
                <w:sz w:val="18"/>
                <w:szCs w:val="18"/>
              </w:rPr>
              <w:t>≤ -2.0 Spine, Radiographic f</w:t>
            </w:r>
            <w:bookmarkStart w:id="0" w:name="_GoBack"/>
            <w:bookmarkEnd w:id="0"/>
            <w:r>
              <w:rPr>
                <w:color w:val="000000"/>
                <w:sz w:val="18"/>
                <w:szCs w:val="18"/>
              </w:rPr>
              <w:t xml:space="preserve">ractures, clinically silent, Clinical fractures, </w:t>
            </w:r>
            <w:proofErr w:type="spellStart"/>
            <w:r>
              <w:rPr>
                <w:color w:val="000000"/>
                <w:sz w:val="18"/>
                <w:szCs w:val="18"/>
              </w:rPr>
              <w:t>radiographically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confirmed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Exclusion criteria:</w:t>
            </w:r>
            <w:r>
              <w:rPr>
                <w:color w:val="000000"/>
                <w:sz w:val="18"/>
                <w:szCs w:val="18"/>
              </w:rPr>
              <w:br/>
              <w:t xml:space="preserve">Bisphosphonates, Calcitonin, Fluoride, Estrogen agonists including estrogen, Progestin, Estrogen agonists, Anabolic steroids, Conditions that might interfere with the </w:t>
            </w:r>
            <w:proofErr w:type="spellStart"/>
            <w:r>
              <w:rPr>
                <w:color w:val="000000"/>
                <w:sz w:val="18"/>
                <w:szCs w:val="18"/>
              </w:rPr>
              <w:t>evalation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of bone loss; Use of </w:t>
            </w:r>
            <w:proofErr w:type="spellStart"/>
            <w:r>
              <w:rPr>
                <w:color w:val="000000"/>
                <w:sz w:val="18"/>
                <w:szCs w:val="18"/>
              </w:rPr>
              <w:t>calcitriol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and </w:t>
            </w:r>
            <w:proofErr w:type="spellStart"/>
            <w:r>
              <w:rPr>
                <w:color w:val="000000"/>
                <w:sz w:val="18"/>
                <w:szCs w:val="18"/>
              </w:rPr>
              <w:t>cholecalciferol</w:t>
            </w:r>
            <w:proofErr w:type="spellEnd"/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Interventions:</w:t>
            </w:r>
            <w:r>
              <w:rPr>
                <w:color w:val="000000"/>
                <w:sz w:val="18"/>
                <w:szCs w:val="18"/>
              </w:rPr>
              <w:br/>
              <w:t>Placebo Daily for 3 Year(s)</w:t>
            </w:r>
            <w:r>
              <w:rPr>
                <w:color w:val="000000"/>
                <w:sz w:val="18"/>
                <w:szCs w:val="18"/>
              </w:rPr>
              <w:br/>
              <w:t>vs.</w:t>
            </w:r>
            <w:r>
              <w:rPr>
                <w:color w:val="000000"/>
                <w:sz w:val="18"/>
                <w:szCs w:val="18"/>
              </w:rPr>
              <w:br/>
              <w:t xml:space="preserve">2.5mg of </w:t>
            </w:r>
            <w:proofErr w:type="spellStart"/>
            <w:r>
              <w:rPr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Daily for 1 Year(s)</w:t>
            </w:r>
            <w:r>
              <w:rPr>
                <w:color w:val="000000"/>
                <w:sz w:val="18"/>
                <w:szCs w:val="18"/>
              </w:rPr>
              <w:br/>
              <w:t>vs.</w:t>
            </w:r>
            <w:r>
              <w:rPr>
                <w:color w:val="000000"/>
                <w:sz w:val="18"/>
                <w:szCs w:val="18"/>
              </w:rPr>
              <w:br/>
              <w:t xml:space="preserve">5mg of </w:t>
            </w:r>
            <w:proofErr w:type="spellStart"/>
            <w:r>
              <w:rPr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Daily for 3 Year(s)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All received:</w:t>
            </w:r>
            <w:r>
              <w:rPr>
                <w:color w:val="000000"/>
                <w:sz w:val="18"/>
                <w:szCs w:val="18"/>
              </w:rPr>
              <w:br/>
              <w:t>Calcium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Run-in/wash-out unclear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Fracture outcomes assessed at baseline, 2 years, 3 years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Outcomes:</w:t>
            </w:r>
            <w:r>
              <w:rPr>
                <w:color w:val="000000"/>
                <w:sz w:val="18"/>
                <w:szCs w:val="18"/>
              </w:rPr>
              <w:br/>
              <w:t>Bone mineral density by DXA - Spine, Non-vertebral fracture, Radiographic vertebral fractures</w:t>
            </w:r>
          </w:p>
        </w:tc>
        <w:tc>
          <w:tcPr>
            <w:tcW w:w="6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New vertebral fracture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8.8%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13.7%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0.61 (95% CI 0.44, 0.85)    NNT=20.2 (95% CI 12.1-61.8)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Non-vertebral fracture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4.1%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6.4%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0.63 (95% CI 0.40, 0.97)    NNT=43.2 (95% CI 22.3-634.4)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Reginster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et al., 2000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ExcludeYear="1"&gt;&lt;RecNum&gt;3168&lt;/RecNum&gt;&lt;DisplayText&gt;&lt;style face="superscript"&gt;485&lt;/style&gt;&lt;/DisplayText&gt;&lt;record&gt;&lt;rec-number&gt;3168&lt;/rec-number&gt;&lt;foreign-keys&gt;&lt;key app="EN" db-id="wsrs5w0xuesfv3ezfa7pwf9dap92swfzares"&gt;3168&lt;/key&gt;&lt;/foreign-keys&gt;&lt;ref-type name="Journal Article"&gt;17&lt;/ref-type&gt;&lt;contributors&gt;&lt;authors&gt;&lt;author&gt;Reginster, J. Minne, H. Sorensen, O. H.&lt;/author&gt;&lt;/authors&gt;&lt;/contributors&gt;&lt;titles&gt;&lt;title&gt;Randomized trial of the effects of risedronate on vetebral fractures in women with established postmenopausal osteoporosis&lt;/title&gt;&lt;secondary-title&gt;Osteoposos Int.&lt;/secondary-title&gt;&lt;/titles&gt;&lt;pages&gt;83-91&lt;/pages&gt;&lt;volume&gt;11&lt;/volume&gt;&lt;dates&gt;&lt;year&gt;2000&lt;/year&gt;&lt;/dates&gt;&lt;urls&gt;&lt;/urls&gt;&lt;/record&gt;&lt;/Cite&gt;&lt;/EndNote&gt;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485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(Actonel)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Location: </w:t>
            </w:r>
            <w:smartTag w:uri="urn:schemas-microsoft-com:office:smarttags" w:element="City">
              <w:r>
                <w:rPr>
                  <w:rFonts w:cs="Times"/>
                  <w:color w:val="000000"/>
                  <w:sz w:val="18"/>
                  <w:szCs w:val="18"/>
                </w:rPr>
                <w:t>Western Europe</w:t>
              </w:r>
            </w:smartTag>
            <w:r>
              <w:rPr>
                <w:rFonts w:cs="Times"/>
                <w:color w:val="000000"/>
                <w:sz w:val="18"/>
                <w:szCs w:val="18"/>
              </w:rPr>
              <w:t xml:space="preserve">, </w:t>
            </w:r>
            <w:smartTag w:uri="urn:schemas-microsoft-com:office:smarttags" w:element="country-region">
              <w:r>
                <w:rPr>
                  <w:rFonts w:cs="Times"/>
                  <w:color w:val="000000"/>
                  <w:sz w:val="18"/>
                  <w:szCs w:val="18"/>
                </w:rPr>
                <w:t>Australia</w:t>
              </w:r>
            </w:smartTag>
            <w:r>
              <w:rPr>
                <w:rFonts w:cs="Times"/>
                <w:color w:val="000000"/>
                <w:sz w:val="18"/>
                <w:szCs w:val="18"/>
              </w:rPr>
              <w:t>/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cs="Times"/>
                    <w:color w:val="000000"/>
                    <w:sz w:val="18"/>
                    <w:szCs w:val="18"/>
                  </w:rPr>
                  <w:t>New Zealand</w:t>
                </w:r>
              </w:smartTag>
            </w:smartTag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VERT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Setting: Multicenter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Jadad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: 2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Age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Mean/Range: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100% Female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Race: Not reported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Screened: 4,400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Eligible: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Enrolled: 1,226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Withdrawn: 684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Lost to follow-up: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Analyzed: 1,222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Method of AE Assessment: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Monitored, Reported spontaneously by patient</w:t>
            </w:r>
          </w:p>
        </w:tc>
        <w:tc>
          <w:tcPr>
            <w:tcW w:w="64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Ambulatory, Post-menopausal women &gt;5 years, Age under 86 years, Radiographic fractures, clinically silent, Clinical fractures,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radiographically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confirmed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Exclusion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LS spine abnormalities prohibiting DXA, Bisphosphonates, Calcitonin, Fluoride, Estrogen agonists including estrogen, Progestin, Estrogen agonists, Anabolic steroids, Vitamin D use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Interventions: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Placebo Daily for 3 Year(s)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vs.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2.5mg of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Daily for 3 Year(s)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vs.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5.0mg of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Daily for 3 Year(s)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All received: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Calcium, Vitamin 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Run-in/wash-out unclear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Fracture outcomes assessed at baseline, 2 years, 3 years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Outcomes: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Bone mineral density by DXA - Hip, Bone mineral density by DXA - Spine, Non-vertebral fracture, Radiographic vertebral fractures</w:t>
            </w:r>
          </w:p>
        </w:tc>
        <w:tc>
          <w:tcPr>
            <w:tcW w:w="6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keepNext/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New vertebral fracture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15.4%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25.7%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0.53 (95% CI 0.37, 0.77)    NNT=9.7 (95% CI 6.1-23.1)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Osteoporosis-related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nonvertebral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fracture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Risedronate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8.9%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12.6%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0.68 (95% CI 0.44, 1.06)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lastRenderedPageBreak/>
              <w:t>Black et al., 2007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ExcludeYear="1"&gt;&lt;RecNum&gt;3578&lt;/RecNum&gt;&lt;DisplayText&gt;&lt;style face="superscript"&gt;111&lt;/style&gt;&lt;/DisplayText&gt;&lt;record&gt;&lt;rec-number&gt;3578&lt;/rec-number&gt;&lt;foreign-keys&gt;&lt;key app="EN" db-id="wsrs5w0xuesfv3ezfa7pwf9dap92swfzares"&gt;3578&lt;/key&gt;&lt;/foreign-keys&gt;&lt;ref-type name="Journal Article"&gt;17&lt;/ref-type&gt;&lt;contributors&gt;&lt;authors&gt;&lt;author&gt;Black, D. M. Delmas, P. D. Eastell, R. Reid, I. R. Boonen, S. Cauley, J. A. Cosman, F. Lakatos, P. Leung, P. C. Man, Z. Mautalen, C. Mesenbrink, P. Hu, H. Caminis, J. Tong, K. Rosario-Jansen, T. Krasnow, J. Hue, T. F. Sellmeyer, D. Eriksen, E. F. Cummings, S. R.&lt;/author&gt;&lt;/authors&gt;&lt;/contributors&gt;&lt;titles&gt;&lt;title&gt;Once-yearly zoledronic acid for treatment of postmenopausal osteoporosis&lt;/title&gt;&lt;secondary-title&gt;N Engl J Med&lt;/secondary-title&gt;&lt;/titles&gt;&lt;periodical&gt;&lt;full-title&gt;N Engl J Med&lt;/full-title&gt;&lt;/periodical&gt;&lt;pages&gt;1809-22&lt;/pages&gt;&lt;volume&gt;356&lt;/volume&gt;&lt;number&gt;18&lt;/number&gt;&lt;keywords&gt;&lt;keyword&gt;Aged Aged, 80 and over Atrial Fibrillation: chemically induced Biological Markers: metabolism Bone Density: drug effects Bone Density Conservation Agents: *administration &amp;amp; dosage: adverse effects Diphosphonates: *administration &amp;amp; dosage: adverse effect&lt;/keyword&gt;&lt;/keywords&gt;&lt;dates&gt;&lt;year&gt;2007&lt;/year&gt;&lt;/dates&gt;&lt;isbn&gt;1533-4406 (Electronic)&lt;/isbn&gt;&lt;urls&gt;&lt;related-urls&gt;&lt;url&gt;17476007&lt;/url&gt;&lt;/related-urls&gt;&lt;/urls&gt;&lt;/record&gt;&lt;/Cite&gt;&lt;/EndNote&gt;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662F04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111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Zoledronic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acid (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Zometa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Location: US, Canada, South America, Western Europe, Eastern Europe, Asia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Horizon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Setting: Multicenter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Jadad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: 3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Age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Mean/Range: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100% Female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Race: Not reported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Screened: 18,421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Eligible: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Enrolled: 7,765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Withdrawn: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Lost to follow-up: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Analyzed: 7,736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Method of AE Assessment: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Monitored, Elicited by investigator</w:t>
            </w:r>
          </w:p>
        </w:tc>
        <w:tc>
          <w:tcPr>
            <w:tcW w:w="6413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Age under 90 years, Age over 64 years, T-Score </w:t>
            </w:r>
            <w:r>
              <w:rPr>
                <w:color w:val="000000"/>
                <w:sz w:val="18"/>
                <w:szCs w:val="18"/>
              </w:rPr>
              <w:t xml:space="preserve">≤ -2.5 Hip, </w:t>
            </w:r>
            <w:proofErr w:type="spellStart"/>
            <w:r>
              <w:rPr>
                <w:color w:val="000000"/>
                <w:sz w:val="18"/>
                <w:szCs w:val="18"/>
              </w:rPr>
              <w:t>Tscore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-1.5 or less with radiologic evidence of at least 2 mild vertebral fractures or one moderate vertebral fracture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Exclusion criteria:</w:t>
            </w:r>
            <w:r>
              <w:rPr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color w:val="000000"/>
                <w:sz w:val="18"/>
                <w:szCs w:val="18"/>
              </w:rPr>
              <w:t>Hypocalcemia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color w:val="000000"/>
                <w:sz w:val="18"/>
                <w:szCs w:val="18"/>
              </w:rPr>
              <w:t>Hypercalcemia</w:t>
            </w:r>
            <w:proofErr w:type="spellEnd"/>
            <w:r>
              <w:rPr>
                <w:color w:val="000000"/>
                <w:sz w:val="18"/>
                <w:szCs w:val="18"/>
              </w:rPr>
              <w:t>, Renal insufficiency, Fluoride, Anabolic steroids, Previous PTH use, Corticoids/Glucocorticoids, Previous use of strontium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Interventions:</w:t>
            </w:r>
            <w:r>
              <w:rPr>
                <w:color w:val="000000"/>
                <w:sz w:val="18"/>
                <w:szCs w:val="18"/>
              </w:rPr>
              <w:br/>
              <w:t>Placebo Yearly for 2 Year(s)</w:t>
            </w:r>
            <w:r>
              <w:rPr>
                <w:color w:val="000000"/>
                <w:sz w:val="18"/>
                <w:szCs w:val="18"/>
              </w:rPr>
              <w:br/>
              <w:t>vs.</w:t>
            </w:r>
            <w:r>
              <w:rPr>
                <w:color w:val="000000"/>
                <w:sz w:val="18"/>
                <w:szCs w:val="18"/>
              </w:rPr>
              <w:br/>
              <w:t xml:space="preserve">5mg of </w:t>
            </w:r>
            <w:proofErr w:type="spellStart"/>
            <w:r>
              <w:rPr>
                <w:color w:val="000000"/>
                <w:sz w:val="18"/>
                <w:szCs w:val="18"/>
              </w:rPr>
              <w:t>Zoledronic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acid Yearly for 2 Year(s) - 3 doses total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All received:</w:t>
            </w:r>
            <w:r>
              <w:rPr>
                <w:color w:val="000000"/>
                <w:sz w:val="18"/>
                <w:szCs w:val="18"/>
              </w:rPr>
              <w:br/>
              <w:t>Calcium, Vitamin D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Run-in/wash-out unclear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Fracture outcomes assessed at baseline, 24 months, 36 months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Outcomes:</w:t>
            </w:r>
            <w:r>
              <w:rPr>
                <w:color w:val="000000"/>
                <w:sz w:val="18"/>
                <w:szCs w:val="18"/>
              </w:rPr>
              <w:br/>
              <w:t>Bone mineral density by DXA - Hip, Vertebral fracture, Non-vertebral fracture, Radiographic vertebral fractures, Symptomatic vertebral fractures</w:t>
            </w:r>
          </w:p>
        </w:tc>
        <w:tc>
          <w:tcPr>
            <w:tcW w:w="6500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Any clinical fracture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Zoledronic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acid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10.9%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16.0%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0.65 (95% CI 0.56, 0.75)    NNT=19.7 (95% CI 14.6-30.3)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Clinical vertebral fracture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Zoledronic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acid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0.7%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2.9%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0.28 (95% CI 0.19, 0.41)    NNT=44.0 (95% CI 33.8-63.2)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Hip fracture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Zoledronic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acid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1.8%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3.1%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0.60 (95% CI 0.43, 0.83)    NNT=80.5 (95% CI 48.8-229.2)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Morphometric vertebral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fracutre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Zoledronic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acid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3.3%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10.9%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0.31 (95% CI 0.26, 0.39)    NNT=13.1 (95% CI 11.2-15.9)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Multiple morphometric vertebral fractures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Zoledronic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acid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0.2%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2.3%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0.20 (95% CI 0.12, 0.31)    NNT=48.4 (95% CI 37.8-67.4)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Non-vertebral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Zoledronic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acid 5mg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10.3%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13.6%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0.73 (95% CI 0.63, 0.86)    NNT=30.7 (95% CI 20.2-63.9)</w:t>
            </w:r>
          </w:p>
        </w:tc>
      </w:tr>
    </w:tbl>
    <w:p w:rsidR="00241625" w:rsidRDefault="00241625" w:rsidP="00241625">
      <w:pPr>
        <w:adjustRightInd w:val="0"/>
        <w:rPr>
          <w:rFonts w:cs="Times"/>
          <w:color w:val="000000"/>
          <w:sz w:val="18"/>
          <w:szCs w:val="18"/>
        </w:rPr>
        <w:sectPr w:rsidR="00241625" w:rsidSect="002174AA">
          <w:headerReference w:type="default" r:id="rId9"/>
          <w:pgSz w:w="15840" w:h="12240" w:orient="landscape"/>
          <w:pgMar w:top="360" w:right="360" w:bottom="360" w:left="360" w:header="720" w:footer="738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6413"/>
        <w:gridCol w:w="6500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lastRenderedPageBreak/>
              <w:t>Citation &amp; Study info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Eligibility, Interventions, Outcomes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Results - Number of people with fracture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Ettinger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et al., 1999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ExcludeYear="1"&gt;&lt;RecNum&gt;1027&lt;/RecNum&gt;&lt;DisplayText&gt;&lt;style face="superscript"&gt;486&lt;/style&gt;&lt;/DisplayText&gt;&lt;record&gt;&lt;rec-number&gt;1027&lt;/rec-number&gt;&lt;foreign-keys&gt;&lt;key app="EN" db-id="wsrs5w0xuesfv3ezfa7pwf9dap92swfzares"&gt;1027&lt;/key&gt;&lt;/foreign-keys&gt;&lt;ref-type name="Journal Article"&gt;17&lt;/ref-type&gt;&lt;contributors&gt;&lt;authors&gt;&lt;author&gt;Ettinger, B. Black, D. M. Mitlak, B. H. Knickerbocker, R. K. Nickelsen, T. Genant, H. K. Christiansen, C. Delmas, P. D. Zanchetta, J. R. Stakkestad, J. Gluer, C. C. Krueger, K. Cohen, F. J. Eckert, S. Ensrud, K. E. Avioli, L. V. Lips, P. Cummings, S. R.&lt;/author&gt;&lt;/authors&gt;&lt;/contributors&gt;&lt;titles&gt;&lt;title&gt;Reduction of vertebral fracture risk in postmenopausal women with osteoporosis treated with raloxifene: results from a 3-year randomized clinical trial. Multiple Outcomes of Raloxifene Evaluation (MORE) Investigators&lt;/title&gt;&lt;secondary-title&gt;JAMA&lt;/secondary-title&gt;&lt;/titles&gt;&lt;pages&gt;637-45&lt;/pages&gt;&lt;volume&gt;282&lt;/volume&gt;&lt;number&gt;7&lt;/number&gt;&lt;keywords&gt;&lt;keyword&gt;Adult Aged Bone Density: drug effects Estrogens: *agonists Female Humans Middle Aged Osteoporosis, Postmenopausal: complications: *drug therapy Piperidines: adverse effects: *therapeutic use Raloxifene Research Support, Non-U.S. Gov&amp;apos;t Risk Spinal Fractu&lt;/keyword&gt;&lt;/keywords&gt;&lt;dates&gt;&lt;year&gt;1999&lt;/year&gt;&lt;/dates&gt;&lt;isbn&gt;0098-7484&lt;/isbn&gt;&lt;urls&gt;&lt;related-urls&gt;&lt;url&gt;10517716&lt;/url&gt;&lt;/related-urls&gt;&lt;/urls&gt;&lt;/record&gt;&lt;/Cite&gt;&lt;/EndNote&gt;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486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Raloxifene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Evista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Location: US,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cs="Times"/>
                    <w:color w:val="000000"/>
                    <w:sz w:val="18"/>
                    <w:szCs w:val="18"/>
                  </w:rPr>
                  <w:t>Canada</w:t>
                </w:r>
              </w:smartTag>
            </w:smartTag>
            <w:r>
              <w:rPr>
                <w:rFonts w:cs="Times"/>
                <w:color w:val="000000"/>
                <w:sz w:val="18"/>
                <w:szCs w:val="18"/>
              </w:rPr>
              <w:t>, Other countries not specified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Trial: MORE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Setting: Multicenter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Jadad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: 1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Age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Mean/Range: 31-80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100% Female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Race: Not reported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Screened: 22,379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Eligible: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Enrolled: 7,705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Withdrawn: 1,804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Lost to follow-up: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Analyzed: 7,755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Method of AE Assessment: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Monitored, Elicited by investigator</w:t>
            </w:r>
          </w:p>
        </w:tc>
        <w:tc>
          <w:tcPr>
            <w:tcW w:w="6413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Post-menopausal women &gt;2 years, T-Score </w:t>
            </w:r>
            <w:r>
              <w:rPr>
                <w:color w:val="000000"/>
                <w:sz w:val="18"/>
                <w:szCs w:val="18"/>
              </w:rPr>
              <w:t xml:space="preserve">≤ -2.5 Hip, T-Score ≤ -2.5 Spine, Radiographic fractures, clinically silent, Clinical fractures, </w:t>
            </w:r>
            <w:proofErr w:type="spellStart"/>
            <w:r>
              <w:rPr>
                <w:color w:val="000000"/>
                <w:sz w:val="18"/>
                <w:szCs w:val="18"/>
              </w:rPr>
              <w:t>radiographically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confirmed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Exclusion criteria:</w:t>
            </w:r>
            <w:r>
              <w:rPr>
                <w:color w:val="000000"/>
                <w:sz w:val="18"/>
                <w:szCs w:val="18"/>
              </w:rPr>
              <w:br/>
              <w:t xml:space="preserve">Carcinoma or suspected carcinoma, Endocrine disease (not diabetes) NOS, Hepatic insufficiency, Metabolic bone disorder other than osteoporosis, LS spine abnormalities prohibiting DXA, Renal insufficiency, </w:t>
            </w:r>
            <w:proofErr w:type="spellStart"/>
            <w:r>
              <w:rPr>
                <w:color w:val="000000"/>
                <w:sz w:val="18"/>
                <w:szCs w:val="18"/>
              </w:rPr>
              <w:t>Malabsorption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syndrome, Nephrolithiasis, </w:t>
            </w:r>
            <w:proofErr w:type="spellStart"/>
            <w:r>
              <w:rPr>
                <w:color w:val="000000"/>
                <w:sz w:val="18"/>
                <w:szCs w:val="18"/>
              </w:rPr>
              <w:t>Urolithiasis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Ever venous thromboembolic disease, Bisphosphonates, Calcitonin, Fluoride, Androgen, Estrogen agonists including estrogen, Corticoids/Glucocorticoids, Substantial postmenopausal symptoms; Abnormal uterine bleeding; Anti-seizure medications; Pharmacologic doses of </w:t>
            </w:r>
            <w:proofErr w:type="spellStart"/>
            <w:r>
              <w:rPr>
                <w:color w:val="000000"/>
                <w:sz w:val="18"/>
                <w:szCs w:val="18"/>
              </w:rPr>
              <w:t>cholecalciferol</w:t>
            </w:r>
            <w:proofErr w:type="spellEnd"/>
            <w:r>
              <w:rPr>
                <w:color w:val="000000"/>
                <w:sz w:val="18"/>
                <w:szCs w:val="18"/>
              </w:rPr>
              <w:t>; Consumed greater than 4 alcoholic drinks a day; Pathologic fractures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Interventions:</w:t>
            </w:r>
            <w:r>
              <w:rPr>
                <w:color w:val="000000"/>
                <w:sz w:val="18"/>
                <w:szCs w:val="18"/>
              </w:rPr>
              <w:br/>
              <w:t>Placebo Daily for 3 Year(s)</w:t>
            </w:r>
            <w:r>
              <w:rPr>
                <w:color w:val="000000"/>
                <w:sz w:val="18"/>
                <w:szCs w:val="18"/>
              </w:rPr>
              <w:br/>
              <w:t>vs.</w:t>
            </w:r>
            <w:r>
              <w:rPr>
                <w:color w:val="000000"/>
                <w:sz w:val="18"/>
                <w:szCs w:val="18"/>
              </w:rPr>
              <w:br/>
              <w:t xml:space="preserve">60 or 120mg of </w:t>
            </w:r>
            <w:proofErr w:type="spellStart"/>
            <w:r>
              <w:rPr>
                <w:color w:val="000000"/>
                <w:sz w:val="18"/>
                <w:szCs w:val="18"/>
              </w:rPr>
              <w:t>Raloxifene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Daily for 3 Year(s)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All received:</w:t>
            </w:r>
            <w:r>
              <w:rPr>
                <w:color w:val="000000"/>
                <w:sz w:val="18"/>
                <w:szCs w:val="18"/>
              </w:rPr>
              <w:br/>
              <w:t>Calcium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Run-in/wash-out unclear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Fracture outcomes assessed at baseline, 36 months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Outcomes:</w:t>
            </w:r>
            <w:r>
              <w:rPr>
                <w:color w:val="000000"/>
                <w:sz w:val="18"/>
                <w:szCs w:val="18"/>
              </w:rPr>
              <w:br/>
              <w:t>Bone mineral density by DXA - Hip, Bone mineral density by DXA - Spine, Vertebral fracture, Non-vertebral fracture, Radiographic vertebral fractures, Symptomatic vertebral fractures</w:t>
            </w:r>
          </w:p>
        </w:tc>
        <w:tc>
          <w:tcPr>
            <w:tcW w:w="6500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Ankle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Raloxifene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(30&amp;60mg)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0.7%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1.1%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0.59 (95% CI 0.35, 1.00)    NNT=235.8 (95% CI 113.4-2957)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Hip fracture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Raloxifene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(30&amp;60mg)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0.8%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0.7%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1.11 (95% CI 0.64, 1.93)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Non-vertebral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fracutre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Raloxifene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(30&amp;60mg)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8.5%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9.3%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0.91 (95% CI 0.77, 1.07)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Vertebral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fracutre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Raloxifene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(30&amp;60mg)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6.0%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10.1%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0.55 (95% CI 0.45, 0.67)    NNT=24.5 (95% CI 18.2-37.5)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Wrist at 36 MOS: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Raloxifene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(30&amp;60mg)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Placebo:  2.9% 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3.3%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OR = 0.88 (95% CI 0.67, 1.15)</w:t>
            </w:r>
          </w:p>
        </w:tc>
      </w:tr>
    </w:tbl>
    <w:p w:rsidR="00241625" w:rsidRDefault="00241625" w:rsidP="00241625">
      <w:pPr>
        <w:adjustRightInd w:val="0"/>
        <w:rPr>
          <w:rFonts w:cs="Times"/>
          <w:color w:val="000000"/>
          <w:sz w:val="18"/>
          <w:szCs w:val="18"/>
        </w:rPr>
        <w:sectPr w:rsidR="00241625" w:rsidSect="002174AA">
          <w:headerReference w:type="default" r:id="rId10"/>
          <w:pgSz w:w="15840" w:h="12240" w:orient="landscape"/>
          <w:pgMar w:top="360" w:right="360" w:bottom="360" w:left="360" w:header="720" w:footer="720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31"/>
        <w:gridCol w:w="6413"/>
        <w:gridCol w:w="6500"/>
      </w:tblGrid>
      <w:tr w:rsidR="00241625" w:rsidTr="001D0AC8">
        <w:trPr>
          <w:cantSplit/>
          <w:tblHeader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lastRenderedPageBreak/>
              <w:t>Citation &amp; Study info</w:t>
            </w:r>
          </w:p>
        </w:tc>
        <w:tc>
          <w:tcPr>
            <w:tcW w:w="641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Eligibility, Interventions, Outcomes</w:t>
            </w:r>
          </w:p>
        </w:tc>
        <w:tc>
          <w:tcPr>
            <w:tcW w:w="650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41625" w:rsidRDefault="00241625" w:rsidP="001D0AC8">
            <w:pPr>
              <w:keepNext/>
              <w:adjustRightInd w:val="0"/>
              <w:spacing w:before="60" w:after="60"/>
              <w:jc w:val="center"/>
              <w:rPr>
                <w:rFonts w:cs="Times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"/>
                <w:b/>
                <w:bCs/>
                <w:color w:val="000000"/>
                <w:sz w:val="18"/>
                <w:szCs w:val="18"/>
              </w:rPr>
              <w:t>Results - Number of people with fracture</w:t>
            </w:r>
          </w:p>
        </w:tc>
      </w:tr>
      <w:tr w:rsidR="00241625" w:rsidTr="001D0AC8">
        <w:trPr>
          <w:cantSplit/>
        </w:trPr>
        <w:tc>
          <w:tcPr>
            <w:tcW w:w="20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rFonts w:cs="Times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Neer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 xml:space="preserve"> et al., 2001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Times"/>
                <w:color w:val="000000"/>
                <w:sz w:val="18"/>
                <w:szCs w:val="18"/>
              </w:rPr>
              <w:instrText xml:space="preserve"> ADDIN EN.CITE &lt;EndNote&gt;&lt;Cite ExcludeAuth="1" ExcludeYear="1"&gt;&lt;RecNum&gt;1063&lt;/RecNum&gt;&lt;DisplayText&gt;&lt;style face="superscript"&gt;134&lt;/style&gt;&lt;/DisplayText&gt;&lt;record&gt;&lt;rec-number&gt;1063&lt;/rec-number&gt;&lt;foreign-keys&gt;&lt;key app="EN" db-id="wsrs5w0xuesfv3ezfa7pwf9dap92swfzares"&gt;1063&lt;/key&gt;&lt;/foreign-keys&gt;&lt;ref-type name="Journal Article"&gt;17&lt;/ref-type&gt;&lt;contributors&gt;&lt;authors&gt;&lt;author&gt;Neer, R. M. Arnaud, C. D. Zanchetta, J. R. Prince, R. Gaich, G. A. Reginster, J. Y. Hodsman, A. B. Eriksen, E. F. Ish-Shalom, S. Genant, H. K. Wang, O. Mitlak, B. H.&lt;/author&gt;&lt;/authors&gt;&lt;/contributors&gt;&lt;titles&gt;&lt;title&gt;Effect of parathyroid hormone (1-34) on fractures and bone mineral density in postmenopausal women with osteoporosis&lt;/title&gt;&lt;secondary-title&gt;N Engl J Med&lt;/secondary-title&gt;&lt;/titles&gt;&lt;periodical&gt;&lt;full-title&gt;N Engl J Med&lt;/full-title&gt;&lt;/periodical&gt;&lt;pages&gt;1434-41&lt;/pages&gt;&lt;volume&gt;344&lt;/volume&gt;&lt;number&gt;19&lt;/number&gt;&lt;keywords&gt;&lt;keyword&gt;Bone Density: *drug effects Dose-Response Relationship, Drug Female Femur: drug effects Fractures: etiology: prevention &amp;amp; control Humans Injections, Subcutaneous Lumbar Vertebrae: drug effects Osteoporosis, Postmenopausal: complications: *drug therapy:&lt;/keyword&gt;&lt;/keywords&gt;&lt;dates&gt;&lt;year&gt;2001&lt;/year&gt;&lt;/dates&gt;&lt;isbn&gt;0028-4793&lt;/isbn&gt;&lt;urls&gt;&lt;related-urls&gt;&lt;url&gt;11346808&lt;/url&gt;&lt;/related-urls&gt;&lt;/urls&gt;&lt;/record&gt;&lt;/Cite&gt;&lt;/EndNote&gt;</w:instrTex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separate"/>
            </w:r>
            <w:r w:rsidRPr="00782010">
              <w:rPr>
                <w:rFonts w:cs="Times"/>
                <w:noProof/>
                <w:color w:val="000000"/>
                <w:sz w:val="18"/>
                <w:szCs w:val="18"/>
                <w:vertAlign w:val="superscript"/>
              </w:rPr>
              <w:t>134</w:t>
            </w:r>
            <w:r w:rsidR="005F6BCB">
              <w:rPr>
                <w:rFonts w:cs="Times"/>
                <w:color w:val="000000"/>
                <w:sz w:val="18"/>
                <w:szCs w:val="18"/>
              </w:rPr>
              <w:fldChar w:fldCharType="end"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PTH (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Teriparatide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) (</w:t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Forteo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)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Location: 17 countries not listed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Setting: Multicenter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="Times"/>
                <w:color w:val="000000"/>
                <w:sz w:val="18"/>
                <w:szCs w:val="18"/>
              </w:rPr>
              <w:t>Jadad</w:t>
            </w:r>
            <w:proofErr w:type="spellEnd"/>
            <w:r>
              <w:rPr>
                <w:rFonts w:cs="Times"/>
                <w:color w:val="000000"/>
                <w:sz w:val="18"/>
                <w:szCs w:val="18"/>
              </w:rPr>
              <w:t>: 0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Age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Mean/Range: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100% Female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Race: Caucasian, Other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Screened: 9,347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Eligible: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Enrolled: 1,637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Withdrawn: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Lost to follow-up: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Analyzed: NR</w:t>
            </w:r>
            <w:r>
              <w:rPr>
                <w:rFonts w:cs="Times"/>
                <w:color w:val="000000"/>
                <w:sz w:val="18"/>
                <w:szCs w:val="18"/>
              </w:rPr>
              <w:br/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Method of AE Assessment: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>Monitored, Reported spontaneously by patient</w:t>
            </w:r>
          </w:p>
        </w:tc>
        <w:tc>
          <w:tcPr>
            <w:tcW w:w="6413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>Inclusion criteria:</w:t>
            </w:r>
            <w:r>
              <w:rPr>
                <w:rFonts w:cs="Times"/>
                <w:color w:val="000000"/>
                <w:sz w:val="18"/>
                <w:szCs w:val="18"/>
              </w:rPr>
              <w:br/>
              <w:t xml:space="preserve">Ambulatory, Post-menopausal women &gt;5 years, T-Score </w:t>
            </w:r>
            <w:r>
              <w:rPr>
                <w:color w:val="000000"/>
                <w:sz w:val="18"/>
                <w:szCs w:val="18"/>
              </w:rPr>
              <w:t>≤ -1.0 Hip, T-Score ≤ -1.0 Spine, Radiographic fractures, clinically silent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Exclusion criteria:</w:t>
            </w:r>
            <w:r>
              <w:rPr>
                <w:color w:val="000000"/>
                <w:sz w:val="18"/>
                <w:szCs w:val="18"/>
              </w:rPr>
              <w:br/>
              <w:t xml:space="preserve">Hepatic insufficiency, Metabolic bone disorder other than osteoporosis, Renal insufficiency, </w:t>
            </w:r>
            <w:proofErr w:type="spellStart"/>
            <w:r>
              <w:rPr>
                <w:color w:val="000000"/>
                <w:sz w:val="18"/>
                <w:szCs w:val="18"/>
              </w:rPr>
              <w:t>Urolithiasis</w:t>
            </w:r>
            <w:proofErr w:type="spellEnd"/>
            <w:r>
              <w:rPr>
                <w:color w:val="000000"/>
                <w:sz w:val="18"/>
                <w:szCs w:val="18"/>
              </w:rPr>
              <w:t>, Medications known to affect skeleton, Alcohol and drug abuse; Taking drugs that affect metabolism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Interventions:</w:t>
            </w:r>
            <w:r>
              <w:rPr>
                <w:color w:val="000000"/>
                <w:sz w:val="18"/>
                <w:szCs w:val="18"/>
              </w:rPr>
              <w:br/>
              <w:t>Placebo Daily for 24 Month(s)</w:t>
            </w:r>
            <w:r>
              <w:rPr>
                <w:color w:val="000000"/>
                <w:sz w:val="18"/>
                <w:szCs w:val="18"/>
              </w:rPr>
              <w:br/>
              <w:t>vs.</w:t>
            </w:r>
            <w:r>
              <w:rPr>
                <w:color w:val="000000"/>
                <w:sz w:val="18"/>
                <w:szCs w:val="18"/>
              </w:rPr>
              <w:br/>
              <w:t>20µg of PTH (</w:t>
            </w:r>
            <w:proofErr w:type="spellStart"/>
            <w:r>
              <w:rPr>
                <w:color w:val="000000"/>
                <w:sz w:val="18"/>
                <w:szCs w:val="18"/>
              </w:rPr>
              <w:t>teriparatide</w:t>
            </w:r>
            <w:proofErr w:type="spellEnd"/>
            <w:r>
              <w:rPr>
                <w:color w:val="000000"/>
                <w:sz w:val="18"/>
                <w:szCs w:val="18"/>
              </w:rPr>
              <w:t>) Daily for 24 Month(s)</w:t>
            </w:r>
            <w:r>
              <w:rPr>
                <w:color w:val="000000"/>
                <w:sz w:val="18"/>
                <w:szCs w:val="18"/>
              </w:rPr>
              <w:br/>
              <w:t>vs.</w:t>
            </w:r>
            <w:r>
              <w:rPr>
                <w:color w:val="000000"/>
                <w:sz w:val="18"/>
                <w:szCs w:val="18"/>
              </w:rPr>
              <w:br/>
              <w:t>40µg of PTH (</w:t>
            </w:r>
            <w:proofErr w:type="spellStart"/>
            <w:r>
              <w:rPr>
                <w:color w:val="000000"/>
                <w:sz w:val="18"/>
                <w:szCs w:val="18"/>
              </w:rPr>
              <w:t>teriparatide</w:t>
            </w:r>
            <w:proofErr w:type="spellEnd"/>
            <w:r>
              <w:rPr>
                <w:color w:val="000000"/>
                <w:sz w:val="18"/>
                <w:szCs w:val="18"/>
              </w:rPr>
              <w:t>) Daily for 24 Month(s)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All received:</w:t>
            </w:r>
            <w:r>
              <w:rPr>
                <w:color w:val="000000"/>
                <w:sz w:val="18"/>
                <w:szCs w:val="18"/>
              </w:rPr>
              <w:br/>
              <w:t>Calcium, Vitamin D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Run-in/wash-out unclear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Fracture outcomes assessed at baseline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Outcomes:</w:t>
            </w:r>
            <w:r>
              <w:rPr>
                <w:color w:val="000000"/>
                <w:sz w:val="18"/>
                <w:szCs w:val="18"/>
              </w:rPr>
              <w:br/>
              <w:t>Bone mineral density by DXA - Hip, Bone mineral density by DXA - Spine, Non-vertebral fracture, Radiographic vertebral fractures</w:t>
            </w:r>
          </w:p>
        </w:tc>
        <w:tc>
          <w:tcPr>
            <w:tcW w:w="6500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41625" w:rsidRDefault="00241625" w:rsidP="001D0AC8">
            <w:pPr>
              <w:adjustRightInd w:val="0"/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rFonts w:cs="Times"/>
                <w:color w:val="000000"/>
                <w:sz w:val="18"/>
                <w:szCs w:val="18"/>
              </w:rPr>
              <w:t xml:space="preserve">Non-vertebral fracture, </w:t>
            </w:r>
            <w:r>
              <w:rPr>
                <w:color w:val="000000"/>
                <w:sz w:val="18"/>
                <w:szCs w:val="18"/>
              </w:rPr>
              <w:t>≥1 at 21 MOS:</w:t>
            </w:r>
            <w:r>
              <w:rPr>
                <w:color w:val="000000"/>
                <w:sz w:val="18"/>
                <w:szCs w:val="18"/>
              </w:rPr>
              <w:br/>
              <w:t xml:space="preserve">PTH, 20 mug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Placebo:  6.3%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9.7%</w:t>
            </w:r>
            <w:r>
              <w:rPr>
                <w:color w:val="000000"/>
                <w:sz w:val="18"/>
                <w:szCs w:val="18"/>
              </w:rPr>
              <w:br/>
              <w:t>OR = 0.63 (95% CI 0.40, 0.97)    NNT=28.9 (95% CI 15.0-426.6)</w:t>
            </w:r>
            <w:r>
              <w:rPr>
                <w:color w:val="000000"/>
                <w:sz w:val="18"/>
                <w:szCs w:val="18"/>
              </w:rPr>
              <w:br/>
              <w:t xml:space="preserve">PTH, 40 mug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Placebo:  5.8%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9.7%</w:t>
            </w:r>
            <w:r>
              <w:rPr>
                <w:color w:val="000000"/>
                <w:sz w:val="18"/>
                <w:szCs w:val="18"/>
              </w:rPr>
              <w:br/>
              <w:t>OR = 0.58 (95% CI 0.37, 0.90)    NNT=25.3 (95% CI 14.1-127.9)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  <w:t>Vertebral fracture, ≥1 at 21 MOS:</w:t>
            </w:r>
            <w:r>
              <w:rPr>
                <w:color w:val="000000"/>
                <w:sz w:val="18"/>
                <w:szCs w:val="18"/>
              </w:rPr>
              <w:br/>
              <w:t xml:space="preserve">PTH, 20 mug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Placebo:  5.0%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14.3%</w:t>
            </w:r>
            <w:r>
              <w:rPr>
                <w:color w:val="000000"/>
                <w:sz w:val="18"/>
                <w:szCs w:val="18"/>
              </w:rPr>
              <w:br/>
              <w:t>OR = 0.34 (95% CI 0.22, 0.54)    NNT=10.7 (95% CI 7.6-18.1)</w:t>
            </w:r>
            <w:r>
              <w:rPr>
                <w:color w:val="000000"/>
                <w:sz w:val="18"/>
                <w:szCs w:val="18"/>
              </w:rPr>
              <w:br/>
              <w:t xml:space="preserve">PTH, 40 mug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Placebo:  4.4% </w:t>
            </w:r>
            <w:proofErr w:type="spellStart"/>
            <w:r>
              <w:rPr>
                <w:color w:val="000000"/>
                <w:sz w:val="18"/>
                <w:szCs w:val="18"/>
              </w:rPr>
              <w:t>vs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14.3%</w:t>
            </w:r>
            <w:r>
              <w:rPr>
                <w:color w:val="000000"/>
                <w:sz w:val="18"/>
                <w:szCs w:val="18"/>
              </w:rPr>
              <w:br/>
              <w:t>OR = 0.31 (95% CI 0.20, 0.49)    NNT=10.1 (95% CI 7.3-16.3)</w:t>
            </w:r>
          </w:p>
        </w:tc>
      </w:tr>
    </w:tbl>
    <w:p w:rsidR="00241625" w:rsidRDefault="00241625" w:rsidP="00241625">
      <w:pPr>
        <w:adjustRightInd w:val="0"/>
        <w:spacing w:before="10" w:after="10"/>
        <w:rPr>
          <w:rFonts w:cs="Times"/>
          <w:color w:val="000000"/>
        </w:rPr>
      </w:pPr>
      <w:r>
        <w:rPr>
          <w:rFonts w:cs="Times"/>
          <w:color w:val="000000"/>
        </w:rPr>
        <w:t>AE=Adverse Event, NR=Not Reported</w:t>
      </w:r>
    </w:p>
    <w:sectPr w:rsidR="00241625" w:rsidSect="006A76B8">
      <w:headerReference w:type="default" r:id="rId11"/>
      <w:pgSz w:w="15840" w:h="12240" w:orient="landscape"/>
      <w:pgMar w:top="360" w:right="360" w:bottom="36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0C9" w:rsidRDefault="009A10C9">
      <w:r>
        <w:separator/>
      </w:r>
    </w:p>
    <w:p w:rsidR="009A10C9" w:rsidRDefault="009A10C9"/>
    <w:p w:rsidR="009A10C9" w:rsidRDefault="009A10C9"/>
    <w:p w:rsidR="009A10C9" w:rsidRDefault="009A10C9"/>
    <w:p w:rsidR="009A10C9" w:rsidRDefault="009A10C9"/>
  </w:endnote>
  <w:endnote w:type="continuationSeparator" w:id="0">
    <w:p w:rsidR="009A10C9" w:rsidRDefault="009A10C9">
      <w:r>
        <w:continuationSeparator/>
      </w:r>
    </w:p>
    <w:p w:rsidR="009A10C9" w:rsidRDefault="009A10C9"/>
    <w:p w:rsidR="009A10C9" w:rsidRDefault="009A10C9"/>
    <w:p w:rsidR="009A10C9" w:rsidRDefault="009A10C9"/>
    <w:p w:rsidR="009A10C9" w:rsidRDefault="009A10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F3688C-5E4A-4F19-BA88-3756D74E990E}"/>
    <w:embedBold r:id="rId2" w:fontKey="{810A8464-B5DD-4CAC-A9D1-2EEFD6488FF1}"/>
    <w:embedItalic r:id="rId3" w:fontKey="{48F1E914-ACFE-4BB4-BEC0-0F34346A4AE2}"/>
    <w:embedBoldItalic r:id="rId4" w:fontKey="{86CAAD8C-2695-4C7D-B6AF-7200BF8CD8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1B16F08B-205E-42AC-AB14-2945129789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FBB4BB1-8B88-4172-ABA1-01936443935D}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7" w:fontKey="{B02C8B57-A6C6-4B7F-B7D0-32F33B17B261}"/>
    <w:embedBold r:id="rId8" w:fontKey="{4D4CD2D2-4D05-47DD-8DB4-F747A2030323}"/>
    <w:embedItalic r:id="rId9" w:fontKey="{E827D984-C9E7-4468-9A75-00B306642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339D007-0C29-4547-8A4E-439FE7B8AA90}"/>
    <w:embedBold r:id="rId11" w:fontKey="{39CC26DE-C868-4F50-8BB1-A5F2D72FFFB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2" w:fontKey="{114F32DA-A132-46A3-9251-816619EF91F6}"/>
    <w:embedBold r:id="rId13" w:fontKey="{D5F42469-F7D8-4CB1-BA1C-7DFF66772096}"/>
    <w:embedItalic r:id="rId14" w:fontKey="{4FA0B33D-F6DF-4FB8-8FF4-258442B99AFA}"/>
    <w:embedBoldItalic r:id="rId15" w:fontKey="{519CD617-BA5E-40BB-919F-E1710C4A3A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786B9990-C5C8-4282-B57B-8F9FD182C5CC}"/>
    <w:embedBold r:id="rId17" w:fontKey="{61A48C61-EC97-4C67-B3A6-2430104DA701}"/>
    <w:embedBoldItalic r:id="rId18" w:fontKey="{2DC2C6FC-D33D-4F9E-87F1-9193004336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06624B70-17F7-4ADC-A639-7DC300677C2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0C9" w:rsidRDefault="009A10C9">
      <w:r>
        <w:separator/>
      </w:r>
    </w:p>
    <w:p w:rsidR="009A10C9" w:rsidRDefault="009A10C9"/>
    <w:p w:rsidR="009A10C9" w:rsidRDefault="009A10C9"/>
    <w:p w:rsidR="009A10C9" w:rsidRDefault="009A10C9"/>
    <w:p w:rsidR="009A10C9" w:rsidRDefault="009A10C9"/>
  </w:footnote>
  <w:footnote w:type="continuationSeparator" w:id="0">
    <w:p w:rsidR="009A10C9" w:rsidRDefault="009A10C9">
      <w:r>
        <w:continuationSeparator/>
      </w:r>
    </w:p>
    <w:p w:rsidR="009A10C9" w:rsidRDefault="009A10C9"/>
    <w:p w:rsidR="009A10C9" w:rsidRDefault="009A10C9"/>
    <w:p w:rsidR="009A10C9" w:rsidRDefault="009A10C9"/>
    <w:p w:rsidR="009A10C9" w:rsidRDefault="009A10C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E15DBE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E15DBE" w:rsidRDefault="00E15DBE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C-3. Large Randomized Controlled Trials from Original Report</w:t>
          </w:r>
        </w:p>
      </w:tc>
    </w:tr>
    <w:tr w:rsidR="00E15DBE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E15DBE" w:rsidRDefault="00E15DBE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Bisphosphonates</w:t>
          </w:r>
        </w:p>
      </w:tc>
    </w:tr>
  </w:tbl>
  <w:p w:rsidR="00E15DBE" w:rsidRDefault="00E15DBE">
    <w:pPr>
      <w:adjustRightInd w:val="0"/>
      <w:rPr>
        <w:rFonts w:cs="Times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E15DBE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E15DBE" w:rsidRDefault="00E15DBE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C-3. Large Randomized Controlled Trials from Original Report</w:t>
          </w:r>
        </w:p>
      </w:tc>
    </w:tr>
    <w:tr w:rsidR="00E15DBE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E15DBE" w:rsidRDefault="00E15DBE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SERMs</w:t>
          </w:r>
        </w:p>
      </w:tc>
    </w:tr>
  </w:tbl>
  <w:p w:rsidR="00E15DBE" w:rsidRDefault="00E15DBE">
    <w:pPr>
      <w:adjustRightInd w:val="0"/>
      <w:rPr>
        <w:rFonts w:cs="Times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120"/>
    </w:tblGrid>
    <w:tr w:rsidR="001C7CC9" w:rsidTr="001E1342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1C7CC9" w:rsidRDefault="001C7CC9" w:rsidP="001E1342">
          <w:pPr>
            <w:keepNext/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Evidence Table C-3. Large Randomized Controlled Trials from Original Report</w:t>
          </w:r>
        </w:p>
      </w:tc>
    </w:tr>
    <w:tr w:rsidR="001C7CC9" w:rsidTr="001E1342">
      <w:trPr>
        <w:cantSplit/>
      </w:trPr>
      <w:tc>
        <w:tcPr>
          <w:tcW w:w="1512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:rsidR="001C7CC9" w:rsidRDefault="001C7CC9" w:rsidP="001E1342">
          <w:pPr>
            <w:adjustRightInd w:val="0"/>
            <w:spacing w:before="10" w:after="10"/>
            <w:rPr>
              <w:rFonts w:cs="Times"/>
              <w:color w:val="000000"/>
            </w:rPr>
          </w:pPr>
          <w:r>
            <w:rPr>
              <w:rFonts w:cs="Times"/>
              <w:color w:val="000000"/>
            </w:rPr>
            <w:t>Parathyroid hormone</w:t>
          </w:r>
        </w:p>
      </w:tc>
    </w:tr>
  </w:tbl>
  <w:p w:rsidR="00E15DBE" w:rsidRDefault="00E15DBE">
    <w:pPr>
      <w:adjustRightInd w:val="0"/>
      <w:rPr>
        <w:rFonts w:cs="Times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"/>
      </v:shape>
    </w:pict>
  </w:numPicBullet>
  <w:abstractNum w:abstractNumId="0">
    <w:nsid w:val="FFFFFF7C"/>
    <w:multiLevelType w:val="singleLevel"/>
    <w:tmpl w:val="164A7A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644896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277037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5694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469C37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86D55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5A0C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44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3E0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8664D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31062"/>
    <w:multiLevelType w:val="hybridMultilevel"/>
    <w:tmpl w:val="83FCDA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30870FE"/>
    <w:multiLevelType w:val="multilevel"/>
    <w:tmpl w:val="80AA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54B3788"/>
    <w:multiLevelType w:val="multilevel"/>
    <w:tmpl w:val="39A62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6521E9B"/>
    <w:multiLevelType w:val="hybridMultilevel"/>
    <w:tmpl w:val="119832B8"/>
    <w:lvl w:ilvl="0" w:tplc="D8F610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4C132B"/>
    <w:multiLevelType w:val="hybridMultilevel"/>
    <w:tmpl w:val="39A6269A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98B38DD"/>
    <w:multiLevelType w:val="hybridMultilevel"/>
    <w:tmpl w:val="88328426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E2853EF"/>
    <w:multiLevelType w:val="hybridMultilevel"/>
    <w:tmpl w:val="B4F010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1715E88"/>
    <w:multiLevelType w:val="hybridMultilevel"/>
    <w:tmpl w:val="3E548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BB720B"/>
    <w:multiLevelType w:val="multilevel"/>
    <w:tmpl w:val="39A62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0209A4"/>
    <w:multiLevelType w:val="multilevel"/>
    <w:tmpl w:val="80AA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1421E83"/>
    <w:multiLevelType w:val="hybridMultilevel"/>
    <w:tmpl w:val="87F89D22"/>
    <w:lvl w:ilvl="0" w:tplc="EC0642C0">
      <w:start w:val="1"/>
      <w:numFmt w:val="decimal"/>
      <w:pStyle w:val="Studies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7E22DB"/>
    <w:multiLevelType w:val="hybridMultilevel"/>
    <w:tmpl w:val="A6A0BC7A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BA1228">
      <w:start w:val="1"/>
      <w:numFmt w:val="bullet"/>
      <w:lvlText w:val="o"/>
      <w:lvlJc w:val="left"/>
      <w:pPr>
        <w:tabs>
          <w:tab w:val="num" w:pos="2347"/>
        </w:tabs>
        <w:ind w:left="2347" w:hanging="367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21379CA"/>
    <w:multiLevelType w:val="hybridMultilevel"/>
    <w:tmpl w:val="15AE2136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BA1228">
      <w:start w:val="1"/>
      <w:numFmt w:val="bullet"/>
      <w:lvlText w:val="o"/>
      <w:lvlJc w:val="left"/>
      <w:pPr>
        <w:tabs>
          <w:tab w:val="num" w:pos="2347"/>
        </w:tabs>
        <w:ind w:left="2347" w:hanging="367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2BA6E5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230C3DCE"/>
    <w:multiLevelType w:val="hybridMultilevel"/>
    <w:tmpl w:val="7F402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5A611B"/>
    <w:multiLevelType w:val="hybridMultilevel"/>
    <w:tmpl w:val="0E3EBD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7E40F79"/>
    <w:multiLevelType w:val="hybridMultilevel"/>
    <w:tmpl w:val="7E120A0A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C904427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ED20FD"/>
    <w:multiLevelType w:val="hybridMultilevel"/>
    <w:tmpl w:val="8342DC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E767755"/>
    <w:multiLevelType w:val="hybridMultilevel"/>
    <w:tmpl w:val="99A26C72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02769A3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29522AB"/>
    <w:multiLevelType w:val="multilevel"/>
    <w:tmpl w:val="6AFEF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2DB1730"/>
    <w:multiLevelType w:val="hybridMultilevel"/>
    <w:tmpl w:val="A9549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AB3434"/>
    <w:multiLevelType w:val="multilevel"/>
    <w:tmpl w:val="80AA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D5B6CB1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16F6083"/>
    <w:multiLevelType w:val="hybridMultilevel"/>
    <w:tmpl w:val="528EACFC"/>
    <w:lvl w:ilvl="0" w:tplc="6B58992C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92C9C8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A81DE5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7702222"/>
    <w:multiLevelType w:val="hybridMultilevel"/>
    <w:tmpl w:val="6AFEF3BE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862686B"/>
    <w:multiLevelType w:val="hybridMultilevel"/>
    <w:tmpl w:val="1DC8E712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BA1228">
      <w:start w:val="1"/>
      <w:numFmt w:val="bullet"/>
      <w:lvlText w:val="o"/>
      <w:lvlJc w:val="left"/>
      <w:pPr>
        <w:tabs>
          <w:tab w:val="num" w:pos="2347"/>
        </w:tabs>
        <w:ind w:left="2347" w:hanging="367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92649E3"/>
    <w:multiLevelType w:val="hybridMultilevel"/>
    <w:tmpl w:val="9BA6BC0A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DDC7FB9"/>
    <w:multiLevelType w:val="hybridMultilevel"/>
    <w:tmpl w:val="6A5E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093292"/>
    <w:multiLevelType w:val="multilevel"/>
    <w:tmpl w:val="88328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3F5B77"/>
    <w:multiLevelType w:val="hybridMultilevel"/>
    <w:tmpl w:val="80AA988C"/>
    <w:lvl w:ilvl="0" w:tplc="279AA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422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6F354D8"/>
    <w:multiLevelType w:val="hybridMultilevel"/>
    <w:tmpl w:val="6FDCD17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47451B5"/>
    <w:multiLevelType w:val="hybridMultilevel"/>
    <w:tmpl w:val="85A46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C692CF8"/>
    <w:multiLevelType w:val="multilevel"/>
    <w:tmpl w:val="99A26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5E5B66"/>
    <w:multiLevelType w:val="multilevel"/>
    <w:tmpl w:val="9BA6B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25"/>
  </w:num>
  <w:num w:numId="4">
    <w:abstractNumId w:val="43"/>
  </w:num>
  <w:num w:numId="5">
    <w:abstractNumId w:val="44"/>
  </w:num>
  <w:num w:numId="6">
    <w:abstractNumId w:val="39"/>
  </w:num>
  <w:num w:numId="7">
    <w:abstractNumId w:val="26"/>
  </w:num>
  <w:num w:numId="8">
    <w:abstractNumId w:val="42"/>
  </w:num>
  <w:num w:numId="9">
    <w:abstractNumId w:val="21"/>
  </w:num>
  <w:num w:numId="10">
    <w:abstractNumId w:val="22"/>
  </w:num>
  <w:num w:numId="11">
    <w:abstractNumId w:val="38"/>
  </w:num>
  <w:num w:numId="12">
    <w:abstractNumId w:val="40"/>
  </w:num>
  <w:num w:numId="13">
    <w:abstractNumId w:val="24"/>
  </w:num>
  <w:num w:numId="14">
    <w:abstractNumId w:val="13"/>
  </w:num>
  <w:num w:numId="15">
    <w:abstractNumId w:val="10"/>
  </w:num>
  <w:num w:numId="16">
    <w:abstractNumId w:val="35"/>
  </w:num>
  <w:num w:numId="17">
    <w:abstractNumId w:val="35"/>
  </w:num>
  <w:num w:numId="18">
    <w:abstractNumId w:val="20"/>
  </w:num>
  <w:num w:numId="19">
    <w:abstractNumId w:val="16"/>
  </w:num>
  <w:num w:numId="20">
    <w:abstractNumId w:val="28"/>
  </w:num>
  <w:num w:numId="21">
    <w:abstractNumId w:val="32"/>
  </w:num>
  <w:num w:numId="22">
    <w:abstractNumId w:val="17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5"/>
  </w:num>
  <w:num w:numId="34">
    <w:abstractNumId w:val="37"/>
  </w:num>
  <w:num w:numId="35">
    <w:abstractNumId w:val="41"/>
  </w:num>
  <w:num w:numId="36">
    <w:abstractNumId w:val="31"/>
  </w:num>
  <w:num w:numId="37">
    <w:abstractNumId w:val="30"/>
  </w:num>
  <w:num w:numId="38">
    <w:abstractNumId w:val="46"/>
  </w:num>
  <w:num w:numId="39">
    <w:abstractNumId w:val="45"/>
  </w:num>
  <w:num w:numId="40">
    <w:abstractNumId w:val="11"/>
  </w:num>
  <w:num w:numId="41">
    <w:abstractNumId w:val="34"/>
  </w:num>
  <w:num w:numId="42">
    <w:abstractNumId w:val="14"/>
  </w:num>
  <w:num w:numId="43">
    <w:abstractNumId w:val="33"/>
  </w:num>
  <w:num w:numId="44">
    <w:abstractNumId w:val="18"/>
  </w:num>
  <w:num w:numId="45">
    <w:abstractNumId w:val="19"/>
  </w:num>
  <w:num w:numId="46">
    <w:abstractNumId w:val="12"/>
  </w:num>
  <w:num w:numId="47">
    <w:abstractNumId w:val="36"/>
  </w:num>
  <w:num w:numId="48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AHRQ Style_3-9-2011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LBD 2 update report 091610.enl&lt;/item&gt;&lt;item&gt;Background with different ids.enl&lt;/item&gt;&lt;/Libraries&gt;&lt;/ENLibraries&gt;"/>
  </w:docVars>
  <w:rsids>
    <w:rsidRoot w:val="00E1059A"/>
    <w:rsid w:val="000005E0"/>
    <w:rsid w:val="00000BAA"/>
    <w:rsid w:val="000028CE"/>
    <w:rsid w:val="00002A28"/>
    <w:rsid w:val="00002D74"/>
    <w:rsid w:val="00003D80"/>
    <w:rsid w:val="00004CE9"/>
    <w:rsid w:val="00004D16"/>
    <w:rsid w:val="00004DB5"/>
    <w:rsid w:val="000053A1"/>
    <w:rsid w:val="00010FCD"/>
    <w:rsid w:val="000110E8"/>
    <w:rsid w:val="0001169F"/>
    <w:rsid w:val="00011F9E"/>
    <w:rsid w:val="0001294A"/>
    <w:rsid w:val="00013B90"/>
    <w:rsid w:val="00013EAE"/>
    <w:rsid w:val="00013F65"/>
    <w:rsid w:val="0001434E"/>
    <w:rsid w:val="00015005"/>
    <w:rsid w:val="000157C5"/>
    <w:rsid w:val="00015922"/>
    <w:rsid w:val="000167D2"/>
    <w:rsid w:val="0001755F"/>
    <w:rsid w:val="00017F5D"/>
    <w:rsid w:val="00020356"/>
    <w:rsid w:val="0002060F"/>
    <w:rsid w:val="00020931"/>
    <w:rsid w:val="00020BF8"/>
    <w:rsid w:val="00021D61"/>
    <w:rsid w:val="00022EFD"/>
    <w:rsid w:val="00022F76"/>
    <w:rsid w:val="00023888"/>
    <w:rsid w:val="00024802"/>
    <w:rsid w:val="00024DBA"/>
    <w:rsid w:val="000259D9"/>
    <w:rsid w:val="00025C96"/>
    <w:rsid w:val="00026DEC"/>
    <w:rsid w:val="00026F6C"/>
    <w:rsid w:val="00027A44"/>
    <w:rsid w:val="000306AD"/>
    <w:rsid w:val="00031460"/>
    <w:rsid w:val="00033F94"/>
    <w:rsid w:val="00034484"/>
    <w:rsid w:val="000346DF"/>
    <w:rsid w:val="00034770"/>
    <w:rsid w:val="0003558E"/>
    <w:rsid w:val="00035CF8"/>
    <w:rsid w:val="00036DB1"/>
    <w:rsid w:val="00036DD7"/>
    <w:rsid w:val="00040A2A"/>
    <w:rsid w:val="00042212"/>
    <w:rsid w:val="000437F6"/>
    <w:rsid w:val="00043A9A"/>
    <w:rsid w:val="00045385"/>
    <w:rsid w:val="00046769"/>
    <w:rsid w:val="000467CB"/>
    <w:rsid w:val="00046E99"/>
    <w:rsid w:val="00047200"/>
    <w:rsid w:val="00047242"/>
    <w:rsid w:val="000476FB"/>
    <w:rsid w:val="00047AF5"/>
    <w:rsid w:val="00051038"/>
    <w:rsid w:val="000514C5"/>
    <w:rsid w:val="00051B3C"/>
    <w:rsid w:val="00052115"/>
    <w:rsid w:val="00052E96"/>
    <w:rsid w:val="00053256"/>
    <w:rsid w:val="000540F2"/>
    <w:rsid w:val="0005535B"/>
    <w:rsid w:val="00056AD3"/>
    <w:rsid w:val="0005731B"/>
    <w:rsid w:val="00060014"/>
    <w:rsid w:val="0006030D"/>
    <w:rsid w:val="000655FF"/>
    <w:rsid w:val="0006692B"/>
    <w:rsid w:val="00067284"/>
    <w:rsid w:val="00071161"/>
    <w:rsid w:val="000721A0"/>
    <w:rsid w:val="00072787"/>
    <w:rsid w:val="00072A2D"/>
    <w:rsid w:val="00073B98"/>
    <w:rsid w:val="00075FC1"/>
    <w:rsid w:val="00076836"/>
    <w:rsid w:val="00076DEE"/>
    <w:rsid w:val="000772B0"/>
    <w:rsid w:val="00077CA4"/>
    <w:rsid w:val="00080022"/>
    <w:rsid w:val="0008195A"/>
    <w:rsid w:val="00083A8D"/>
    <w:rsid w:val="00083BBC"/>
    <w:rsid w:val="00083E7A"/>
    <w:rsid w:val="000867EC"/>
    <w:rsid w:val="00086FAD"/>
    <w:rsid w:val="00087D90"/>
    <w:rsid w:val="000902D6"/>
    <w:rsid w:val="000921B4"/>
    <w:rsid w:val="000933EE"/>
    <w:rsid w:val="00093532"/>
    <w:rsid w:val="000937C7"/>
    <w:rsid w:val="00093E65"/>
    <w:rsid w:val="00095E6E"/>
    <w:rsid w:val="00096929"/>
    <w:rsid w:val="000A092C"/>
    <w:rsid w:val="000A0CF6"/>
    <w:rsid w:val="000A0F67"/>
    <w:rsid w:val="000A4467"/>
    <w:rsid w:val="000A6147"/>
    <w:rsid w:val="000A6377"/>
    <w:rsid w:val="000A672F"/>
    <w:rsid w:val="000A73C2"/>
    <w:rsid w:val="000B0163"/>
    <w:rsid w:val="000B01A0"/>
    <w:rsid w:val="000B01BD"/>
    <w:rsid w:val="000B0CCE"/>
    <w:rsid w:val="000B15DA"/>
    <w:rsid w:val="000B16D6"/>
    <w:rsid w:val="000B2B6C"/>
    <w:rsid w:val="000B2D11"/>
    <w:rsid w:val="000B5337"/>
    <w:rsid w:val="000B5B19"/>
    <w:rsid w:val="000B79EA"/>
    <w:rsid w:val="000C0533"/>
    <w:rsid w:val="000C1D3D"/>
    <w:rsid w:val="000C3FA8"/>
    <w:rsid w:val="000C4C4D"/>
    <w:rsid w:val="000C5CF6"/>
    <w:rsid w:val="000C70BF"/>
    <w:rsid w:val="000D00AE"/>
    <w:rsid w:val="000D1DCB"/>
    <w:rsid w:val="000D21F8"/>
    <w:rsid w:val="000D2449"/>
    <w:rsid w:val="000D3112"/>
    <w:rsid w:val="000D5AC9"/>
    <w:rsid w:val="000D5EEA"/>
    <w:rsid w:val="000D5F6F"/>
    <w:rsid w:val="000D6CD9"/>
    <w:rsid w:val="000D75D8"/>
    <w:rsid w:val="000D7837"/>
    <w:rsid w:val="000D7902"/>
    <w:rsid w:val="000E0685"/>
    <w:rsid w:val="000E09F2"/>
    <w:rsid w:val="000E0E9A"/>
    <w:rsid w:val="000E1884"/>
    <w:rsid w:val="000E2A05"/>
    <w:rsid w:val="000E30E1"/>
    <w:rsid w:val="000E3A6C"/>
    <w:rsid w:val="000E4E2D"/>
    <w:rsid w:val="000E4EA0"/>
    <w:rsid w:val="000F051A"/>
    <w:rsid w:val="000F18A5"/>
    <w:rsid w:val="000F1BD8"/>
    <w:rsid w:val="000F20EC"/>
    <w:rsid w:val="000F420C"/>
    <w:rsid w:val="000F4654"/>
    <w:rsid w:val="000F540C"/>
    <w:rsid w:val="000F59E5"/>
    <w:rsid w:val="000F6E94"/>
    <w:rsid w:val="001001EA"/>
    <w:rsid w:val="00101548"/>
    <w:rsid w:val="0010232E"/>
    <w:rsid w:val="001023C9"/>
    <w:rsid w:val="0010344F"/>
    <w:rsid w:val="001044A1"/>
    <w:rsid w:val="001045C8"/>
    <w:rsid w:val="001045E5"/>
    <w:rsid w:val="001047BF"/>
    <w:rsid w:val="00104C04"/>
    <w:rsid w:val="001057D0"/>
    <w:rsid w:val="00105820"/>
    <w:rsid w:val="00106447"/>
    <w:rsid w:val="001064CB"/>
    <w:rsid w:val="001103B0"/>
    <w:rsid w:val="00110850"/>
    <w:rsid w:val="00110C38"/>
    <w:rsid w:val="00111003"/>
    <w:rsid w:val="00111B4A"/>
    <w:rsid w:val="0011230C"/>
    <w:rsid w:val="001139FB"/>
    <w:rsid w:val="00114A9A"/>
    <w:rsid w:val="00114BFF"/>
    <w:rsid w:val="00116378"/>
    <w:rsid w:val="001205FF"/>
    <w:rsid w:val="0012128C"/>
    <w:rsid w:val="0012153A"/>
    <w:rsid w:val="001218BC"/>
    <w:rsid w:val="001230AF"/>
    <w:rsid w:val="001240A5"/>
    <w:rsid w:val="00124DA9"/>
    <w:rsid w:val="001274D2"/>
    <w:rsid w:val="0012799D"/>
    <w:rsid w:val="00130CEC"/>
    <w:rsid w:val="00130FF5"/>
    <w:rsid w:val="00132126"/>
    <w:rsid w:val="0013388C"/>
    <w:rsid w:val="00134718"/>
    <w:rsid w:val="00134E05"/>
    <w:rsid w:val="00135DEC"/>
    <w:rsid w:val="001370F2"/>
    <w:rsid w:val="00137383"/>
    <w:rsid w:val="001379E7"/>
    <w:rsid w:val="00137CB1"/>
    <w:rsid w:val="00137D45"/>
    <w:rsid w:val="00140927"/>
    <w:rsid w:val="00140BF5"/>
    <w:rsid w:val="001416B8"/>
    <w:rsid w:val="001423C0"/>
    <w:rsid w:val="00142FC0"/>
    <w:rsid w:val="001434AC"/>
    <w:rsid w:val="00143ECD"/>
    <w:rsid w:val="00146CE3"/>
    <w:rsid w:val="00147DD9"/>
    <w:rsid w:val="00150585"/>
    <w:rsid w:val="00151CAE"/>
    <w:rsid w:val="00152F7C"/>
    <w:rsid w:val="00153033"/>
    <w:rsid w:val="0015422E"/>
    <w:rsid w:val="00155642"/>
    <w:rsid w:val="00156C75"/>
    <w:rsid w:val="0015750A"/>
    <w:rsid w:val="00160D5F"/>
    <w:rsid w:val="0016153A"/>
    <w:rsid w:val="00161752"/>
    <w:rsid w:val="00161BC4"/>
    <w:rsid w:val="00162761"/>
    <w:rsid w:val="0016306F"/>
    <w:rsid w:val="001638DE"/>
    <w:rsid w:val="00163A17"/>
    <w:rsid w:val="00163D32"/>
    <w:rsid w:val="00165B65"/>
    <w:rsid w:val="0016616E"/>
    <w:rsid w:val="001665A8"/>
    <w:rsid w:val="001667CD"/>
    <w:rsid w:val="0016726A"/>
    <w:rsid w:val="00167686"/>
    <w:rsid w:val="00167A98"/>
    <w:rsid w:val="00167DC4"/>
    <w:rsid w:val="0017113C"/>
    <w:rsid w:val="0017133F"/>
    <w:rsid w:val="0017180C"/>
    <w:rsid w:val="00171D7F"/>
    <w:rsid w:val="001737C8"/>
    <w:rsid w:val="00174CF1"/>
    <w:rsid w:val="001768D2"/>
    <w:rsid w:val="00177275"/>
    <w:rsid w:val="001778C9"/>
    <w:rsid w:val="00177ED2"/>
    <w:rsid w:val="00177FE0"/>
    <w:rsid w:val="00180CDC"/>
    <w:rsid w:val="001810B1"/>
    <w:rsid w:val="00181115"/>
    <w:rsid w:val="001815EF"/>
    <w:rsid w:val="00181F36"/>
    <w:rsid w:val="001823FA"/>
    <w:rsid w:val="0018484B"/>
    <w:rsid w:val="00184900"/>
    <w:rsid w:val="00184A94"/>
    <w:rsid w:val="001869E5"/>
    <w:rsid w:val="00186F58"/>
    <w:rsid w:val="00187090"/>
    <w:rsid w:val="0018772B"/>
    <w:rsid w:val="00190D69"/>
    <w:rsid w:val="0019134C"/>
    <w:rsid w:val="0019205F"/>
    <w:rsid w:val="00192967"/>
    <w:rsid w:val="00192B0F"/>
    <w:rsid w:val="00193748"/>
    <w:rsid w:val="0019484D"/>
    <w:rsid w:val="001A0413"/>
    <w:rsid w:val="001A0D4B"/>
    <w:rsid w:val="001A0EF9"/>
    <w:rsid w:val="001A2BD6"/>
    <w:rsid w:val="001A2E61"/>
    <w:rsid w:val="001A4604"/>
    <w:rsid w:val="001A638E"/>
    <w:rsid w:val="001A674C"/>
    <w:rsid w:val="001A68DE"/>
    <w:rsid w:val="001B033B"/>
    <w:rsid w:val="001B1519"/>
    <w:rsid w:val="001B1ACD"/>
    <w:rsid w:val="001B2F8F"/>
    <w:rsid w:val="001B3124"/>
    <w:rsid w:val="001B554B"/>
    <w:rsid w:val="001B5AED"/>
    <w:rsid w:val="001B64D4"/>
    <w:rsid w:val="001B6D9F"/>
    <w:rsid w:val="001C0CDF"/>
    <w:rsid w:val="001C1000"/>
    <w:rsid w:val="001C101A"/>
    <w:rsid w:val="001C1514"/>
    <w:rsid w:val="001C2991"/>
    <w:rsid w:val="001C4E36"/>
    <w:rsid w:val="001C5733"/>
    <w:rsid w:val="001C582F"/>
    <w:rsid w:val="001C6BCC"/>
    <w:rsid w:val="001C6DAB"/>
    <w:rsid w:val="001C7CC9"/>
    <w:rsid w:val="001C7DF4"/>
    <w:rsid w:val="001D03CB"/>
    <w:rsid w:val="001D0AC8"/>
    <w:rsid w:val="001D0CB4"/>
    <w:rsid w:val="001D1AE4"/>
    <w:rsid w:val="001D1C98"/>
    <w:rsid w:val="001D20C4"/>
    <w:rsid w:val="001D2DE3"/>
    <w:rsid w:val="001D3A5F"/>
    <w:rsid w:val="001D5026"/>
    <w:rsid w:val="001D51C5"/>
    <w:rsid w:val="001D5460"/>
    <w:rsid w:val="001D54CC"/>
    <w:rsid w:val="001D5A8F"/>
    <w:rsid w:val="001D5CBA"/>
    <w:rsid w:val="001D7124"/>
    <w:rsid w:val="001E0257"/>
    <w:rsid w:val="001E1DB4"/>
    <w:rsid w:val="001E2E7E"/>
    <w:rsid w:val="001E3184"/>
    <w:rsid w:val="001E3EE5"/>
    <w:rsid w:val="001E4953"/>
    <w:rsid w:val="001E4BCD"/>
    <w:rsid w:val="001E5184"/>
    <w:rsid w:val="001E7365"/>
    <w:rsid w:val="001E73DC"/>
    <w:rsid w:val="001E77E8"/>
    <w:rsid w:val="001F0A3F"/>
    <w:rsid w:val="001F0FAE"/>
    <w:rsid w:val="001F1822"/>
    <w:rsid w:val="001F3240"/>
    <w:rsid w:val="001F332B"/>
    <w:rsid w:val="001F4C49"/>
    <w:rsid w:val="001F661D"/>
    <w:rsid w:val="001F72B2"/>
    <w:rsid w:val="001F7F0F"/>
    <w:rsid w:val="00201B13"/>
    <w:rsid w:val="00202904"/>
    <w:rsid w:val="00203A46"/>
    <w:rsid w:val="00203F63"/>
    <w:rsid w:val="002042EB"/>
    <w:rsid w:val="002048D8"/>
    <w:rsid w:val="00205861"/>
    <w:rsid w:val="00205D6E"/>
    <w:rsid w:val="0021067A"/>
    <w:rsid w:val="00210AE9"/>
    <w:rsid w:val="00211514"/>
    <w:rsid w:val="002125E3"/>
    <w:rsid w:val="00212D4C"/>
    <w:rsid w:val="002137A8"/>
    <w:rsid w:val="00214D48"/>
    <w:rsid w:val="00215F58"/>
    <w:rsid w:val="00217468"/>
    <w:rsid w:val="002174AA"/>
    <w:rsid w:val="00217CDB"/>
    <w:rsid w:val="00223716"/>
    <w:rsid w:val="00223A7C"/>
    <w:rsid w:val="00223AE5"/>
    <w:rsid w:val="002242B0"/>
    <w:rsid w:val="002265C0"/>
    <w:rsid w:val="002267C2"/>
    <w:rsid w:val="002267DA"/>
    <w:rsid w:val="00226CD0"/>
    <w:rsid w:val="00226F8C"/>
    <w:rsid w:val="0022780C"/>
    <w:rsid w:val="00227D8C"/>
    <w:rsid w:val="00230226"/>
    <w:rsid w:val="00231EF1"/>
    <w:rsid w:val="002322E7"/>
    <w:rsid w:val="002333DD"/>
    <w:rsid w:val="00234930"/>
    <w:rsid w:val="002353FE"/>
    <w:rsid w:val="00235A19"/>
    <w:rsid w:val="002363F6"/>
    <w:rsid w:val="00240412"/>
    <w:rsid w:val="002413CA"/>
    <w:rsid w:val="00241625"/>
    <w:rsid w:val="002435B1"/>
    <w:rsid w:val="00245235"/>
    <w:rsid w:val="002455E2"/>
    <w:rsid w:val="00246B9D"/>
    <w:rsid w:val="00246F11"/>
    <w:rsid w:val="0024720E"/>
    <w:rsid w:val="00247538"/>
    <w:rsid w:val="0025121A"/>
    <w:rsid w:val="0025169F"/>
    <w:rsid w:val="0025241E"/>
    <w:rsid w:val="0025344C"/>
    <w:rsid w:val="00255805"/>
    <w:rsid w:val="00255A52"/>
    <w:rsid w:val="002568F9"/>
    <w:rsid w:val="002573A1"/>
    <w:rsid w:val="00257FD3"/>
    <w:rsid w:val="00260B05"/>
    <w:rsid w:val="002623EF"/>
    <w:rsid w:val="00262C58"/>
    <w:rsid w:val="002632EA"/>
    <w:rsid w:val="00264A2E"/>
    <w:rsid w:val="002657F0"/>
    <w:rsid w:val="00265D70"/>
    <w:rsid w:val="002679AB"/>
    <w:rsid w:val="0027110C"/>
    <w:rsid w:val="00271227"/>
    <w:rsid w:val="002713C2"/>
    <w:rsid w:val="00275529"/>
    <w:rsid w:val="002758E0"/>
    <w:rsid w:val="002761B8"/>
    <w:rsid w:val="002762DF"/>
    <w:rsid w:val="002765B1"/>
    <w:rsid w:val="00277A8B"/>
    <w:rsid w:val="00277C6D"/>
    <w:rsid w:val="0028130D"/>
    <w:rsid w:val="00281EB2"/>
    <w:rsid w:val="00282590"/>
    <w:rsid w:val="00283146"/>
    <w:rsid w:val="00283C83"/>
    <w:rsid w:val="00283CEA"/>
    <w:rsid w:val="00283FC7"/>
    <w:rsid w:val="002858FE"/>
    <w:rsid w:val="0028622A"/>
    <w:rsid w:val="00286273"/>
    <w:rsid w:val="002877F6"/>
    <w:rsid w:val="00290A9A"/>
    <w:rsid w:val="00290C43"/>
    <w:rsid w:val="00291E62"/>
    <w:rsid w:val="00292568"/>
    <w:rsid w:val="00292D40"/>
    <w:rsid w:val="002956B9"/>
    <w:rsid w:val="00295E07"/>
    <w:rsid w:val="002968DD"/>
    <w:rsid w:val="00297E4B"/>
    <w:rsid w:val="002A01BD"/>
    <w:rsid w:val="002A12A3"/>
    <w:rsid w:val="002A14C6"/>
    <w:rsid w:val="002A20E7"/>
    <w:rsid w:val="002A28F4"/>
    <w:rsid w:val="002A3477"/>
    <w:rsid w:val="002A4686"/>
    <w:rsid w:val="002A4D6F"/>
    <w:rsid w:val="002A4E11"/>
    <w:rsid w:val="002A7236"/>
    <w:rsid w:val="002A7AF2"/>
    <w:rsid w:val="002B27ED"/>
    <w:rsid w:val="002B4CAA"/>
    <w:rsid w:val="002B6060"/>
    <w:rsid w:val="002B6540"/>
    <w:rsid w:val="002C0424"/>
    <w:rsid w:val="002C056F"/>
    <w:rsid w:val="002C1549"/>
    <w:rsid w:val="002C257B"/>
    <w:rsid w:val="002C3E85"/>
    <w:rsid w:val="002C65FA"/>
    <w:rsid w:val="002C72B2"/>
    <w:rsid w:val="002C7EC4"/>
    <w:rsid w:val="002D04E5"/>
    <w:rsid w:val="002D0A2D"/>
    <w:rsid w:val="002D0D40"/>
    <w:rsid w:val="002D18A0"/>
    <w:rsid w:val="002D1C50"/>
    <w:rsid w:val="002D3D37"/>
    <w:rsid w:val="002D42F5"/>
    <w:rsid w:val="002D51B6"/>
    <w:rsid w:val="002D51D6"/>
    <w:rsid w:val="002D52B6"/>
    <w:rsid w:val="002D5858"/>
    <w:rsid w:val="002D72D9"/>
    <w:rsid w:val="002D7AA0"/>
    <w:rsid w:val="002D7C2B"/>
    <w:rsid w:val="002E05E1"/>
    <w:rsid w:val="002E1575"/>
    <w:rsid w:val="002E2CC6"/>
    <w:rsid w:val="002E30BA"/>
    <w:rsid w:val="002E32CA"/>
    <w:rsid w:val="002E3C43"/>
    <w:rsid w:val="002E53AA"/>
    <w:rsid w:val="002E5BBA"/>
    <w:rsid w:val="002E6C8D"/>
    <w:rsid w:val="002E7165"/>
    <w:rsid w:val="002F15E1"/>
    <w:rsid w:val="002F1B82"/>
    <w:rsid w:val="002F2058"/>
    <w:rsid w:val="002F3506"/>
    <w:rsid w:val="002F41EF"/>
    <w:rsid w:val="002F5C17"/>
    <w:rsid w:val="002F5ED7"/>
    <w:rsid w:val="0030108E"/>
    <w:rsid w:val="003012B5"/>
    <w:rsid w:val="00301481"/>
    <w:rsid w:val="00301A71"/>
    <w:rsid w:val="00301B55"/>
    <w:rsid w:val="00302548"/>
    <w:rsid w:val="003039C3"/>
    <w:rsid w:val="00304F51"/>
    <w:rsid w:val="003067A5"/>
    <w:rsid w:val="00306998"/>
    <w:rsid w:val="00311414"/>
    <w:rsid w:val="00311677"/>
    <w:rsid w:val="00311B17"/>
    <w:rsid w:val="00312351"/>
    <w:rsid w:val="003129DB"/>
    <w:rsid w:val="003151C5"/>
    <w:rsid w:val="003154C1"/>
    <w:rsid w:val="00315B83"/>
    <w:rsid w:val="003160D4"/>
    <w:rsid w:val="0031618B"/>
    <w:rsid w:val="00316D06"/>
    <w:rsid w:val="00317CC9"/>
    <w:rsid w:val="0032042F"/>
    <w:rsid w:val="0032223E"/>
    <w:rsid w:val="0032420C"/>
    <w:rsid w:val="00330965"/>
    <w:rsid w:val="003322CC"/>
    <w:rsid w:val="003336E5"/>
    <w:rsid w:val="0033372D"/>
    <w:rsid w:val="003339A9"/>
    <w:rsid w:val="00333BBC"/>
    <w:rsid w:val="00336795"/>
    <w:rsid w:val="00336D4D"/>
    <w:rsid w:val="00337C72"/>
    <w:rsid w:val="00337EA0"/>
    <w:rsid w:val="0034129A"/>
    <w:rsid w:val="00341730"/>
    <w:rsid w:val="00342183"/>
    <w:rsid w:val="00343991"/>
    <w:rsid w:val="00344A94"/>
    <w:rsid w:val="003459AA"/>
    <w:rsid w:val="00345CAA"/>
    <w:rsid w:val="00345FB2"/>
    <w:rsid w:val="0034601C"/>
    <w:rsid w:val="00347BC9"/>
    <w:rsid w:val="00351FE6"/>
    <w:rsid w:val="0035268D"/>
    <w:rsid w:val="00352B06"/>
    <w:rsid w:val="00352CA2"/>
    <w:rsid w:val="00353B18"/>
    <w:rsid w:val="00353C0D"/>
    <w:rsid w:val="00355AD6"/>
    <w:rsid w:val="00355BA3"/>
    <w:rsid w:val="003565BF"/>
    <w:rsid w:val="00356897"/>
    <w:rsid w:val="00356F0B"/>
    <w:rsid w:val="003570FA"/>
    <w:rsid w:val="003578F3"/>
    <w:rsid w:val="00357E95"/>
    <w:rsid w:val="00360822"/>
    <w:rsid w:val="00360C41"/>
    <w:rsid w:val="00361315"/>
    <w:rsid w:val="00361F31"/>
    <w:rsid w:val="00362DD7"/>
    <w:rsid w:val="00363AF0"/>
    <w:rsid w:val="0036494F"/>
    <w:rsid w:val="00364A20"/>
    <w:rsid w:val="0036544D"/>
    <w:rsid w:val="00365617"/>
    <w:rsid w:val="00367367"/>
    <w:rsid w:val="00370E44"/>
    <w:rsid w:val="003715D8"/>
    <w:rsid w:val="00371E54"/>
    <w:rsid w:val="003724DC"/>
    <w:rsid w:val="00373260"/>
    <w:rsid w:val="00373CD9"/>
    <w:rsid w:val="00374E4A"/>
    <w:rsid w:val="0037531A"/>
    <w:rsid w:val="00375C5A"/>
    <w:rsid w:val="00376155"/>
    <w:rsid w:val="00376D35"/>
    <w:rsid w:val="0037709B"/>
    <w:rsid w:val="003774C2"/>
    <w:rsid w:val="00380149"/>
    <w:rsid w:val="0038053B"/>
    <w:rsid w:val="003808A5"/>
    <w:rsid w:val="003813D1"/>
    <w:rsid w:val="00381DC3"/>
    <w:rsid w:val="00384800"/>
    <w:rsid w:val="003855DE"/>
    <w:rsid w:val="00386928"/>
    <w:rsid w:val="00387C09"/>
    <w:rsid w:val="003908B6"/>
    <w:rsid w:val="00392D65"/>
    <w:rsid w:val="00393A22"/>
    <w:rsid w:val="0039446E"/>
    <w:rsid w:val="0039568A"/>
    <w:rsid w:val="003958CD"/>
    <w:rsid w:val="00396E4E"/>
    <w:rsid w:val="00397C7A"/>
    <w:rsid w:val="003A1474"/>
    <w:rsid w:val="003A1F82"/>
    <w:rsid w:val="003A230E"/>
    <w:rsid w:val="003A31A7"/>
    <w:rsid w:val="003A3885"/>
    <w:rsid w:val="003A388D"/>
    <w:rsid w:val="003A3ACC"/>
    <w:rsid w:val="003A5286"/>
    <w:rsid w:val="003A5946"/>
    <w:rsid w:val="003A60AD"/>
    <w:rsid w:val="003A66C4"/>
    <w:rsid w:val="003A74A7"/>
    <w:rsid w:val="003B05D3"/>
    <w:rsid w:val="003B065D"/>
    <w:rsid w:val="003B07CC"/>
    <w:rsid w:val="003B0C70"/>
    <w:rsid w:val="003B17E4"/>
    <w:rsid w:val="003B40DD"/>
    <w:rsid w:val="003B43A6"/>
    <w:rsid w:val="003B461C"/>
    <w:rsid w:val="003B4933"/>
    <w:rsid w:val="003B4A7B"/>
    <w:rsid w:val="003B5ABC"/>
    <w:rsid w:val="003B6B64"/>
    <w:rsid w:val="003B74BA"/>
    <w:rsid w:val="003B7DF8"/>
    <w:rsid w:val="003C01A8"/>
    <w:rsid w:val="003C027D"/>
    <w:rsid w:val="003C0A87"/>
    <w:rsid w:val="003C1A17"/>
    <w:rsid w:val="003C41A6"/>
    <w:rsid w:val="003C4808"/>
    <w:rsid w:val="003C4F3A"/>
    <w:rsid w:val="003C7D8E"/>
    <w:rsid w:val="003D029D"/>
    <w:rsid w:val="003D3F59"/>
    <w:rsid w:val="003D4EEE"/>
    <w:rsid w:val="003D6C7F"/>
    <w:rsid w:val="003D7101"/>
    <w:rsid w:val="003D741B"/>
    <w:rsid w:val="003E0515"/>
    <w:rsid w:val="003E0C9A"/>
    <w:rsid w:val="003E0E10"/>
    <w:rsid w:val="003E2349"/>
    <w:rsid w:val="003E258F"/>
    <w:rsid w:val="003E36B8"/>
    <w:rsid w:val="003E37B2"/>
    <w:rsid w:val="003E483F"/>
    <w:rsid w:val="003E494E"/>
    <w:rsid w:val="003E67EF"/>
    <w:rsid w:val="003E70DB"/>
    <w:rsid w:val="003E7335"/>
    <w:rsid w:val="003E76A8"/>
    <w:rsid w:val="003E7921"/>
    <w:rsid w:val="003F00B4"/>
    <w:rsid w:val="003F0A9B"/>
    <w:rsid w:val="003F304B"/>
    <w:rsid w:val="003F368D"/>
    <w:rsid w:val="003F3D7F"/>
    <w:rsid w:val="003F4D39"/>
    <w:rsid w:val="003F4E63"/>
    <w:rsid w:val="003F5E37"/>
    <w:rsid w:val="003F6746"/>
    <w:rsid w:val="003F7441"/>
    <w:rsid w:val="003F78F7"/>
    <w:rsid w:val="003F7FAB"/>
    <w:rsid w:val="00400130"/>
    <w:rsid w:val="004009EC"/>
    <w:rsid w:val="00401AB7"/>
    <w:rsid w:val="004030FC"/>
    <w:rsid w:val="004032A2"/>
    <w:rsid w:val="00406BE8"/>
    <w:rsid w:val="00412495"/>
    <w:rsid w:val="004149D3"/>
    <w:rsid w:val="00414F19"/>
    <w:rsid w:val="00420CD6"/>
    <w:rsid w:val="004226EE"/>
    <w:rsid w:val="0042594F"/>
    <w:rsid w:val="00425DDD"/>
    <w:rsid w:val="00427015"/>
    <w:rsid w:val="00427586"/>
    <w:rsid w:val="004300AE"/>
    <w:rsid w:val="00431F6C"/>
    <w:rsid w:val="004331BD"/>
    <w:rsid w:val="00433382"/>
    <w:rsid w:val="00434066"/>
    <w:rsid w:val="004342A6"/>
    <w:rsid w:val="00434312"/>
    <w:rsid w:val="00434B25"/>
    <w:rsid w:val="00435899"/>
    <w:rsid w:val="0043613D"/>
    <w:rsid w:val="00437174"/>
    <w:rsid w:val="00437675"/>
    <w:rsid w:val="00437804"/>
    <w:rsid w:val="00440D11"/>
    <w:rsid w:val="004410A0"/>
    <w:rsid w:val="004414F4"/>
    <w:rsid w:val="00442A4C"/>
    <w:rsid w:val="00442F9A"/>
    <w:rsid w:val="00443C30"/>
    <w:rsid w:val="0044561E"/>
    <w:rsid w:val="00445D74"/>
    <w:rsid w:val="00447462"/>
    <w:rsid w:val="00447D5D"/>
    <w:rsid w:val="0045021E"/>
    <w:rsid w:val="00450260"/>
    <w:rsid w:val="00451655"/>
    <w:rsid w:val="00451C4E"/>
    <w:rsid w:val="00452F28"/>
    <w:rsid w:val="00453151"/>
    <w:rsid w:val="004531AD"/>
    <w:rsid w:val="00453B26"/>
    <w:rsid w:val="00454A07"/>
    <w:rsid w:val="00454ACB"/>
    <w:rsid w:val="00454C32"/>
    <w:rsid w:val="0045547A"/>
    <w:rsid w:val="00456B22"/>
    <w:rsid w:val="004573D3"/>
    <w:rsid w:val="004577B5"/>
    <w:rsid w:val="00461931"/>
    <w:rsid w:val="00461C2B"/>
    <w:rsid w:val="00461DB1"/>
    <w:rsid w:val="00462C51"/>
    <w:rsid w:val="0046336E"/>
    <w:rsid w:val="0046363D"/>
    <w:rsid w:val="00463686"/>
    <w:rsid w:val="0046380F"/>
    <w:rsid w:val="00463CEF"/>
    <w:rsid w:val="00464538"/>
    <w:rsid w:val="00465609"/>
    <w:rsid w:val="004659F9"/>
    <w:rsid w:val="00465A6D"/>
    <w:rsid w:val="00465DA8"/>
    <w:rsid w:val="00467778"/>
    <w:rsid w:val="00467956"/>
    <w:rsid w:val="00467FD8"/>
    <w:rsid w:val="00471A8E"/>
    <w:rsid w:val="00471C5B"/>
    <w:rsid w:val="00472213"/>
    <w:rsid w:val="004725DE"/>
    <w:rsid w:val="00473424"/>
    <w:rsid w:val="00473B4F"/>
    <w:rsid w:val="00476945"/>
    <w:rsid w:val="00480943"/>
    <w:rsid w:val="004815A3"/>
    <w:rsid w:val="00481C91"/>
    <w:rsid w:val="004820CE"/>
    <w:rsid w:val="004830FD"/>
    <w:rsid w:val="00483526"/>
    <w:rsid w:val="00484434"/>
    <w:rsid w:val="004844CB"/>
    <w:rsid w:val="00484D8D"/>
    <w:rsid w:val="0048513F"/>
    <w:rsid w:val="0048527D"/>
    <w:rsid w:val="00486228"/>
    <w:rsid w:val="00487921"/>
    <w:rsid w:val="00487D9B"/>
    <w:rsid w:val="00487DB7"/>
    <w:rsid w:val="0049056B"/>
    <w:rsid w:val="00490B35"/>
    <w:rsid w:val="00491299"/>
    <w:rsid w:val="00492127"/>
    <w:rsid w:val="00492516"/>
    <w:rsid w:val="00492B85"/>
    <w:rsid w:val="0049415C"/>
    <w:rsid w:val="00494225"/>
    <w:rsid w:val="004953B3"/>
    <w:rsid w:val="004968D9"/>
    <w:rsid w:val="00497C64"/>
    <w:rsid w:val="004A1578"/>
    <w:rsid w:val="004A1A35"/>
    <w:rsid w:val="004A1FD6"/>
    <w:rsid w:val="004A25D9"/>
    <w:rsid w:val="004A2695"/>
    <w:rsid w:val="004A2826"/>
    <w:rsid w:val="004A3161"/>
    <w:rsid w:val="004A36AB"/>
    <w:rsid w:val="004A460A"/>
    <w:rsid w:val="004A4EC9"/>
    <w:rsid w:val="004A54B0"/>
    <w:rsid w:val="004A571F"/>
    <w:rsid w:val="004A602D"/>
    <w:rsid w:val="004A6DC5"/>
    <w:rsid w:val="004A6EDC"/>
    <w:rsid w:val="004B018B"/>
    <w:rsid w:val="004B018D"/>
    <w:rsid w:val="004B12D5"/>
    <w:rsid w:val="004B162C"/>
    <w:rsid w:val="004B26D6"/>
    <w:rsid w:val="004B3745"/>
    <w:rsid w:val="004B3914"/>
    <w:rsid w:val="004B5DB4"/>
    <w:rsid w:val="004B6D0F"/>
    <w:rsid w:val="004B7386"/>
    <w:rsid w:val="004B7B80"/>
    <w:rsid w:val="004C1249"/>
    <w:rsid w:val="004C2ECD"/>
    <w:rsid w:val="004C3299"/>
    <w:rsid w:val="004C5E18"/>
    <w:rsid w:val="004C60BB"/>
    <w:rsid w:val="004D1598"/>
    <w:rsid w:val="004D27A4"/>
    <w:rsid w:val="004D286A"/>
    <w:rsid w:val="004D2FC1"/>
    <w:rsid w:val="004D3CCC"/>
    <w:rsid w:val="004D3ED9"/>
    <w:rsid w:val="004D40E7"/>
    <w:rsid w:val="004D4364"/>
    <w:rsid w:val="004D59D7"/>
    <w:rsid w:val="004D74D1"/>
    <w:rsid w:val="004D7DFC"/>
    <w:rsid w:val="004E0B80"/>
    <w:rsid w:val="004E1807"/>
    <w:rsid w:val="004E2243"/>
    <w:rsid w:val="004E2EAE"/>
    <w:rsid w:val="004E30DF"/>
    <w:rsid w:val="004E4AA6"/>
    <w:rsid w:val="004E4CE6"/>
    <w:rsid w:val="004E4DC6"/>
    <w:rsid w:val="004E51DE"/>
    <w:rsid w:val="004E5733"/>
    <w:rsid w:val="004E5AEB"/>
    <w:rsid w:val="004E6C0E"/>
    <w:rsid w:val="004E6F5D"/>
    <w:rsid w:val="004E7070"/>
    <w:rsid w:val="004F03EE"/>
    <w:rsid w:val="004F04E7"/>
    <w:rsid w:val="004F1E17"/>
    <w:rsid w:val="004F5022"/>
    <w:rsid w:val="004F5BD0"/>
    <w:rsid w:val="004F6F79"/>
    <w:rsid w:val="004F769F"/>
    <w:rsid w:val="00500709"/>
    <w:rsid w:val="00500D83"/>
    <w:rsid w:val="0050112D"/>
    <w:rsid w:val="00501FFD"/>
    <w:rsid w:val="00502041"/>
    <w:rsid w:val="005022BE"/>
    <w:rsid w:val="00502DCB"/>
    <w:rsid w:val="005040A1"/>
    <w:rsid w:val="005040D9"/>
    <w:rsid w:val="005052AE"/>
    <w:rsid w:val="005054B9"/>
    <w:rsid w:val="0050571A"/>
    <w:rsid w:val="00506117"/>
    <w:rsid w:val="0050750F"/>
    <w:rsid w:val="00511040"/>
    <w:rsid w:val="00512581"/>
    <w:rsid w:val="00512E90"/>
    <w:rsid w:val="00512F30"/>
    <w:rsid w:val="00513084"/>
    <w:rsid w:val="00513B33"/>
    <w:rsid w:val="00514820"/>
    <w:rsid w:val="00516868"/>
    <w:rsid w:val="00517402"/>
    <w:rsid w:val="005177C7"/>
    <w:rsid w:val="005179AF"/>
    <w:rsid w:val="005206D1"/>
    <w:rsid w:val="00520A3A"/>
    <w:rsid w:val="005211A9"/>
    <w:rsid w:val="0052134A"/>
    <w:rsid w:val="00521F13"/>
    <w:rsid w:val="005238C8"/>
    <w:rsid w:val="00523A2A"/>
    <w:rsid w:val="00523E76"/>
    <w:rsid w:val="005240EB"/>
    <w:rsid w:val="00524930"/>
    <w:rsid w:val="00525089"/>
    <w:rsid w:val="0052621B"/>
    <w:rsid w:val="00526ED7"/>
    <w:rsid w:val="005278DC"/>
    <w:rsid w:val="0053018F"/>
    <w:rsid w:val="00530B9D"/>
    <w:rsid w:val="00531236"/>
    <w:rsid w:val="00531F6B"/>
    <w:rsid w:val="00532CFF"/>
    <w:rsid w:val="005332D0"/>
    <w:rsid w:val="00535AC7"/>
    <w:rsid w:val="00536C7E"/>
    <w:rsid w:val="00536D5F"/>
    <w:rsid w:val="00536D9A"/>
    <w:rsid w:val="005400B1"/>
    <w:rsid w:val="00540491"/>
    <w:rsid w:val="005404F6"/>
    <w:rsid w:val="00540B1D"/>
    <w:rsid w:val="00542442"/>
    <w:rsid w:val="005424A9"/>
    <w:rsid w:val="005445BA"/>
    <w:rsid w:val="005453AF"/>
    <w:rsid w:val="0054565B"/>
    <w:rsid w:val="00545D23"/>
    <w:rsid w:val="005477EA"/>
    <w:rsid w:val="00550C51"/>
    <w:rsid w:val="00550F59"/>
    <w:rsid w:val="00551636"/>
    <w:rsid w:val="005524B6"/>
    <w:rsid w:val="005534F8"/>
    <w:rsid w:val="005540C2"/>
    <w:rsid w:val="005545CB"/>
    <w:rsid w:val="00555A5F"/>
    <w:rsid w:val="005574AD"/>
    <w:rsid w:val="005577F6"/>
    <w:rsid w:val="00560332"/>
    <w:rsid w:val="00561CDF"/>
    <w:rsid w:val="00561F66"/>
    <w:rsid w:val="0056259B"/>
    <w:rsid w:val="00562652"/>
    <w:rsid w:val="00562783"/>
    <w:rsid w:val="00563A3F"/>
    <w:rsid w:val="005650DA"/>
    <w:rsid w:val="00565147"/>
    <w:rsid w:val="005653D6"/>
    <w:rsid w:val="0056640C"/>
    <w:rsid w:val="005677B7"/>
    <w:rsid w:val="00567DFA"/>
    <w:rsid w:val="0057048B"/>
    <w:rsid w:val="0057070E"/>
    <w:rsid w:val="00570FC0"/>
    <w:rsid w:val="0057535C"/>
    <w:rsid w:val="00576BA0"/>
    <w:rsid w:val="00576C68"/>
    <w:rsid w:val="0057725F"/>
    <w:rsid w:val="005803BB"/>
    <w:rsid w:val="00580698"/>
    <w:rsid w:val="005813E6"/>
    <w:rsid w:val="005817BF"/>
    <w:rsid w:val="005822DC"/>
    <w:rsid w:val="0058582F"/>
    <w:rsid w:val="00585AF3"/>
    <w:rsid w:val="00585E8F"/>
    <w:rsid w:val="0058647F"/>
    <w:rsid w:val="005866DD"/>
    <w:rsid w:val="0059123A"/>
    <w:rsid w:val="00591DF1"/>
    <w:rsid w:val="00592475"/>
    <w:rsid w:val="005927C9"/>
    <w:rsid w:val="00593BA6"/>
    <w:rsid w:val="00594113"/>
    <w:rsid w:val="0059468E"/>
    <w:rsid w:val="00594CB6"/>
    <w:rsid w:val="005952AA"/>
    <w:rsid w:val="005953A0"/>
    <w:rsid w:val="00595447"/>
    <w:rsid w:val="00595490"/>
    <w:rsid w:val="00595FF1"/>
    <w:rsid w:val="00596C08"/>
    <w:rsid w:val="005977FF"/>
    <w:rsid w:val="00597FF2"/>
    <w:rsid w:val="005A0264"/>
    <w:rsid w:val="005A0893"/>
    <w:rsid w:val="005A0A21"/>
    <w:rsid w:val="005A12F9"/>
    <w:rsid w:val="005A15AA"/>
    <w:rsid w:val="005A17A4"/>
    <w:rsid w:val="005A28FF"/>
    <w:rsid w:val="005A291F"/>
    <w:rsid w:val="005A2C50"/>
    <w:rsid w:val="005A35E1"/>
    <w:rsid w:val="005A7A9D"/>
    <w:rsid w:val="005B0020"/>
    <w:rsid w:val="005B159B"/>
    <w:rsid w:val="005B1C5A"/>
    <w:rsid w:val="005B25F2"/>
    <w:rsid w:val="005B25FB"/>
    <w:rsid w:val="005B30D2"/>
    <w:rsid w:val="005B4A8C"/>
    <w:rsid w:val="005B50FD"/>
    <w:rsid w:val="005B5295"/>
    <w:rsid w:val="005B54DD"/>
    <w:rsid w:val="005B5802"/>
    <w:rsid w:val="005B5A11"/>
    <w:rsid w:val="005B762B"/>
    <w:rsid w:val="005B7CCE"/>
    <w:rsid w:val="005C028C"/>
    <w:rsid w:val="005C053F"/>
    <w:rsid w:val="005C0E44"/>
    <w:rsid w:val="005C0E4A"/>
    <w:rsid w:val="005C0FB6"/>
    <w:rsid w:val="005C18D0"/>
    <w:rsid w:val="005C1F72"/>
    <w:rsid w:val="005C56AB"/>
    <w:rsid w:val="005C5D99"/>
    <w:rsid w:val="005C7DA7"/>
    <w:rsid w:val="005D00B9"/>
    <w:rsid w:val="005D083E"/>
    <w:rsid w:val="005D0CD2"/>
    <w:rsid w:val="005D18CB"/>
    <w:rsid w:val="005D1CBB"/>
    <w:rsid w:val="005D1EB8"/>
    <w:rsid w:val="005D2173"/>
    <w:rsid w:val="005D32EE"/>
    <w:rsid w:val="005D3733"/>
    <w:rsid w:val="005D56BD"/>
    <w:rsid w:val="005D5ED3"/>
    <w:rsid w:val="005D70D9"/>
    <w:rsid w:val="005D7A07"/>
    <w:rsid w:val="005D7AC9"/>
    <w:rsid w:val="005E1CCD"/>
    <w:rsid w:val="005E2AA3"/>
    <w:rsid w:val="005E2FC5"/>
    <w:rsid w:val="005E33A8"/>
    <w:rsid w:val="005E3463"/>
    <w:rsid w:val="005E3956"/>
    <w:rsid w:val="005E4806"/>
    <w:rsid w:val="005E70EB"/>
    <w:rsid w:val="005E762D"/>
    <w:rsid w:val="005F0777"/>
    <w:rsid w:val="005F28C8"/>
    <w:rsid w:val="005F2A29"/>
    <w:rsid w:val="005F2B39"/>
    <w:rsid w:val="005F2FD5"/>
    <w:rsid w:val="005F33CC"/>
    <w:rsid w:val="005F3BD0"/>
    <w:rsid w:val="005F3F3D"/>
    <w:rsid w:val="005F479A"/>
    <w:rsid w:val="005F4EFF"/>
    <w:rsid w:val="005F5D94"/>
    <w:rsid w:val="005F5E32"/>
    <w:rsid w:val="005F657A"/>
    <w:rsid w:val="005F6BCB"/>
    <w:rsid w:val="005F6EA9"/>
    <w:rsid w:val="005F7628"/>
    <w:rsid w:val="005F790E"/>
    <w:rsid w:val="006026AE"/>
    <w:rsid w:val="00602E4F"/>
    <w:rsid w:val="00604FDC"/>
    <w:rsid w:val="0060649E"/>
    <w:rsid w:val="0060703F"/>
    <w:rsid w:val="0061028A"/>
    <w:rsid w:val="006114A7"/>
    <w:rsid w:val="0061299A"/>
    <w:rsid w:val="00615489"/>
    <w:rsid w:val="00616373"/>
    <w:rsid w:val="00616E3F"/>
    <w:rsid w:val="0061773E"/>
    <w:rsid w:val="006177EA"/>
    <w:rsid w:val="006207CE"/>
    <w:rsid w:val="006219CA"/>
    <w:rsid w:val="00625AA7"/>
    <w:rsid w:val="00625B9A"/>
    <w:rsid w:val="0062639C"/>
    <w:rsid w:val="006273FF"/>
    <w:rsid w:val="00627DC8"/>
    <w:rsid w:val="00627F3E"/>
    <w:rsid w:val="00627FBC"/>
    <w:rsid w:val="00630564"/>
    <w:rsid w:val="00630710"/>
    <w:rsid w:val="00633B3A"/>
    <w:rsid w:val="006346B6"/>
    <w:rsid w:val="00634AF1"/>
    <w:rsid w:val="00635640"/>
    <w:rsid w:val="006360E1"/>
    <w:rsid w:val="00636440"/>
    <w:rsid w:val="00636C5C"/>
    <w:rsid w:val="00641B9E"/>
    <w:rsid w:val="00642755"/>
    <w:rsid w:val="00643A30"/>
    <w:rsid w:val="00643CA0"/>
    <w:rsid w:val="00644A54"/>
    <w:rsid w:val="00644A97"/>
    <w:rsid w:val="00644ED7"/>
    <w:rsid w:val="006450ED"/>
    <w:rsid w:val="00647C9F"/>
    <w:rsid w:val="00650099"/>
    <w:rsid w:val="006506F4"/>
    <w:rsid w:val="00650B96"/>
    <w:rsid w:val="006523DB"/>
    <w:rsid w:val="006553C8"/>
    <w:rsid w:val="006557D9"/>
    <w:rsid w:val="00655D51"/>
    <w:rsid w:val="00655E73"/>
    <w:rsid w:val="00661BEB"/>
    <w:rsid w:val="00661D85"/>
    <w:rsid w:val="00662715"/>
    <w:rsid w:val="00662986"/>
    <w:rsid w:val="00662D91"/>
    <w:rsid w:val="00662EDD"/>
    <w:rsid w:val="00662F04"/>
    <w:rsid w:val="00664DFD"/>
    <w:rsid w:val="006655A6"/>
    <w:rsid w:val="006657DE"/>
    <w:rsid w:val="00671718"/>
    <w:rsid w:val="00671D35"/>
    <w:rsid w:val="00674AAF"/>
    <w:rsid w:val="00674F9F"/>
    <w:rsid w:val="00675132"/>
    <w:rsid w:val="00677828"/>
    <w:rsid w:val="00677C10"/>
    <w:rsid w:val="00680E28"/>
    <w:rsid w:val="00680E95"/>
    <w:rsid w:val="006812B7"/>
    <w:rsid w:val="006817FC"/>
    <w:rsid w:val="006831DE"/>
    <w:rsid w:val="00683202"/>
    <w:rsid w:val="00683641"/>
    <w:rsid w:val="00684174"/>
    <w:rsid w:val="006853CB"/>
    <w:rsid w:val="00685779"/>
    <w:rsid w:val="00686A0F"/>
    <w:rsid w:val="0069094C"/>
    <w:rsid w:val="00690D8A"/>
    <w:rsid w:val="00691195"/>
    <w:rsid w:val="006911D7"/>
    <w:rsid w:val="0069137C"/>
    <w:rsid w:val="0069203E"/>
    <w:rsid w:val="00694658"/>
    <w:rsid w:val="006948AF"/>
    <w:rsid w:val="0069573A"/>
    <w:rsid w:val="00695C44"/>
    <w:rsid w:val="006967C4"/>
    <w:rsid w:val="00697796"/>
    <w:rsid w:val="006A08E4"/>
    <w:rsid w:val="006A12E6"/>
    <w:rsid w:val="006A14F1"/>
    <w:rsid w:val="006A6AD0"/>
    <w:rsid w:val="006A6E76"/>
    <w:rsid w:val="006A76B8"/>
    <w:rsid w:val="006B1281"/>
    <w:rsid w:val="006B1C3C"/>
    <w:rsid w:val="006B1DC2"/>
    <w:rsid w:val="006B31DE"/>
    <w:rsid w:val="006B372D"/>
    <w:rsid w:val="006B3966"/>
    <w:rsid w:val="006B493C"/>
    <w:rsid w:val="006B5540"/>
    <w:rsid w:val="006B5E15"/>
    <w:rsid w:val="006B603F"/>
    <w:rsid w:val="006B6CBF"/>
    <w:rsid w:val="006B6EA6"/>
    <w:rsid w:val="006B7CF0"/>
    <w:rsid w:val="006C0AC8"/>
    <w:rsid w:val="006C0F40"/>
    <w:rsid w:val="006C1906"/>
    <w:rsid w:val="006C1CD1"/>
    <w:rsid w:val="006C1E1B"/>
    <w:rsid w:val="006C25A9"/>
    <w:rsid w:val="006C2A92"/>
    <w:rsid w:val="006C3055"/>
    <w:rsid w:val="006C35E5"/>
    <w:rsid w:val="006C36F3"/>
    <w:rsid w:val="006C718B"/>
    <w:rsid w:val="006C79CC"/>
    <w:rsid w:val="006C7FE9"/>
    <w:rsid w:val="006D075C"/>
    <w:rsid w:val="006D0F51"/>
    <w:rsid w:val="006D1CBF"/>
    <w:rsid w:val="006D204A"/>
    <w:rsid w:val="006D2308"/>
    <w:rsid w:val="006D2A0C"/>
    <w:rsid w:val="006D2E2D"/>
    <w:rsid w:val="006D361B"/>
    <w:rsid w:val="006D3C95"/>
    <w:rsid w:val="006D412F"/>
    <w:rsid w:val="006D5608"/>
    <w:rsid w:val="006D5BF6"/>
    <w:rsid w:val="006D5DA3"/>
    <w:rsid w:val="006D6011"/>
    <w:rsid w:val="006D6067"/>
    <w:rsid w:val="006D68D6"/>
    <w:rsid w:val="006D7D06"/>
    <w:rsid w:val="006E035F"/>
    <w:rsid w:val="006E09E0"/>
    <w:rsid w:val="006E0B17"/>
    <w:rsid w:val="006E0C12"/>
    <w:rsid w:val="006E1B5F"/>
    <w:rsid w:val="006E2E8E"/>
    <w:rsid w:val="006E31D0"/>
    <w:rsid w:val="006E3B56"/>
    <w:rsid w:val="006E541D"/>
    <w:rsid w:val="006E5503"/>
    <w:rsid w:val="006E5B92"/>
    <w:rsid w:val="006E5CCC"/>
    <w:rsid w:val="006E70F2"/>
    <w:rsid w:val="006E735E"/>
    <w:rsid w:val="006F04B2"/>
    <w:rsid w:val="006F0E9D"/>
    <w:rsid w:val="006F0F3F"/>
    <w:rsid w:val="006F152D"/>
    <w:rsid w:val="006F1705"/>
    <w:rsid w:val="006F2129"/>
    <w:rsid w:val="006F26F2"/>
    <w:rsid w:val="006F2D41"/>
    <w:rsid w:val="006F2E44"/>
    <w:rsid w:val="006F378E"/>
    <w:rsid w:val="006F40A4"/>
    <w:rsid w:val="006F466E"/>
    <w:rsid w:val="006F4E14"/>
    <w:rsid w:val="006F5DA6"/>
    <w:rsid w:val="006F6BF3"/>
    <w:rsid w:val="006F7DA4"/>
    <w:rsid w:val="007000DC"/>
    <w:rsid w:val="0070135B"/>
    <w:rsid w:val="0070164F"/>
    <w:rsid w:val="007017DC"/>
    <w:rsid w:val="00703FD7"/>
    <w:rsid w:val="007047F7"/>
    <w:rsid w:val="00705418"/>
    <w:rsid w:val="00705DB1"/>
    <w:rsid w:val="0070650D"/>
    <w:rsid w:val="007066A4"/>
    <w:rsid w:val="00706971"/>
    <w:rsid w:val="0071070D"/>
    <w:rsid w:val="007118FA"/>
    <w:rsid w:val="00712037"/>
    <w:rsid w:val="007124F8"/>
    <w:rsid w:val="00713324"/>
    <w:rsid w:val="00714D49"/>
    <w:rsid w:val="0071651B"/>
    <w:rsid w:val="00717BEE"/>
    <w:rsid w:val="007234AD"/>
    <w:rsid w:val="0072357A"/>
    <w:rsid w:val="007238A5"/>
    <w:rsid w:val="00724689"/>
    <w:rsid w:val="007267B6"/>
    <w:rsid w:val="00730634"/>
    <w:rsid w:val="007317CB"/>
    <w:rsid w:val="007318B9"/>
    <w:rsid w:val="00731AA5"/>
    <w:rsid w:val="00732C6F"/>
    <w:rsid w:val="00733676"/>
    <w:rsid w:val="00734364"/>
    <w:rsid w:val="00734997"/>
    <w:rsid w:val="00735C31"/>
    <w:rsid w:val="00736E93"/>
    <w:rsid w:val="00736EF7"/>
    <w:rsid w:val="00737424"/>
    <w:rsid w:val="00737F39"/>
    <w:rsid w:val="0074035D"/>
    <w:rsid w:val="00740BF4"/>
    <w:rsid w:val="00741077"/>
    <w:rsid w:val="007417BA"/>
    <w:rsid w:val="007420F3"/>
    <w:rsid w:val="0074223D"/>
    <w:rsid w:val="00742782"/>
    <w:rsid w:val="007433CC"/>
    <w:rsid w:val="0074388F"/>
    <w:rsid w:val="00743B57"/>
    <w:rsid w:val="00744AE3"/>
    <w:rsid w:val="00744BFD"/>
    <w:rsid w:val="007451E9"/>
    <w:rsid w:val="00745D39"/>
    <w:rsid w:val="0074666F"/>
    <w:rsid w:val="007479EE"/>
    <w:rsid w:val="00750462"/>
    <w:rsid w:val="007508DE"/>
    <w:rsid w:val="00750C31"/>
    <w:rsid w:val="00751DC9"/>
    <w:rsid w:val="007520C4"/>
    <w:rsid w:val="007575E4"/>
    <w:rsid w:val="0075789E"/>
    <w:rsid w:val="00761077"/>
    <w:rsid w:val="00761225"/>
    <w:rsid w:val="00761D97"/>
    <w:rsid w:val="007628D6"/>
    <w:rsid w:val="00763D8C"/>
    <w:rsid w:val="007645F6"/>
    <w:rsid w:val="0076551B"/>
    <w:rsid w:val="0076660A"/>
    <w:rsid w:val="00766763"/>
    <w:rsid w:val="00766C04"/>
    <w:rsid w:val="007677F5"/>
    <w:rsid w:val="0077019A"/>
    <w:rsid w:val="00771C7B"/>
    <w:rsid w:val="00773586"/>
    <w:rsid w:val="00773A42"/>
    <w:rsid w:val="00774EE3"/>
    <w:rsid w:val="0077580C"/>
    <w:rsid w:val="00776997"/>
    <w:rsid w:val="00777694"/>
    <w:rsid w:val="0077775A"/>
    <w:rsid w:val="00782010"/>
    <w:rsid w:val="00784B0C"/>
    <w:rsid w:val="00785389"/>
    <w:rsid w:val="00785427"/>
    <w:rsid w:val="007869C3"/>
    <w:rsid w:val="007876AD"/>
    <w:rsid w:val="00787EBB"/>
    <w:rsid w:val="00790365"/>
    <w:rsid w:val="00790A63"/>
    <w:rsid w:val="00790DD8"/>
    <w:rsid w:val="00790F47"/>
    <w:rsid w:val="007910FE"/>
    <w:rsid w:val="00792545"/>
    <w:rsid w:val="00795242"/>
    <w:rsid w:val="00795A9E"/>
    <w:rsid w:val="007973B8"/>
    <w:rsid w:val="007A04B6"/>
    <w:rsid w:val="007A054B"/>
    <w:rsid w:val="007A0CEE"/>
    <w:rsid w:val="007A1663"/>
    <w:rsid w:val="007A2364"/>
    <w:rsid w:val="007A31DB"/>
    <w:rsid w:val="007A3C02"/>
    <w:rsid w:val="007A5033"/>
    <w:rsid w:val="007A52CC"/>
    <w:rsid w:val="007A5E47"/>
    <w:rsid w:val="007A6CBC"/>
    <w:rsid w:val="007A7753"/>
    <w:rsid w:val="007A7BF6"/>
    <w:rsid w:val="007B015A"/>
    <w:rsid w:val="007B0A31"/>
    <w:rsid w:val="007B21DF"/>
    <w:rsid w:val="007B33C2"/>
    <w:rsid w:val="007B37CF"/>
    <w:rsid w:val="007B5022"/>
    <w:rsid w:val="007B6768"/>
    <w:rsid w:val="007B75E8"/>
    <w:rsid w:val="007B7D03"/>
    <w:rsid w:val="007C0913"/>
    <w:rsid w:val="007C2A34"/>
    <w:rsid w:val="007C383B"/>
    <w:rsid w:val="007C396C"/>
    <w:rsid w:val="007C4033"/>
    <w:rsid w:val="007C41DD"/>
    <w:rsid w:val="007C535E"/>
    <w:rsid w:val="007C53EF"/>
    <w:rsid w:val="007C69F8"/>
    <w:rsid w:val="007C6C3B"/>
    <w:rsid w:val="007C75F6"/>
    <w:rsid w:val="007C7D27"/>
    <w:rsid w:val="007D05AA"/>
    <w:rsid w:val="007D07F9"/>
    <w:rsid w:val="007D0E79"/>
    <w:rsid w:val="007D22E1"/>
    <w:rsid w:val="007D3540"/>
    <w:rsid w:val="007D3617"/>
    <w:rsid w:val="007D3F2E"/>
    <w:rsid w:val="007D45C2"/>
    <w:rsid w:val="007D5692"/>
    <w:rsid w:val="007D5E9F"/>
    <w:rsid w:val="007D5F34"/>
    <w:rsid w:val="007D6413"/>
    <w:rsid w:val="007D718A"/>
    <w:rsid w:val="007E0499"/>
    <w:rsid w:val="007E06AF"/>
    <w:rsid w:val="007E0F0F"/>
    <w:rsid w:val="007E110A"/>
    <w:rsid w:val="007E14FA"/>
    <w:rsid w:val="007E18CE"/>
    <w:rsid w:val="007E1AF2"/>
    <w:rsid w:val="007E2444"/>
    <w:rsid w:val="007E2C70"/>
    <w:rsid w:val="007E2FBC"/>
    <w:rsid w:val="007E34A1"/>
    <w:rsid w:val="007E37D9"/>
    <w:rsid w:val="007E3C65"/>
    <w:rsid w:val="007E67C4"/>
    <w:rsid w:val="007E67CD"/>
    <w:rsid w:val="007E7CAE"/>
    <w:rsid w:val="007E7EED"/>
    <w:rsid w:val="007F0B83"/>
    <w:rsid w:val="007F13F5"/>
    <w:rsid w:val="007F2A75"/>
    <w:rsid w:val="007F2E37"/>
    <w:rsid w:val="007F4ADC"/>
    <w:rsid w:val="007F50FD"/>
    <w:rsid w:val="007F5239"/>
    <w:rsid w:val="007F6CA2"/>
    <w:rsid w:val="007F7646"/>
    <w:rsid w:val="00802029"/>
    <w:rsid w:val="008024D6"/>
    <w:rsid w:val="008026B5"/>
    <w:rsid w:val="0080351C"/>
    <w:rsid w:val="008041D5"/>
    <w:rsid w:val="00804DBF"/>
    <w:rsid w:val="00805805"/>
    <w:rsid w:val="00805972"/>
    <w:rsid w:val="0080669E"/>
    <w:rsid w:val="0080695A"/>
    <w:rsid w:val="008077FB"/>
    <w:rsid w:val="00807950"/>
    <w:rsid w:val="0081035A"/>
    <w:rsid w:val="0081168A"/>
    <w:rsid w:val="00811B38"/>
    <w:rsid w:val="00811C27"/>
    <w:rsid w:val="00811CFB"/>
    <w:rsid w:val="008127FD"/>
    <w:rsid w:val="008136E9"/>
    <w:rsid w:val="00814148"/>
    <w:rsid w:val="00814DBD"/>
    <w:rsid w:val="00815272"/>
    <w:rsid w:val="008157EE"/>
    <w:rsid w:val="0081666D"/>
    <w:rsid w:val="00820ED2"/>
    <w:rsid w:val="00822DD8"/>
    <w:rsid w:val="00823CFD"/>
    <w:rsid w:val="008249E0"/>
    <w:rsid w:val="0082570E"/>
    <w:rsid w:val="00825987"/>
    <w:rsid w:val="00825DF0"/>
    <w:rsid w:val="00826019"/>
    <w:rsid w:val="00826A37"/>
    <w:rsid w:val="00830680"/>
    <w:rsid w:val="00830778"/>
    <w:rsid w:val="008322F1"/>
    <w:rsid w:val="00833F44"/>
    <w:rsid w:val="00836696"/>
    <w:rsid w:val="008367DC"/>
    <w:rsid w:val="008446AD"/>
    <w:rsid w:val="00846ECE"/>
    <w:rsid w:val="008475A3"/>
    <w:rsid w:val="00847E14"/>
    <w:rsid w:val="00850CAA"/>
    <w:rsid w:val="0085124C"/>
    <w:rsid w:val="00851724"/>
    <w:rsid w:val="00851AF8"/>
    <w:rsid w:val="00852AEB"/>
    <w:rsid w:val="008536FF"/>
    <w:rsid w:val="00853EC7"/>
    <w:rsid w:val="00853F2E"/>
    <w:rsid w:val="008547D3"/>
    <w:rsid w:val="00854A66"/>
    <w:rsid w:val="008557F0"/>
    <w:rsid w:val="0085602C"/>
    <w:rsid w:val="0085678D"/>
    <w:rsid w:val="00856FEE"/>
    <w:rsid w:val="0085796A"/>
    <w:rsid w:val="0085796C"/>
    <w:rsid w:val="00861525"/>
    <w:rsid w:val="00862A5A"/>
    <w:rsid w:val="00862AC0"/>
    <w:rsid w:val="008631C6"/>
    <w:rsid w:val="00863E00"/>
    <w:rsid w:val="00864816"/>
    <w:rsid w:val="0086581B"/>
    <w:rsid w:val="008658C7"/>
    <w:rsid w:val="008658D2"/>
    <w:rsid w:val="00867D5D"/>
    <w:rsid w:val="00867FFA"/>
    <w:rsid w:val="008714DD"/>
    <w:rsid w:val="00871B10"/>
    <w:rsid w:val="008728F5"/>
    <w:rsid w:val="00872BFB"/>
    <w:rsid w:val="00872E20"/>
    <w:rsid w:val="0087335A"/>
    <w:rsid w:val="00873517"/>
    <w:rsid w:val="00876745"/>
    <w:rsid w:val="00876F7F"/>
    <w:rsid w:val="0087762C"/>
    <w:rsid w:val="00877E28"/>
    <w:rsid w:val="00880723"/>
    <w:rsid w:val="0088180C"/>
    <w:rsid w:val="00881F46"/>
    <w:rsid w:val="008825FF"/>
    <w:rsid w:val="00882B47"/>
    <w:rsid w:val="00883336"/>
    <w:rsid w:val="0088443C"/>
    <w:rsid w:val="00884CED"/>
    <w:rsid w:val="00886145"/>
    <w:rsid w:val="00886442"/>
    <w:rsid w:val="008866C8"/>
    <w:rsid w:val="00887590"/>
    <w:rsid w:val="00890C5C"/>
    <w:rsid w:val="00890FEF"/>
    <w:rsid w:val="00891A7A"/>
    <w:rsid w:val="00891C50"/>
    <w:rsid w:val="00892C0F"/>
    <w:rsid w:val="008936CA"/>
    <w:rsid w:val="00893D29"/>
    <w:rsid w:val="00895071"/>
    <w:rsid w:val="00895279"/>
    <w:rsid w:val="0089627B"/>
    <w:rsid w:val="0089644B"/>
    <w:rsid w:val="00896B10"/>
    <w:rsid w:val="00896B7C"/>
    <w:rsid w:val="008972CC"/>
    <w:rsid w:val="008972E9"/>
    <w:rsid w:val="0089749A"/>
    <w:rsid w:val="008974EB"/>
    <w:rsid w:val="00897ED5"/>
    <w:rsid w:val="008A0064"/>
    <w:rsid w:val="008A0D1B"/>
    <w:rsid w:val="008A154D"/>
    <w:rsid w:val="008A1FB6"/>
    <w:rsid w:val="008A2315"/>
    <w:rsid w:val="008A2452"/>
    <w:rsid w:val="008A3B83"/>
    <w:rsid w:val="008A3DF8"/>
    <w:rsid w:val="008A4349"/>
    <w:rsid w:val="008A4C45"/>
    <w:rsid w:val="008A4EC4"/>
    <w:rsid w:val="008A517B"/>
    <w:rsid w:val="008A61E2"/>
    <w:rsid w:val="008A6ACA"/>
    <w:rsid w:val="008A6C44"/>
    <w:rsid w:val="008A756B"/>
    <w:rsid w:val="008B03E7"/>
    <w:rsid w:val="008B06FF"/>
    <w:rsid w:val="008B0D60"/>
    <w:rsid w:val="008B2889"/>
    <w:rsid w:val="008B28A9"/>
    <w:rsid w:val="008B2AD7"/>
    <w:rsid w:val="008B467C"/>
    <w:rsid w:val="008B4C9B"/>
    <w:rsid w:val="008B60C7"/>
    <w:rsid w:val="008B6BE2"/>
    <w:rsid w:val="008B7021"/>
    <w:rsid w:val="008C0A8B"/>
    <w:rsid w:val="008C0C94"/>
    <w:rsid w:val="008C1596"/>
    <w:rsid w:val="008C31C2"/>
    <w:rsid w:val="008C350C"/>
    <w:rsid w:val="008C3760"/>
    <w:rsid w:val="008C3858"/>
    <w:rsid w:val="008C4B74"/>
    <w:rsid w:val="008C4CD5"/>
    <w:rsid w:val="008C5CBF"/>
    <w:rsid w:val="008C5EC1"/>
    <w:rsid w:val="008C6D34"/>
    <w:rsid w:val="008D0ED0"/>
    <w:rsid w:val="008D1469"/>
    <w:rsid w:val="008D1D04"/>
    <w:rsid w:val="008D32C6"/>
    <w:rsid w:val="008D32ED"/>
    <w:rsid w:val="008D3D69"/>
    <w:rsid w:val="008D3DFE"/>
    <w:rsid w:val="008D44B3"/>
    <w:rsid w:val="008D6242"/>
    <w:rsid w:val="008E07B4"/>
    <w:rsid w:val="008E0CB5"/>
    <w:rsid w:val="008E1AEE"/>
    <w:rsid w:val="008E2651"/>
    <w:rsid w:val="008E4559"/>
    <w:rsid w:val="008E5541"/>
    <w:rsid w:val="008E5755"/>
    <w:rsid w:val="008E5EBA"/>
    <w:rsid w:val="008E618C"/>
    <w:rsid w:val="008E79E0"/>
    <w:rsid w:val="008F095D"/>
    <w:rsid w:val="008F0CCC"/>
    <w:rsid w:val="008F1475"/>
    <w:rsid w:val="008F152E"/>
    <w:rsid w:val="008F184E"/>
    <w:rsid w:val="008F2850"/>
    <w:rsid w:val="008F2BBD"/>
    <w:rsid w:val="008F3436"/>
    <w:rsid w:val="008F38FA"/>
    <w:rsid w:val="008F4AD8"/>
    <w:rsid w:val="008F6164"/>
    <w:rsid w:val="008F6909"/>
    <w:rsid w:val="008F6C01"/>
    <w:rsid w:val="008F6FB0"/>
    <w:rsid w:val="008F70F3"/>
    <w:rsid w:val="008F7962"/>
    <w:rsid w:val="008F7EC9"/>
    <w:rsid w:val="009001BD"/>
    <w:rsid w:val="00901996"/>
    <w:rsid w:val="00902AE4"/>
    <w:rsid w:val="009031C7"/>
    <w:rsid w:val="009036EA"/>
    <w:rsid w:val="009043DC"/>
    <w:rsid w:val="0090712B"/>
    <w:rsid w:val="00907586"/>
    <w:rsid w:val="00907CA8"/>
    <w:rsid w:val="00907E7E"/>
    <w:rsid w:val="00911141"/>
    <w:rsid w:val="00911A0B"/>
    <w:rsid w:val="00912622"/>
    <w:rsid w:val="00913220"/>
    <w:rsid w:val="00913F89"/>
    <w:rsid w:val="00917E0A"/>
    <w:rsid w:val="0092361E"/>
    <w:rsid w:val="00923A89"/>
    <w:rsid w:val="00923F00"/>
    <w:rsid w:val="0092411D"/>
    <w:rsid w:val="00924874"/>
    <w:rsid w:val="0092544E"/>
    <w:rsid w:val="00925DF2"/>
    <w:rsid w:val="009272A4"/>
    <w:rsid w:val="009277EF"/>
    <w:rsid w:val="00927DC0"/>
    <w:rsid w:val="00931619"/>
    <w:rsid w:val="00931E21"/>
    <w:rsid w:val="00932EF3"/>
    <w:rsid w:val="009350D2"/>
    <w:rsid w:val="009364CA"/>
    <w:rsid w:val="009368F0"/>
    <w:rsid w:val="00936C83"/>
    <w:rsid w:val="009375BE"/>
    <w:rsid w:val="009434AC"/>
    <w:rsid w:val="009438FA"/>
    <w:rsid w:val="00943A49"/>
    <w:rsid w:val="0094455A"/>
    <w:rsid w:val="009448C2"/>
    <w:rsid w:val="00945BA5"/>
    <w:rsid w:val="00947F2C"/>
    <w:rsid w:val="009517D9"/>
    <w:rsid w:val="00951F88"/>
    <w:rsid w:val="00952C0E"/>
    <w:rsid w:val="009532AF"/>
    <w:rsid w:val="00954FCA"/>
    <w:rsid w:val="009553BA"/>
    <w:rsid w:val="009566AE"/>
    <w:rsid w:val="009566D4"/>
    <w:rsid w:val="00960EB1"/>
    <w:rsid w:val="00961439"/>
    <w:rsid w:val="00961904"/>
    <w:rsid w:val="00962C38"/>
    <w:rsid w:val="0096399A"/>
    <w:rsid w:val="00963F44"/>
    <w:rsid w:val="009643F0"/>
    <w:rsid w:val="00964F2B"/>
    <w:rsid w:val="0096530A"/>
    <w:rsid w:val="00965BA9"/>
    <w:rsid w:val="00966633"/>
    <w:rsid w:val="00966E65"/>
    <w:rsid w:val="009704AB"/>
    <w:rsid w:val="0097050C"/>
    <w:rsid w:val="00970D26"/>
    <w:rsid w:val="009721B1"/>
    <w:rsid w:val="009731AD"/>
    <w:rsid w:val="00974594"/>
    <w:rsid w:val="00974E79"/>
    <w:rsid w:val="009753FA"/>
    <w:rsid w:val="00975A34"/>
    <w:rsid w:val="00975FFF"/>
    <w:rsid w:val="009777B0"/>
    <w:rsid w:val="009808F5"/>
    <w:rsid w:val="00980B85"/>
    <w:rsid w:val="00980FFB"/>
    <w:rsid w:val="009826D5"/>
    <w:rsid w:val="0098435C"/>
    <w:rsid w:val="00984F1B"/>
    <w:rsid w:val="0098697C"/>
    <w:rsid w:val="00986B1F"/>
    <w:rsid w:val="00987203"/>
    <w:rsid w:val="009905B0"/>
    <w:rsid w:val="00991CDA"/>
    <w:rsid w:val="00992793"/>
    <w:rsid w:val="00994077"/>
    <w:rsid w:val="00994152"/>
    <w:rsid w:val="00994733"/>
    <w:rsid w:val="00994D58"/>
    <w:rsid w:val="00995359"/>
    <w:rsid w:val="00997F09"/>
    <w:rsid w:val="00997F3D"/>
    <w:rsid w:val="009A10C9"/>
    <w:rsid w:val="009A121B"/>
    <w:rsid w:val="009A146D"/>
    <w:rsid w:val="009A1706"/>
    <w:rsid w:val="009A212F"/>
    <w:rsid w:val="009A2689"/>
    <w:rsid w:val="009A2C28"/>
    <w:rsid w:val="009A38FC"/>
    <w:rsid w:val="009A688E"/>
    <w:rsid w:val="009A6C9A"/>
    <w:rsid w:val="009B0506"/>
    <w:rsid w:val="009B06E1"/>
    <w:rsid w:val="009B14CE"/>
    <w:rsid w:val="009B2013"/>
    <w:rsid w:val="009B2E2D"/>
    <w:rsid w:val="009B3336"/>
    <w:rsid w:val="009B37FB"/>
    <w:rsid w:val="009B388E"/>
    <w:rsid w:val="009B39A2"/>
    <w:rsid w:val="009B4179"/>
    <w:rsid w:val="009B4F20"/>
    <w:rsid w:val="009B51DB"/>
    <w:rsid w:val="009B5414"/>
    <w:rsid w:val="009B60DA"/>
    <w:rsid w:val="009B6F1A"/>
    <w:rsid w:val="009B7491"/>
    <w:rsid w:val="009B7AAA"/>
    <w:rsid w:val="009C01C4"/>
    <w:rsid w:val="009C23C9"/>
    <w:rsid w:val="009C2410"/>
    <w:rsid w:val="009C25BE"/>
    <w:rsid w:val="009C2A60"/>
    <w:rsid w:val="009C2FEE"/>
    <w:rsid w:val="009C36C0"/>
    <w:rsid w:val="009C3EDC"/>
    <w:rsid w:val="009C454C"/>
    <w:rsid w:val="009C559D"/>
    <w:rsid w:val="009C600C"/>
    <w:rsid w:val="009C68C5"/>
    <w:rsid w:val="009C6AFA"/>
    <w:rsid w:val="009C6B08"/>
    <w:rsid w:val="009C714D"/>
    <w:rsid w:val="009D0B46"/>
    <w:rsid w:val="009D0E40"/>
    <w:rsid w:val="009D21AD"/>
    <w:rsid w:val="009D3085"/>
    <w:rsid w:val="009D3821"/>
    <w:rsid w:val="009D3A54"/>
    <w:rsid w:val="009D3EE3"/>
    <w:rsid w:val="009D4AAB"/>
    <w:rsid w:val="009D5692"/>
    <w:rsid w:val="009D60CE"/>
    <w:rsid w:val="009D68B8"/>
    <w:rsid w:val="009D7290"/>
    <w:rsid w:val="009E0E92"/>
    <w:rsid w:val="009E1CC9"/>
    <w:rsid w:val="009E2ACE"/>
    <w:rsid w:val="009E3B3E"/>
    <w:rsid w:val="009E59F0"/>
    <w:rsid w:val="009E6754"/>
    <w:rsid w:val="009F0054"/>
    <w:rsid w:val="009F0A49"/>
    <w:rsid w:val="009F10CC"/>
    <w:rsid w:val="009F20C4"/>
    <w:rsid w:val="009F30A3"/>
    <w:rsid w:val="009F43B2"/>
    <w:rsid w:val="009F4A6C"/>
    <w:rsid w:val="009F4D86"/>
    <w:rsid w:val="009F50B2"/>
    <w:rsid w:val="009F5A61"/>
    <w:rsid w:val="009F624D"/>
    <w:rsid w:val="009F6E22"/>
    <w:rsid w:val="009F7B2E"/>
    <w:rsid w:val="009F7F81"/>
    <w:rsid w:val="00A00ACB"/>
    <w:rsid w:val="00A01055"/>
    <w:rsid w:val="00A012CD"/>
    <w:rsid w:val="00A021BC"/>
    <w:rsid w:val="00A02EC6"/>
    <w:rsid w:val="00A06479"/>
    <w:rsid w:val="00A0672E"/>
    <w:rsid w:val="00A069D3"/>
    <w:rsid w:val="00A06FBD"/>
    <w:rsid w:val="00A11059"/>
    <w:rsid w:val="00A11671"/>
    <w:rsid w:val="00A11D47"/>
    <w:rsid w:val="00A12551"/>
    <w:rsid w:val="00A13F47"/>
    <w:rsid w:val="00A14CFC"/>
    <w:rsid w:val="00A166EE"/>
    <w:rsid w:val="00A16EAB"/>
    <w:rsid w:val="00A17133"/>
    <w:rsid w:val="00A17D02"/>
    <w:rsid w:val="00A202BC"/>
    <w:rsid w:val="00A215A3"/>
    <w:rsid w:val="00A2220F"/>
    <w:rsid w:val="00A23743"/>
    <w:rsid w:val="00A250ED"/>
    <w:rsid w:val="00A25582"/>
    <w:rsid w:val="00A255E5"/>
    <w:rsid w:val="00A25E7C"/>
    <w:rsid w:val="00A265CD"/>
    <w:rsid w:val="00A27D35"/>
    <w:rsid w:val="00A30BC1"/>
    <w:rsid w:val="00A30EEB"/>
    <w:rsid w:val="00A30F05"/>
    <w:rsid w:val="00A317CC"/>
    <w:rsid w:val="00A31BDB"/>
    <w:rsid w:val="00A32F22"/>
    <w:rsid w:val="00A33290"/>
    <w:rsid w:val="00A33F38"/>
    <w:rsid w:val="00A34105"/>
    <w:rsid w:val="00A3420E"/>
    <w:rsid w:val="00A34692"/>
    <w:rsid w:val="00A349A1"/>
    <w:rsid w:val="00A35CBC"/>
    <w:rsid w:val="00A35FEF"/>
    <w:rsid w:val="00A36B99"/>
    <w:rsid w:val="00A42171"/>
    <w:rsid w:val="00A42918"/>
    <w:rsid w:val="00A432E7"/>
    <w:rsid w:val="00A43BCB"/>
    <w:rsid w:val="00A43D80"/>
    <w:rsid w:val="00A44BF4"/>
    <w:rsid w:val="00A45195"/>
    <w:rsid w:val="00A4668A"/>
    <w:rsid w:val="00A502A6"/>
    <w:rsid w:val="00A506D7"/>
    <w:rsid w:val="00A5125E"/>
    <w:rsid w:val="00A512F3"/>
    <w:rsid w:val="00A516F0"/>
    <w:rsid w:val="00A52512"/>
    <w:rsid w:val="00A52B1D"/>
    <w:rsid w:val="00A52C42"/>
    <w:rsid w:val="00A5442A"/>
    <w:rsid w:val="00A546EA"/>
    <w:rsid w:val="00A54ECB"/>
    <w:rsid w:val="00A54F40"/>
    <w:rsid w:val="00A54FE6"/>
    <w:rsid w:val="00A5529D"/>
    <w:rsid w:val="00A555E9"/>
    <w:rsid w:val="00A556CA"/>
    <w:rsid w:val="00A55BEB"/>
    <w:rsid w:val="00A56DA6"/>
    <w:rsid w:val="00A56E8F"/>
    <w:rsid w:val="00A573E6"/>
    <w:rsid w:val="00A60F01"/>
    <w:rsid w:val="00A60FA0"/>
    <w:rsid w:val="00A6145D"/>
    <w:rsid w:val="00A62696"/>
    <w:rsid w:val="00A6270A"/>
    <w:rsid w:val="00A6689B"/>
    <w:rsid w:val="00A67908"/>
    <w:rsid w:val="00A70031"/>
    <w:rsid w:val="00A700DE"/>
    <w:rsid w:val="00A70EB1"/>
    <w:rsid w:val="00A721E6"/>
    <w:rsid w:val="00A72322"/>
    <w:rsid w:val="00A725DD"/>
    <w:rsid w:val="00A728ED"/>
    <w:rsid w:val="00A72F1C"/>
    <w:rsid w:val="00A7549D"/>
    <w:rsid w:val="00A75D37"/>
    <w:rsid w:val="00A763D0"/>
    <w:rsid w:val="00A7641E"/>
    <w:rsid w:val="00A778D9"/>
    <w:rsid w:val="00A80725"/>
    <w:rsid w:val="00A8154F"/>
    <w:rsid w:val="00A8177B"/>
    <w:rsid w:val="00A82E11"/>
    <w:rsid w:val="00A82E25"/>
    <w:rsid w:val="00A83014"/>
    <w:rsid w:val="00A83F0C"/>
    <w:rsid w:val="00A845BA"/>
    <w:rsid w:val="00A8516E"/>
    <w:rsid w:val="00A86F98"/>
    <w:rsid w:val="00A875FB"/>
    <w:rsid w:val="00A878EF"/>
    <w:rsid w:val="00A903B9"/>
    <w:rsid w:val="00A90D77"/>
    <w:rsid w:val="00A94D44"/>
    <w:rsid w:val="00A95055"/>
    <w:rsid w:val="00A96376"/>
    <w:rsid w:val="00A97EAD"/>
    <w:rsid w:val="00AA0381"/>
    <w:rsid w:val="00AA0873"/>
    <w:rsid w:val="00AA0A3D"/>
    <w:rsid w:val="00AA0BA9"/>
    <w:rsid w:val="00AA5D76"/>
    <w:rsid w:val="00AA6855"/>
    <w:rsid w:val="00AA7C1C"/>
    <w:rsid w:val="00AB034C"/>
    <w:rsid w:val="00AB07AD"/>
    <w:rsid w:val="00AB103F"/>
    <w:rsid w:val="00AB2593"/>
    <w:rsid w:val="00AB2ABD"/>
    <w:rsid w:val="00AB2B0B"/>
    <w:rsid w:val="00AB2C90"/>
    <w:rsid w:val="00AB331C"/>
    <w:rsid w:val="00AB39EC"/>
    <w:rsid w:val="00AB4B91"/>
    <w:rsid w:val="00AB564C"/>
    <w:rsid w:val="00AB5748"/>
    <w:rsid w:val="00AB5A4C"/>
    <w:rsid w:val="00AB6D8A"/>
    <w:rsid w:val="00AB7577"/>
    <w:rsid w:val="00AC13E8"/>
    <w:rsid w:val="00AC213E"/>
    <w:rsid w:val="00AC2411"/>
    <w:rsid w:val="00AC296D"/>
    <w:rsid w:val="00AC36B4"/>
    <w:rsid w:val="00AC4450"/>
    <w:rsid w:val="00AC454B"/>
    <w:rsid w:val="00AC50DC"/>
    <w:rsid w:val="00AC5BA7"/>
    <w:rsid w:val="00AC5FE7"/>
    <w:rsid w:val="00AC6170"/>
    <w:rsid w:val="00AC6A26"/>
    <w:rsid w:val="00AC73C7"/>
    <w:rsid w:val="00AD00D6"/>
    <w:rsid w:val="00AD04A1"/>
    <w:rsid w:val="00AD0820"/>
    <w:rsid w:val="00AD09E6"/>
    <w:rsid w:val="00AD1D61"/>
    <w:rsid w:val="00AD3776"/>
    <w:rsid w:val="00AD40B7"/>
    <w:rsid w:val="00AD5BF7"/>
    <w:rsid w:val="00AD61DC"/>
    <w:rsid w:val="00AD6A65"/>
    <w:rsid w:val="00AE01DD"/>
    <w:rsid w:val="00AE1553"/>
    <w:rsid w:val="00AE2BEC"/>
    <w:rsid w:val="00AE597F"/>
    <w:rsid w:val="00AE61F9"/>
    <w:rsid w:val="00AE77B4"/>
    <w:rsid w:val="00AF0401"/>
    <w:rsid w:val="00AF137E"/>
    <w:rsid w:val="00AF1795"/>
    <w:rsid w:val="00AF224B"/>
    <w:rsid w:val="00AF405B"/>
    <w:rsid w:val="00AF4F09"/>
    <w:rsid w:val="00AF54A6"/>
    <w:rsid w:val="00AF6C7C"/>
    <w:rsid w:val="00AF7691"/>
    <w:rsid w:val="00AF7E63"/>
    <w:rsid w:val="00AF7F84"/>
    <w:rsid w:val="00B0189A"/>
    <w:rsid w:val="00B02DA9"/>
    <w:rsid w:val="00B05073"/>
    <w:rsid w:val="00B05F98"/>
    <w:rsid w:val="00B07AD8"/>
    <w:rsid w:val="00B1020A"/>
    <w:rsid w:val="00B1235D"/>
    <w:rsid w:val="00B125C4"/>
    <w:rsid w:val="00B128D2"/>
    <w:rsid w:val="00B12C4E"/>
    <w:rsid w:val="00B139E1"/>
    <w:rsid w:val="00B13B74"/>
    <w:rsid w:val="00B13E88"/>
    <w:rsid w:val="00B14B23"/>
    <w:rsid w:val="00B1562D"/>
    <w:rsid w:val="00B15FE4"/>
    <w:rsid w:val="00B17308"/>
    <w:rsid w:val="00B17B81"/>
    <w:rsid w:val="00B217AC"/>
    <w:rsid w:val="00B2447F"/>
    <w:rsid w:val="00B2480A"/>
    <w:rsid w:val="00B2553E"/>
    <w:rsid w:val="00B26392"/>
    <w:rsid w:val="00B2683F"/>
    <w:rsid w:val="00B271E7"/>
    <w:rsid w:val="00B305F1"/>
    <w:rsid w:val="00B3085D"/>
    <w:rsid w:val="00B308C9"/>
    <w:rsid w:val="00B30FDB"/>
    <w:rsid w:val="00B3101C"/>
    <w:rsid w:val="00B3126B"/>
    <w:rsid w:val="00B31382"/>
    <w:rsid w:val="00B31A0F"/>
    <w:rsid w:val="00B32AF6"/>
    <w:rsid w:val="00B363D6"/>
    <w:rsid w:val="00B377A7"/>
    <w:rsid w:val="00B37F4D"/>
    <w:rsid w:val="00B40EE6"/>
    <w:rsid w:val="00B4268E"/>
    <w:rsid w:val="00B4367B"/>
    <w:rsid w:val="00B439D9"/>
    <w:rsid w:val="00B44BB9"/>
    <w:rsid w:val="00B44FF0"/>
    <w:rsid w:val="00B475A2"/>
    <w:rsid w:val="00B525FD"/>
    <w:rsid w:val="00B53AF3"/>
    <w:rsid w:val="00B53D70"/>
    <w:rsid w:val="00B53F85"/>
    <w:rsid w:val="00B54853"/>
    <w:rsid w:val="00B548E4"/>
    <w:rsid w:val="00B54A20"/>
    <w:rsid w:val="00B55559"/>
    <w:rsid w:val="00B55A86"/>
    <w:rsid w:val="00B56660"/>
    <w:rsid w:val="00B57B8D"/>
    <w:rsid w:val="00B60588"/>
    <w:rsid w:val="00B60C7D"/>
    <w:rsid w:val="00B60D6C"/>
    <w:rsid w:val="00B617F7"/>
    <w:rsid w:val="00B62753"/>
    <w:rsid w:val="00B629B3"/>
    <w:rsid w:val="00B62DFC"/>
    <w:rsid w:val="00B63E92"/>
    <w:rsid w:val="00B65896"/>
    <w:rsid w:val="00B66385"/>
    <w:rsid w:val="00B665FD"/>
    <w:rsid w:val="00B6697A"/>
    <w:rsid w:val="00B66C1D"/>
    <w:rsid w:val="00B66F59"/>
    <w:rsid w:val="00B67884"/>
    <w:rsid w:val="00B67BEA"/>
    <w:rsid w:val="00B70341"/>
    <w:rsid w:val="00B7080D"/>
    <w:rsid w:val="00B71434"/>
    <w:rsid w:val="00B71457"/>
    <w:rsid w:val="00B7343B"/>
    <w:rsid w:val="00B73910"/>
    <w:rsid w:val="00B74E77"/>
    <w:rsid w:val="00B75995"/>
    <w:rsid w:val="00B76690"/>
    <w:rsid w:val="00B76C94"/>
    <w:rsid w:val="00B77243"/>
    <w:rsid w:val="00B77870"/>
    <w:rsid w:val="00B77888"/>
    <w:rsid w:val="00B77CEB"/>
    <w:rsid w:val="00B77D3D"/>
    <w:rsid w:val="00B8018D"/>
    <w:rsid w:val="00B80A25"/>
    <w:rsid w:val="00B80D56"/>
    <w:rsid w:val="00B81F2C"/>
    <w:rsid w:val="00B82C7B"/>
    <w:rsid w:val="00B8396D"/>
    <w:rsid w:val="00B8431F"/>
    <w:rsid w:val="00B847D9"/>
    <w:rsid w:val="00B84FA9"/>
    <w:rsid w:val="00B85250"/>
    <w:rsid w:val="00B85BE4"/>
    <w:rsid w:val="00B87214"/>
    <w:rsid w:val="00B90A5E"/>
    <w:rsid w:val="00B9206F"/>
    <w:rsid w:val="00B93705"/>
    <w:rsid w:val="00B941FD"/>
    <w:rsid w:val="00B947E8"/>
    <w:rsid w:val="00B94AA7"/>
    <w:rsid w:val="00B94FD9"/>
    <w:rsid w:val="00B95814"/>
    <w:rsid w:val="00B96D24"/>
    <w:rsid w:val="00B96EEC"/>
    <w:rsid w:val="00BA15FB"/>
    <w:rsid w:val="00BA1756"/>
    <w:rsid w:val="00BA26D7"/>
    <w:rsid w:val="00BA3FBD"/>
    <w:rsid w:val="00BA4F49"/>
    <w:rsid w:val="00BA567E"/>
    <w:rsid w:val="00BB06CF"/>
    <w:rsid w:val="00BB2B56"/>
    <w:rsid w:val="00BB571D"/>
    <w:rsid w:val="00BB5B7D"/>
    <w:rsid w:val="00BB5CF4"/>
    <w:rsid w:val="00BB6C88"/>
    <w:rsid w:val="00BC09E6"/>
    <w:rsid w:val="00BC12CD"/>
    <w:rsid w:val="00BC178B"/>
    <w:rsid w:val="00BC1828"/>
    <w:rsid w:val="00BC22BC"/>
    <w:rsid w:val="00BC3A87"/>
    <w:rsid w:val="00BC42BE"/>
    <w:rsid w:val="00BC5499"/>
    <w:rsid w:val="00BC5B93"/>
    <w:rsid w:val="00BC6DF4"/>
    <w:rsid w:val="00BC77C0"/>
    <w:rsid w:val="00BC7B6B"/>
    <w:rsid w:val="00BC7DBC"/>
    <w:rsid w:val="00BD0C74"/>
    <w:rsid w:val="00BD1209"/>
    <w:rsid w:val="00BD1368"/>
    <w:rsid w:val="00BD1574"/>
    <w:rsid w:val="00BD2B5E"/>
    <w:rsid w:val="00BD35F6"/>
    <w:rsid w:val="00BD3656"/>
    <w:rsid w:val="00BD38AD"/>
    <w:rsid w:val="00BD3932"/>
    <w:rsid w:val="00BD3BDE"/>
    <w:rsid w:val="00BD4A3B"/>
    <w:rsid w:val="00BD5310"/>
    <w:rsid w:val="00BD5471"/>
    <w:rsid w:val="00BD64D9"/>
    <w:rsid w:val="00BD6B28"/>
    <w:rsid w:val="00BD6C2D"/>
    <w:rsid w:val="00BD6E9E"/>
    <w:rsid w:val="00BD6F49"/>
    <w:rsid w:val="00BE08A8"/>
    <w:rsid w:val="00BE291D"/>
    <w:rsid w:val="00BE3933"/>
    <w:rsid w:val="00BE4D64"/>
    <w:rsid w:val="00BE500A"/>
    <w:rsid w:val="00BE5E6D"/>
    <w:rsid w:val="00BE69DF"/>
    <w:rsid w:val="00BE7D31"/>
    <w:rsid w:val="00BF017B"/>
    <w:rsid w:val="00BF0D7E"/>
    <w:rsid w:val="00BF0F8D"/>
    <w:rsid w:val="00BF104E"/>
    <w:rsid w:val="00BF1082"/>
    <w:rsid w:val="00BF2CD2"/>
    <w:rsid w:val="00BF2F6C"/>
    <w:rsid w:val="00BF3ED1"/>
    <w:rsid w:val="00BF46EA"/>
    <w:rsid w:val="00BF69D4"/>
    <w:rsid w:val="00BF6C1B"/>
    <w:rsid w:val="00BF77C6"/>
    <w:rsid w:val="00C00AB3"/>
    <w:rsid w:val="00C01AE5"/>
    <w:rsid w:val="00C01E67"/>
    <w:rsid w:val="00C0214F"/>
    <w:rsid w:val="00C025A7"/>
    <w:rsid w:val="00C0266B"/>
    <w:rsid w:val="00C02D6A"/>
    <w:rsid w:val="00C03144"/>
    <w:rsid w:val="00C03423"/>
    <w:rsid w:val="00C03CBB"/>
    <w:rsid w:val="00C049DC"/>
    <w:rsid w:val="00C04B7A"/>
    <w:rsid w:val="00C05F67"/>
    <w:rsid w:val="00C0706B"/>
    <w:rsid w:val="00C076D0"/>
    <w:rsid w:val="00C07E99"/>
    <w:rsid w:val="00C11C77"/>
    <w:rsid w:val="00C12FC8"/>
    <w:rsid w:val="00C135D0"/>
    <w:rsid w:val="00C14CAA"/>
    <w:rsid w:val="00C15BF7"/>
    <w:rsid w:val="00C15E12"/>
    <w:rsid w:val="00C16BA2"/>
    <w:rsid w:val="00C202D1"/>
    <w:rsid w:val="00C20B19"/>
    <w:rsid w:val="00C210DA"/>
    <w:rsid w:val="00C2189F"/>
    <w:rsid w:val="00C22411"/>
    <w:rsid w:val="00C23D10"/>
    <w:rsid w:val="00C2446F"/>
    <w:rsid w:val="00C249FA"/>
    <w:rsid w:val="00C24F71"/>
    <w:rsid w:val="00C26858"/>
    <w:rsid w:val="00C27052"/>
    <w:rsid w:val="00C27875"/>
    <w:rsid w:val="00C27BD5"/>
    <w:rsid w:val="00C30977"/>
    <w:rsid w:val="00C3198E"/>
    <w:rsid w:val="00C31F52"/>
    <w:rsid w:val="00C3242B"/>
    <w:rsid w:val="00C33DDE"/>
    <w:rsid w:val="00C35103"/>
    <w:rsid w:val="00C351FC"/>
    <w:rsid w:val="00C36573"/>
    <w:rsid w:val="00C368CD"/>
    <w:rsid w:val="00C36E1A"/>
    <w:rsid w:val="00C376B0"/>
    <w:rsid w:val="00C4022B"/>
    <w:rsid w:val="00C40850"/>
    <w:rsid w:val="00C42F75"/>
    <w:rsid w:val="00C431D3"/>
    <w:rsid w:val="00C44763"/>
    <w:rsid w:val="00C447C7"/>
    <w:rsid w:val="00C4509A"/>
    <w:rsid w:val="00C45743"/>
    <w:rsid w:val="00C45975"/>
    <w:rsid w:val="00C507F7"/>
    <w:rsid w:val="00C5269A"/>
    <w:rsid w:val="00C538B9"/>
    <w:rsid w:val="00C54790"/>
    <w:rsid w:val="00C554B7"/>
    <w:rsid w:val="00C559CB"/>
    <w:rsid w:val="00C56601"/>
    <w:rsid w:val="00C5737D"/>
    <w:rsid w:val="00C573F1"/>
    <w:rsid w:val="00C60394"/>
    <w:rsid w:val="00C6090C"/>
    <w:rsid w:val="00C6116C"/>
    <w:rsid w:val="00C61792"/>
    <w:rsid w:val="00C6280B"/>
    <w:rsid w:val="00C634BA"/>
    <w:rsid w:val="00C656C3"/>
    <w:rsid w:val="00C66710"/>
    <w:rsid w:val="00C66BBA"/>
    <w:rsid w:val="00C67589"/>
    <w:rsid w:val="00C67F5E"/>
    <w:rsid w:val="00C701AF"/>
    <w:rsid w:val="00C702C0"/>
    <w:rsid w:val="00C70CE5"/>
    <w:rsid w:val="00C70F65"/>
    <w:rsid w:val="00C71766"/>
    <w:rsid w:val="00C7223E"/>
    <w:rsid w:val="00C72CE2"/>
    <w:rsid w:val="00C73426"/>
    <w:rsid w:val="00C768F0"/>
    <w:rsid w:val="00C76B52"/>
    <w:rsid w:val="00C77C68"/>
    <w:rsid w:val="00C80189"/>
    <w:rsid w:val="00C8037F"/>
    <w:rsid w:val="00C80F55"/>
    <w:rsid w:val="00C82AF1"/>
    <w:rsid w:val="00C82EC8"/>
    <w:rsid w:val="00C830DC"/>
    <w:rsid w:val="00C835AE"/>
    <w:rsid w:val="00C83E54"/>
    <w:rsid w:val="00C844E9"/>
    <w:rsid w:val="00C86CC8"/>
    <w:rsid w:val="00C8701C"/>
    <w:rsid w:val="00C91EDD"/>
    <w:rsid w:val="00C92A91"/>
    <w:rsid w:val="00C94744"/>
    <w:rsid w:val="00C973D5"/>
    <w:rsid w:val="00C976B5"/>
    <w:rsid w:val="00C97902"/>
    <w:rsid w:val="00CA047B"/>
    <w:rsid w:val="00CA05BD"/>
    <w:rsid w:val="00CA0840"/>
    <w:rsid w:val="00CA0BFF"/>
    <w:rsid w:val="00CA217E"/>
    <w:rsid w:val="00CA3E08"/>
    <w:rsid w:val="00CA4110"/>
    <w:rsid w:val="00CA641D"/>
    <w:rsid w:val="00CA6BE1"/>
    <w:rsid w:val="00CA6E78"/>
    <w:rsid w:val="00CB0327"/>
    <w:rsid w:val="00CB09B4"/>
    <w:rsid w:val="00CB3299"/>
    <w:rsid w:val="00CB39C2"/>
    <w:rsid w:val="00CB4598"/>
    <w:rsid w:val="00CB5021"/>
    <w:rsid w:val="00CB58B7"/>
    <w:rsid w:val="00CB5BE8"/>
    <w:rsid w:val="00CB656E"/>
    <w:rsid w:val="00CC04C4"/>
    <w:rsid w:val="00CC0A64"/>
    <w:rsid w:val="00CC188F"/>
    <w:rsid w:val="00CC235F"/>
    <w:rsid w:val="00CC2AE7"/>
    <w:rsid w:val="00CC310F"/>
    <w:rsid w:val="00CC36EF"/>
    <w:rsid w:val="00CC560E"/>
    <w:rsid w:val="00CC656F"/>
    <w:rsid w:val="00CC6D93"/>
    <w:rsid w:val="00CC7F6E"/>
    <w:rsid w:val="00CD0358"/>
    <w:rsid w:val="00CD0964"/>
    <w:rsid w:val="00CD0BD5"/>
    <w:rsid w:val="00CD33E1"/>
    <w:rsid w:val="00CD3F74"/>
    <w:rsid w:val="00CD43A0"/>
    <w:rsid w:val="00CD4C53"/>
    <w:rsid w:val="00CD5347"/>
    <w:rsid w:val="00CD541E"/>
    <w:rsid w:val="00CD5931"/>
    <w:rsid w:val="00CD6C32"/>
    <w:rsid w:val="00CE101E"/>
    <w:rsid w:val="00CE128E"/>
    <w:rsid w:val="00CE1499"/>
    <w:rsid w:val="00CE3001"/>
    <w:rsid w:val="00CE3CE0"/>
    <w:rsid w:val="00CE3D64"/>
    <w:rsid w:val="00CE4239"/>
    <w:rsid w:val="00CE496A"/>
    <w:rsid w:val="00CE4A9A"/>
    <w:rsid w:val="00CE4D23"/>
    <w:rsid w:val="00CE6E1B"/>
    <w:rsid w:val="00CE768D"/>
    <w:rsid w:val="00CE79B1"/>
    <w:rsid w:val="00CE7DAA"/>
    <w:rsid w:val="00CE7EF1"/>
    <w:rsid w:val="00CF0299"/>
    <w:rsid w:val="00CF04AA"/>
    <w:rsid w:val="00CF3009"/>
    <w:rsid w:val="00CF3C6C"/>
    <w:rsid w:val="00CF4A67"/>
    <w:rsid w:val="00CF5C85"/>
    <w:rsid w:val="00CF646B"/>
    <w:rsid w:val="00CF6786"/>
    <w:rsid w:val="00CF6A49"/>
    <w:rsid w:val="00CF735C"/>
    <w:rsid w:val="00CF7D38"/>
    <w:rsid w:val="00D00850"/>
    <w:rsid w:val="00D0175E"/>
    <w:rsid w:val="00D0230C"/>
    <w:rsid w:val="00D02D1D"/>
    <w:rsid w:val="00D03279"/>
    <w:rsid w:val="00D0426C"/>
    <w:rsid w:val="00D04E51"/>
    <w:rsid w:val="00D05CBA"/>
    <w:rsid w:val="00D06977"/>
    <w:rsid w:val="00D10068"/>
    <w:rsid w:val="00D100AC"/>
    <w:rsid w:val="00D10E00"/>
    <w:rsid w:val="00D1224F"/>
    <w:rsid w:val="00D122CE"/>
    <w:rsid w:val="00D1256D"/>
    <w:rsid w:val="00D130AC"/>
    <w:rsid w:val="00D1357F"/>
    <w:rsid w:val="00D142F0"/>
    <w:rsid w:val="00D1462F"/>
    <w:rsid w:val="00D14E41"/>
    <w:rsid w:val="00D15F72"/>
    <w:rsid w:val="00D168AF"/>
    <w:rsid w:val="00D2007E"/>
    <w:rsid w:val="00D2039A"/>
    <w:rsid w:val="00D20627"/>
    <w:rsid w:val="00D20928"/>
    <w:rsid w:val="00D2264F"/>
    <w:rsid w:val="00D23458"/>
    <w:rsid w:val="00D2371D"/>
    <w:rsid w:val="00D23AB4"/>
    <w:rsid w:val="00D23E48"/>
    <w:rsid w:val="00D25014"/>
    <w:rsid w:val="00D260DB"/>
    <w:rsid w:val="00D26131"/>
    <w:rsid w:val="00D27552"/>
    <w:rsid w:val="00D30249"/>
    <w:rsid w:val="00D31017"/>
    <w:rsid w:val="00D311B2"/>
    <w:rsid w:val="00D3135E"/>
    <w:rsid w:val="00D3168D"/>
    <w:rsid w:val="00D31F3D"/>
    <w:rsid w:val="00D324C2"/>
    <w:rsid w:val="00D32696"/>
    <w:rsid w:val="00D345CB"/>
    <w:rsid w:val="00D35E9A"/>
    <w:rsid w:val="00D37E92"/>
    <w:rsid w:val="00D40251"/>
    <w:rsid w:val="00D40604"/>
    <w:rsid w:val="00D41831"/>
    <w:rsid w:val="00D41A20"/>
    <w:rsid w:val="00D41B6C"/>
    <w:rsid w:val="00D42361"/>
    <w:rsid w:val="00D42D62"/>
    <w:rsid w:val="00D42F16"/>
    <w:rsid w:val="00D456AD"/>
    <w:rsid w:val="00D45B07"/>
    <w:rsid w:val="00D45EB0"/>
    <w:rsid w:val="00D461FC"/>
    <w:rsid w:val="00D4662D"/>
    <w:rsid w:val="00D50EE3"/>
    <w:rsid w:val="00D51659"/>
    <w:rsid w:val="00D51BEE"/>
    <w:rsid w:val="00D5203A"/>
    <w:rsid w:val="00D522A1"/>
    <w:rsid w:val="00D52474"/>
    <w:rsid w:val="00D531C5"/>
    <w:rsid w:val="00D5349C"/>
    <w:rsid w:val="00D559EA"/>
    <w:rsid w:val="00D55C96"/>
    <w:rsid w:val="00D566B5"/>
    <w:rsid w:val="00D6046F"/>
    <w:rsid w:val="00D60EB7"/>
    <w:rsid w:val="00D61467"/>
    <w:rsid w:val="00D6331E"/>
    <w:rsid w:val="00D633C2"/>
    <w:rsid w:val="00D65A2D"/>
    <w:rsid w:val="00D66076"/>
    <w:rsid w:val="00D66434"/>
    <w:rsid w:val="00D66AA6"/>
    <w:rsid w:val="00D672CB"/>
    <w:rsid w:val="00D677C6"/>
    <w:rsid w:val="00D70296"/>
    <w:rsid w:val="00D706B8"/>
    <w:rsid w:val="00D7118F"/>
    <w:rsid w:val="00D72213"/>
    <w:rsid w:val="00D7265D"/>
    <w:rsid w:val="00D749C6"/>
    <w:rsid w:val="00D7582C"/>
    <w:rsid w:val="00D75BD6"/>
    <w:rsid w:val="00D76315"/>
    <w:rsid w:val="00D775EF"/>
    <w:rsid w:val="00D8013D"/>
    <w:rsid w:val="00D808D1"/>
    <w:rsid w:val="00D8160B"/>
    <w:rsid w:val="00D81DDF"/>
    <w:rsid w:val="00D82553"/>
    <w:rsid w:val="00D872B7"/>
    <w:rsid w:val="00D9065F"/>
    <w:rsid w:val="00D91154"/>
    <w:rsid w:val="00D9142C"/>
    <w:rsid w:val="00D91B99"/>
    <w:rsid w:val="00D92A47"/>
    <w:rsid w:val="00D93799"/>
    <w:rsid w:val="00D9394A"/>
    <w:rsid w:val="00D93B89"/>
    <w:rsid w:val="00D93E4D"/>
    <w:rsid w:val="00D956EB"/>
    <w:rsid w:val="00D95E4A"/>
    <w:rsid w:val="00D96D77"/>
    <w:rsid w:val="00D97095"/>
    <w:rsid w:val="00D97631"/>
    <w:rsid w:val="00D97F4B"/>
    <w:rsid w:val="00DA174D"/>
    <w:rsid w:val="00DA3180"/>
    <w:rsid w:val="00DA4303"/>
    <w:rsid w:val="00DA46DA"/>
    <w:rsid w:val="00DA6215"/>
    <w:rsid w:val="00DA6505"/>
    <w:rsid w:val="00DA72E2"/>
    <w:rsid w:val="00DB05B8"/>
    <w:rsid w:val="00DB301D"/>
    <w:rsid w:val="00DB3FC5"/>
    <w:rsid w:val="00DB4938"/>
    <w:rsid w:val="00DB5BDE"/>
    <w:rsid w:val="00DC05D4"/>
    <w:rsid w:val="00DC0FFF"/>
    <w:rsid w:val="00DC155A"/>
    <w:rsid w:val="00DC1863"/>
    <w:rsid w:val="00DC23DB"/>
    <w:rsid w:val="00DC302D"/>
    <w:rsid w:val="00DC4417"/>
    <w:rsid w:val="00DC487B"/>
    <w:rsid w:val="00DC5984"/>
    <w:rsid w:val="00DC6FE6"/>
    <w:rsid w:val="00DC7004"/>
    <w:rsid w:val="00DC7675"/>
    <w:rsid w:val="00DC7993"/>
    <w:rsid w:val="00DD0CD8"/>
    <w:rsid w:val="00DD256C"/>
    <w:rsid w:val="00DD2599"/>
    <w:rsid w:val="00DD2660"/>
    <w:rsid w:val="00DD2B44"/>
    <w:rsid w:val="00DD3014"/>
    <w:rsid w:val="00DD41B0"/>
    <w:rsid w:val="00DD44B2"/>
    <w:rsid w:val="00DD4FAE"/>
    <w:rsid w:val="00DD50A7"/>
    <w:rsid w:val="00DD549C"/>
    <w:rsid w:val="00DD5ED8"/>
    <w:rsid w:val="00DD6424"/>
    <w:rsid w:val="00DD6EE7"/>
    <w:rsid w:val="00DE1986"/>
    <w:rsid w:val="00DE1E2C"/>
    <w:rsid w:val="00DE1F1F"/>
    <w:rsid w:val="00DE1F77"/>
    <w:rsid w:val="00DE40BE"/>
    <w:rsid w:val="00DE6A17"/>
    <w:rsid w:val="00DE6D87"/>
    <w:rsid w:val="00DE726D"/>
    <w:rsid w:val="00DF0D67"/>
    <w:rsid w:val="00DF1A8B"/>
    <w:rsid w:val="00DF25DF"/>
    <w:rsid w:val="00DF3983"/>
    <w:rsid w:val="00DF4A5A"/>
    <w:rsid w:val="00DF5330"/>
    <w:rsid w:val="00DF537D"/>
    <w:rsid w:val="00DF5E05"/>
    <w:rsid w:val="00DF6126"/>
    <w:rsid w:val="00DF753E"/>
    <w:rsid w:val="00E0037C"/>
    <w:rsid w:val="00E00625"/>
    <w:rsid w:val="00E02354"/>
    <w:rsid w:val="00E025C2"/>
    <w:rsid w:val="00E03EA7"/>
    <w:rsid w:val="00E04E18"/>
    <w:rsid w:val="00E05242"/>
    <w:rsid w:val="00E058D9"/>
    <w:rsid w:val="00E061DB"/>
    <w:rsid w:val="00E103B5"/>
    <w:rsid w:val="00E1059A"/>
    <w:rsid w:val="00E106CF"/>
    <w:rsid w:val="00E1114A"/>
    <w:rsid w:val="00E129C8"/>
    <w:rsid w:val="00E12BD5"/>
    <w:rsid w:val="00E12CD4"/>
    <w:rsid w:val="00E15DBE"/>
    <w:rsid w:val="00E16AEA"/>
    <w:rsid w:val="00E174EF"/>
    <w:rsid w:val="00E17980"/>
    <w:rsid w:val="00E20684"/>
    <w:rsid w:val="00E207A4"/>
    <w:rsid w:val="00E20F42"/>
    <w:rsid w:val="00E22B11"/>
    <w:rsid w:val="00E22CC2"/>
    <w:rsid w:val="00E23EFB"/>
    <w:rsid w:val="00E24856"/>
    <w:rsid w:val="00E24FA5"/>
    <w:rsid w:val="00E25DDB"/>
    <w:rsid w:val="00E263C5"/>
    <w:rsid w:val="00E26F28"/>
    <w:rsid w:val="00E27442"/>
    <w:rsid w:val="00E2751F"/>
    <w:rsid w:val="00E30290"/>
    <w:rsid w:val="00E308CD"/>
    <w:rsid w:val="00E308E8"/>
    <w:rsid w:val="00E30BB9"/>
    <w:rsid w:val="00E3164F"/>
    <w:rsid w:val="00E31DC8"/>
    <w:rsid w:val="00E3203C"/>
    <w:rsid w:val="00E329E1"/>
    <w:rsid w:val="00E343D4"/>
    <w:rsid w:val="00E34C9B"/>
    <w:rsid w:val="00E37EF1"/>
    <w:rsid w:val="00E41685"/>
    <w:rsid w:val="00E418D8"/>
    <w:rsid w:val="00E421B9"/>
    <w:rsid w:val="00E42782"/>
    <w:rsid w:val="00E428F4"/>
    <w:rsid w:val="00E44477"/>
    <w:rsid w:val="00E44C64"/>
    <w:rsid w:val="00E456E9"/>
    <w:rsid w:val="00E45D38"/>
    <w:rsid w:val="00E46D6F"/>
    <w:rsid w:val="00E47DE6"/>
    <w:rsid w:val="00E47F0F"/>
    <w:rsid w:val="00E50035"/>
    <w:rsid w:val="00E500DA"/>
    <w:rsid w:val="00E505AE"/>
    <w:rsid w:val="00E50932"/>
    <w:rsid w:val="00E50E05"/>
    <w:rsid w:val="00E512ED"/>
    <w:rsid w:val="00E515D1"/>
    <w:rsid w:val="00E51E95"/>
    <w:rsid w:val="00E5215D"/>
    <w:rsid w:val="00E527F9"/>
    <w:rsid w:val="00E52FC1"/>
    <w:rsid w:val="00E53122"/>
    <w:rsid w:val="00E53D33"/>
    <w:rsid w:val="00E54F8D"/>
    <w:rsid w:val="00E56439"/>
    <w:rsid w:val="00E5652D"/>
    <w:rsid w:val="00E56EDB"/>
    <w:rsid w:val="00E57B51"/>
    <w:rsid w:val="00E57E9E"/>
    <w:rsid w:val="00E60EE2"/>
    <w:rsid w:val="00E61478"/>
    <w:rsid w:val="00E61725"/>
    <w:rsid w:val="00E61FA4"/>
    <w:rsid w:val="00E63B19"/>
    <w:rsid w:val="00E63B6C"/>
    <w:rsid w:val="00E64A42"/>
    <w:rsid w:val="00E652EC"/>
    <w:rsid w:val="00E7016A"/>
    <w:rsid w:val="00E705C2"/>
    <w:rsid w:val="00E71867"/>
    <w:rsid w:val="00E71A45"/>
    <w:rsid w:val="00E76155"/>
    <w:rsid w:val="00E761C7"/>
    <w:rsid w:val="00E76AEC"/>
    <w:rsid w:val="00E772CF"/>
    <w:rsid w:val="00E77C59"/>
    <w:rsid w:val="00E77F23"/>
    <w:rsid w:val="00E8153A"/>
    <w:rsid w:val="00E81945"/>
    <w:rsid w:val="00E834F2"/>
    <w:rsid w:val="00E83B45"/>
    <w:rsid w:val="00E8664D"/>
    <w:rsid w:val="00E90FDC"/>
    <w:rsid w:val="00E91133"/>
    <w:rsid w:val="00E91513"/>
    <w:rsid w:val="00E9277D"/>
    <w:rsid w:val="00E92E12"/>
    <w:rsid w:val="00E9394D"/>
    <w:rsid w:val="00E94E98"/>
    <w:rsid w:val="00E9626C"/>
    <w:rsid w:val="00E967C0"/>
    <w:rsid w:val="00E96EE4"/>
    <w:rsid w:val="00E96F8B"/>
    <w:rsid w:val="00E972DF"/>
    <w:rsid w:val="00E97A56"/>
    <w:rsid w:val="00EA05FE"/>
    <w:rsid w:val="00EA14B4"/>
    <w:rsid w:val="00EA31B8"/>
    <w:rsid w:val="00EA3431"/>
    <w:rsid w:val="00EA35A9"/>
    <w:rsid w:val="00EA3ABD"/>
    <w:rsid w:val="00EA464F"/>
    <w:rsid w:val="00EA5972"/>
    <w:rsid w:val="00EA684B"/>
    <w:rsid w:val="00EA71DA"/>
    <w:rsid w:val="00EB1556"/>
    <w:rsid w:val="00EB1856"/>
    <w:rsid w:val="00EB1D2C"/>
    <w:rsid w:val="00EB29A9"/>
    <w:rsid w:val="00EB2BAC"/>
    <w:rsid w:val="00EB43E8"/>
    <w:rsid w:val="00EB530C"/>
    <w:rsid w:val="00EB6D99"/>
    <w:rsid w:val="00EB7CB1"/>
    <w:rsid w:val="00EB7DEE"/>
    <w:rsid w:val="00EC026B"/>
    <w:rsid w:val="00EC111E"/>
    <w:rsid w:val="00EC2022"/>
    <w:rsid w:val="00EC2316"/>
    <w:rsid w:val="00EC46E7"/>
    <w:rsid w:val="00EC4CD0"/>
    <w:rsid w:val="00EC58B6"/>
    <w:rsid w:val="00ED0832"/>
    <w:rsid w:val="00ED087B"/>
    <w:rsid w:val="00ED1105"/>
    <w:rsid w:val="00ED190C"/>
    <w:rsid w:val="00ED2521"/>
    <w:rsid w:val="00ED3CC6"/>
    <w:rsid w:val="00ED64A7"/>
    <w:rsid w:val="00EE0899"/>
    <w:rsid w:val="00EE15DE"/>
    <w:rsid w:val="00EE2065"/>
    <w:rsid w:val="00EE21FC"/>
    <w:rsid w:val="00EE2BF8"/>
    <w:rsid w:val="00EE3564"/>
    <w:rsid w:val="00EE4824"/>
    <w:rsid w:val="00EE4D96"/>
    <w:rsid w:val="00EE4DDC"/>
    <w:rsid w:val="00EE6997"/>
    <w:rsid w:val="00EF0461"/>
    <w:rsid w:val="00EF0BE6"/>
    <w:rsid w:val="00EF1320"/>
    <w:rsid w:val="00EF1AFB"/>
    <w:rsid w:val="00EF337E"/>
    <w:rsid w:val="00EF360D"/>
    <w:rsid w:val="00EF4253"/>
    <w:rsid w:val="00EF4344"/>
    <w:rsid w:val="00EF44B2"/>
    <w:rsid w:val="00EF496F"/>
    <w:rsid w:val="00EF4A79"/>
    <w:rsid w:val="00EF51C8"/>
    <w:rsid w:val="00EF7B26"/>
    <w:rsid w:val="00F010C0"/>
    <w:rsid w:val="00F01690"/>
    <w:rsid w:val="00F027D1"/>
    <w:rsid w:val="00F02AAF"/>
    <w:rsid w:val="00F037E9"/>
    <w:rsid w:val="00F03FD6"/>
    <w:rsid w:val="00F070AF"/>
    <w:rsid w:val="00F07849"/>
    <w:rsid w:val="00F10D43"/>
    <w:rsid w:val="00F11B2E"/>
    <w:rsid w:val="00F11B58"/>
    <w:rsid w:val="00F12688"/>
    <w:rsid w:val="00F14829"/>
    <w:rsid w:val="00F151C1"/>
    <w:rsid w:val="00F15DCD"/>
    <w:rsid w:val="00F16036"/>
    <w:rsid w:val="00F16B3F"/>
    <w:rsid w:val="00F17D07"/>
    <w:rsid w:val="00F22747"/>
    <w:rsid w:val="00F22AB6"/>
    <w:rsid w:val="00F236EC"/>
    <w:rsid w:val="00F23918"/>
    <w:rsid w:val="00F23B23"/>
    <w:rsid w:val="00F23BDD"/>
    <w:rsid w:val="00F24C30"/>
    <w:rsid w:val="00F24E81"/>
    <w:rsid w:val="00F25482"/>
    <w:rsid w:val="00F30FB7"/>
    <w:rsid w:val="00F31D74"/>
    <w:rsid w:val="00F32634"/>
    <w:rsid w:val="00F326FF"/>
    <w:rsid w:val="00F32853"/>
    <w:rsid w:val="00F332B8"/>
    <w:rsid w:val="00F339F2"/>
    <w:rsid w:val="00F33A18"/>
    <w:rsid w:val="00F354DD"/>
    <w:rsid w:val="00F35C25"/>
    <w:rsid w:val="00F362E4"/>
    <w:rsid w:val="00F41A58"/>
    <w:rsid w:val="00F42513"/>
    <w:rsid w:val="00F43325"/>
    <w:rsid w:val="00F467ED"/>
    <w:rsid w:val="00F472AE"/>
    <w:rsid w:val="00F47912"/>
    <w:rsid w:val="00F47D4E"/>
    <w:rsid w:val="00F50A33"/>
    <w:rsid w:val="00F50A7C"/>
    <w:rsid w:val="00F50F25"/>
    <w:rsid w:val="00F5196B"/>
    <w:rsid w:val="00F51FA7"/>
    <w:rsid w:val="00F52EC7"/>
    <w:rsid w:val="00F5329C"/>
    <w:rsid w:val="00F534B8"/>
    <w:rsid w:val="00F53553"/>
    <w:rsid w:val="00F53BB2"/>
    <w:rsid w:val="00F548DB"/>
    <w:rsid w:val="00F54E0E"/>
    <w:rsid w:val="00F6020B"/>
    <w:rsid w:val="00F606E8"/>
    <w:rsid w:val="00F614FE"/>
    <w:rsid w:val="00F62CDA"/>
    <w:rsid w:val="00F63451"/>
    <w:rsid w:val="00F63FC9"/>
    <w:rsid w:val="00F64AA7"/>
    <w:rsid w:val="00F64D77"/>
    <w:rsid w:val="00F6532A"/>
    <w:rsid w:val="00F65CA3"/>
    <w:rsid w:val="00F65F32"/>
    <w:rsid w:val="00F66221"/>
    <w:rsid w:val="00F669B7"/>
    <w:rsid w:val="00F676BB"/>
    <w:rsid w:val="00F70717"/>
    <w:rsid w:val="00F71951"/>
    <w:rsid w:val="00F7328B"/>
    <w:rsid w:val="00F73BA2"/>
    <w:rsid w:val="00F752A0"/>
    <w:rsid w:val="00F755CC"/>
    <w:rsid w:val="00F75D12"/>
    <w:rsid w:val="00F76069"/>
    <w:rsid w:val="00F76E3D"/>
    <w:rsid w:val="00F77B0B"/>
    <w:rsid w:val="00F81088"/>
    <w:rsid w:val="00F8137B"/>
    <w:rsid w:val="00F81FD0"/>
    <w:rsid w:val="00F8258D"/>
    <w:rsid w:val="00F83966"/>
    <w:rsid w:val="00F839C6"/>
    <w:rsid w:val="00F83BD7"/>
    <w:rsid w:val="00F84A31"/>
    <w:rsid w:val="00F8508C"/>
    <w:rsid w:val="00F8534A"/>
    <w:rsid w:val="00F85B04"/>
    <w:rsid w:val="00F85DCE"/>
    <w:rsid w:val="00F8792A"/>
    <w:rsid w:val="00F906A1"/>
    <w:rsid w:val="00F90A5F"/>
    <w:rsid w:val="00F90CE1"/>
    <w:rsid w:val="00F90F32"/>
    <w:rsid w:val="00F91818"/>
    <w:rsid w:val="00F9183E"/>
    <w:rsid w:val="00F92396"/>
    <w:rsid w:val="00F932EF"/>
    <w:rsid w:val="00F93720"/>
    <w:rsid w:val="00F946DF"/>
    <w:rsid w:val="00F947F1"/>
    <w:rsid w:val="00F957C3"/>
    <w:rsid w:val="00F96BDD"/>
    <w:rsid w:val="00FA25B6"/>
    <w:rsid w:val="00FA3D44"/>
    <w:rsid w:val="00FA4356"/>
    <w:rsid w:val="00FB00C4"/>
    <w:rsid w:val="00FB018D"/>
    <w:rsid w:val="00FB0CF2"/>
    <w:rsid w:val="00FB2B8E"/>
    <w:rsid w:val="00FB2CFF"/>
    <w:rsid w:val="00FB3A3B"/>
    <w:rsid w:val="00FB47A0"/>
    <w:rsid w:val="00FB4CFC"/>
    <w:rsid w:val="00FB56AC"/>
    <w:rsid w:val="00FB6362"/>
    <w:rsid w:val="00FB63B5"/>
    <w:rsid w:val="00FB6568"/>
    <w:rsid w:val="00FC15F6"/>
    <w:rsid w:val="00FC177D"/>
    <w:rsid w:val="00FC249F"/>
    <w:rsid w:val="00FC66BB"/>
    <w:rsid w:val="00FC6BD3"/>
    <w:rsid w:val="00FC7151"/>
    <w:rsid w:val="00FC72A0"/>
    <w:rsid w:val="00FD0669"/>
    <w:rsid w:val="00FD0FAA"/>
    <w:rsid w:val="00FD143E"/>
    <w:rsid w:val="00FD1F58"/>
    <w:rsid w:val="00FD1F6F"/>
    <w:rsid w:val="00FD24FA"/>
    <w:rsid w:val="00FD4E3C"/>
    <w:rsid w:val="00FD68C1"/>
    <w:rsid w:val="00FD7F34"/>
    <w:rsid w:val="00FE029F"/>
    <w:rsid w:val="00FE0B76"/>
    <w:rsid w:val="00FE1177"/>
    <w:rsid w:val="00FE11AD"/>
    <w:rsid w:val="00FE1A61"/>
    <w:rsid w:val="00FE1B2D"/>
    <w:rsid w:val="00FE2982"/>
    <w:rsid w:val="00FE2D91"/>
    <w:rsid w:val="00FE3DB5"/>
    <w:rsid w:val="00FE422E"/>
    <w:rsid w:val="00FE4AB5"/>
    <w:rsid w:val="00FE566F"/>
    <w:rsid w:val="00FE6AC8"/>
    <w:rsid w:val="00FF0945"/>
    <w:rsid w:val="00FF0B25"/>
    <w:rsid w:val="00FF34E3"/>
    <w:rsid w:val="00FF3886"/>
    <w:rsid w:val="00FF43DF"/>
    <w:rsid w:val="00FF47A7"/>
    <w:rsid w:val="00FF562C"/>
    <w:rsid w:val="00FF5AE0"/>
    <w:rsid w:val="00FF5E83"/>
    <w:rsid w:val="00FF649E"/>
    <w:rsid w:val="00FF795D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Normal">
    <w:name w:val="Normal"/>
    <w:qFormat/>
    <w:rsid w:val="00E500DA"/>
    <w:rPr>
      <w:rFonts w:eastAsia="Times New Roman"/>
      <w:sz w:val="24"/>
    </w:rPr>
  </w:style>
  <w:style w:type="paragraph" w:styleId="Heading1">
    <w:name w:val="heading 1"/>
    <w:aliases w:val="Heading 1 Char"/>
    <w:basedOn w:val="Normal"/>
    <w:next w:val="Normal"/>
    <w:qFormat/>
    <w:rsid w:val="00E500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F46EA"/>
    <w:pPr>
      <w:keepNext/>
      <w:spacing w:before="240" w:after="240"/>
      <w:outlineLvl w:val="1"/>
    </w:pPr>
    <w:rPr>
      <w:rFonts w:ascii="Arial" w:eastAsia="Times" w:hAnsi="Arial"/>
      <w:b/>
      <w:color w:val="000000"/>
      <w:sz w:val="28"/>
    </w:rPr>
  </w:style>
  <w:style w:type="paragraph" w:styleId="Heading3">
    <w:name w:val="heading 3"/>
    <w:aliases w:val="Don't use"/>
    <w:basedOn w:val="Normal"/>
    <w:next w:val="Normal"/>
    <w:link w:val="Heading3Char"/>
    <w:qFormat/>
    <w:rsid w:val="008E5EBA"/>
    <w:pPr>
      <w:keepNext/>
      <w:spacing w:before="240" w:after="60"/>
      <w:ind w:firstLine="360"/>
      <w:outlineLvl w:val="2"/>
    </w:pPr>
    <w:rPr>
      <w:rFonts w:ascii="Times New Roman" w:hAnsi="Times New Roman" w:cs="Arial"/>
      <w:b/>
      <w:bCs/>
      <w:szCs w:val="26"/>
    </w:rPr>
  </w:style>
  <w:style w:type="paragraph" w:styleId="Heading4">
    <w:name w:val="heading 4"/>
    <w:aliases w:val="Do not use"/>
    <w:basedOn w:val="Normal"/>
    <w:next w:val="Normal"/>
    <w:link w:val="Heading4Char"/>
    <w:qFormat/>
    <w:rsid w:val="008E5EBA"/>
    <w:pPr>
      <w:keepNext/>
      <w:tabs>
        <w:tab w:val="right" w:pos="9180"/>
      </w:tabs>
      <w:ind w:firstLine="360"/>
      <w:outlineLvl w:val="3"/>
    </w:pPr>
    <w:rPr>
      <w:rFonts w:eastAsia="Times"/>
      <w:i/>
      <w:szCs w:val="28"/>
    </w:rPr>
  </w:style>
  <w:style w:type="paragraph" w:styleId="Heading5">
    <w:name w:val="heading 5"/>
    <w:aliases w:val="do not use"/>
    <w:basedOn w:val="Normal"/>
    <w:next w:val="Normal"/>
    <w:link w:val="Heading5Char"/>
    <w:qFormat/>
    <w:rsid w:val="00B77D3D"/>
    <w:pPr>
      <w:keepNext/>
      <w:tabs>
        <w:tab w:val="left" w:pos="360"/>
        <w:tab w:val="left" w:pos="990"/>
        <w:tab w:val="left" w:leader="dot" w:pos="8856"/>
      </w:tabs>
      <w:ind w:right="-360"/>
      <w:outlineLvl w:val="4"/>
    </w:pPr>
    <w:rPr>
      <w:rFonts w:ascii="Arial" w:hAnsi="Arial"/>
      <w:b/>
      <w:bCs/>
      <w:szCs w:val="40"/>
    </w:rPr>
  </w:style>
  <w:style w:type="paragraph" w:styleId="Heading6">
    <w:name w:val="heading 6"/>
    <w:aliases w:val="do not use Heading 6"/>
    <w:basedOn w:val="Normal"/>
    <w:next w:val="Normal"/>
    <w:link w:val="Heading6Char"/>
    <w:qFormat/>
    <w:rsid w:val="00B77D3D"/>
    <w:pPr>
      <w:keepNext/>
      <w:tabs>
        <w:tab w:val="left" w:pos="6030"/>
      </w:tabs>
      <w:spacing w:line="360" w:lineRule="auto"/>
      <w:ind w:left="1800"/>
      <w:outlineLvl w:val="5"/>
    </w:pPr>
    <w:rPr>
      <w:b/>
      <w:sz w:val="28"/>
    </w:rPr>
  </w:style>
  <w:style w:type="paragraph" w:styleId="Heading7">
    <w:name w:val="heading 7"/>
    <w:aliases w:val="Do not use Heading 7"/>
    <w:basedOn w:val="Normal"/>
    <w:next w:val="Normal"/>
    <w:link w:val="Heading7Char"/>
    <w:qFormat/>
    <w:rsid w:val="00B77D3D"/>
    <w:pPr>
      <w:keepNext/>
      <w:tabs>
        <w:tab w:val="left" w:pos="5400"/>
      </w:tabs>
      <w:ind w:left="2160"/>
      <w:outlineLvl w:val="6"/>
    </w:pPr>
    <w:rPr>
      <w:b/>
      <w:sz w:val="28"/>
    </w:rPr>
  </w:style>
  <w:style w:type="paragraph" w:styleId="Heading8">
    <w:name w:val="heading 8"/>
    <w:aliases w:val="Do not use Heading 8"/>
    <w:basedOn w:val="Normal"/>
    <w:next w:val="Normal"/>
    <w:link w:val="Heading8Char"/>
    <w:qFormat/>
    <w:rsid w:val="00B77D3D"/>
    <w:pPr>
      <w:keepNext/>
      <w:jc w:val="center"/>
      <w:outlineLvl w:val="7"/>
    </w:pPr>
    <w:rPr>
      <w:b/>
      <w:sz w:val="36"/>
    </w:rPr>
  </w:style>
  <w:style w:type="paragraph" w:styleId="Heading9">
    <w:name w:val="heading 9"/>
    <w:aliases w:val="don't use Heading 9"/>
    <w:basedOn w:val="Normal"/>
    <w:next w:val="Normal"/>
    <w:link w:val="Heading9Char"/>
    <w:qFormat/>
    <w:rsid w:val="00B77D3D"/>
    <w:pPr>
      <w:keepNext/>
      <w:tabs>
        <w:tab w:val="left" w:pos="3870"/>
        <w:tab w:val="left" w:pos="6030"/>
      </w:tabs>
      <w:spacing w:line="480" w:lineRule="auto"/>
      <w:ind w:left="1080"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F46EA"/>
    <w:rPr>
      <w:rFonts w:ascii="Arial" w:eastAsia="Times" w:hAnsi="Arial"/>
      <w:b/>
      <w:color w:val="000000"/>
      <w:sz w:val="28"/>
      <w:lang w:val="en-US" w:eastAsia="en-US" w:bidi="ar-SA"/>
    </w:rPr>
  </w:style>
  <w:style w:type="character" w:customStyle="1" w:styleId="Heading3Char">
    <w:name w:val="Heading 3 Char"/>
    <w:aliases w:val="Don't use Char"/>
    <w:basedOn w:val="DefaultParagraphFont"/>
    <w:link w:val="Heading3"/>
    <w:rsid w:val="0002060F"/>
    <w:rPr>
      <w:rFonts w:ascii="Times New Roman" w:hAnsi="Times New Roman" w:cs="Arial"/>
      <w:b/>
      <w:bCs/>
      <w:sz w:val="24"/>
      <w:szCs w:val="26"/>
    </w:rPr>
  </w:style>
  <w:style w:type="character" w:customStyle="1" w:styleId="Heading4Char">
    <w:name w:val="Heading 4 Char"/>
    <w:aliases w:val="Do not use Char"/>
    <w:link w:val="Heading4"/>
    <w:rsid w:val="008E5EBA"/>
    <w:rPr>
      <w:rFonts w:eastAsia="Times"/>
      <w:i/>
      <w:sz w:val="24"/>
      <w:szCs w:val="28"/>
      <w:lang w:val="en-US" w:eastAsia="en-US" w:bidi="ar-SA"/>
    </w:rPr>
  </w:style>
  <w:style w:type="character" w:customStyle="1" w:styleId="Heading5Char">
    <w:name w:val="Heading 5 Char"/>
    <w:aliases w:val="do not use Char"/>
    <w:basedOn w:val="DefaultParagraphFont"/>
    <w:link w:val="Heading5"/>
    <w:rsid w:val="0002060F"/>
    <w:rPr>
      <w:rFonts w:ascii="Arial" w:hAnsi="Arial"/>
      <w:b/>
      <w:bCs/>
      <w:sz w:val="24"/>
      <w:szCs w:val="40"/>
    </w:rPr>
  </w:style>
  <w:style w:type="character" w:customStyle="1" w:styleId="Heading6Char">
    <w:name w:val="Heading 6 Char"/>
    <w:aliases w:val="do not use Heading 6 Char"/>
    <w:basedOn w:val="DefaultParagraphFont"/>
    <w:link w:val="Heading6"/>
    <w:rsid w:val="0002060F"/>
    <w:rPr>
      <w:b/>
      <w:sz w:val="28"/>
    </w:rPr>
  </w:style>
  <w:style w:type="character" w:customStyle="1" w:styleId="Heading7Char">
    <w:name w:val="Heading 7 Char"/>
    <w:aliases w:val="Do not use Heading 7 Char"/>
    <w:basedOn w:val="DefaultParagraphFont"/>
    <w:link w:val="Heading7"/>
    <w:rsid w:val="0002060F"/>
    <w:rPr>
      <w:b/>
      <w:sz w:val="28"/>
    </w:rPr>
  </w:style>
  <w:style w:type="character" w:customStyle="1" w:styleId="Heading8Char">
    <w:name w:val="Heading 8 Char"/>
    <w:aliases w:val="Do not use Heading 8 Char"/>
    <w:basedOn w:val="DefaultParagraphFont"/>
    <w:link w:val="Heading8"/>
    <w:rsid w:val="0002060F"/>
    <w:rPr>
      <w:b/>
      <w:sz w:val="36"/>
    </w:rPr>
  </w:style>
  <w:style w:type="character" w:customStyle="1" w:styleId="Heading9Char">
    <w:name w:val="Heading 9 Char"/>
    <w:aliases w:val="don't use Heading 9 Char"/>
    <w:basedOn w:val="DefaultParagraphFont"/>
    <w:link w:val="Heading9"/>
    <w:rsid w:val="0002060F"/>
    <w:rPr>
      <w:b/>
      <w:sz w:val="28"/>
    </w:rPr>
  </w:style>
  <w:style w:type="table" w:styleId="TableGrid">
    <w:name w:val="Table Grid"/>
    <w:basedOn w:val="TableNormal"/>
    <w:uiPriority w:val="59"/>
    <w:rsid w:val="00E500D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HRQ1">
    <w:name w:val="AHRQ1"/>
    <w:basedOn w:val="TableGrid"/>
    <w:rsid w:val="00E500DA"/>
    <w:pPr>
      <w:ind w:left="187" w:hanging="187"/>
    </w:pPr>
    <w:rPr>
      <w:rFonts w:ascii="Arial" w:eastAsia="Times New Roman" w:hAnsi="Arial"/>
      <w:sz w:val="18"/>
    </w:rPr>
    <w:tblPr>
      <w:tblInd w:w="0" w:type="dxa"/>
      <w:tblBorders>
        <w:top w:val="single" w:sz="12" w:space="0" w:color="auto"/>
        <w:bottom w:val="single" w:sz="12" w:space="0" w:color="auto"/>
        <w:insideH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ind w:leftChars="0" w:left="0" w:firstLineChars="0" w:firstLine="0"/>
      </w:pPr>
      <w:rPr>
        <w:b/>
      </w:rPr>
      <w:tblPr/>
      <w:tcPr>
        <w:vAlign w:val="center"/>
      </w:tcPr>
    </w:tblStylePr>
  </w:style>
  <w:style w:type="paragraph" w:styleId="BalloonText">
    <w:name w:val="Balloon Text"/>
    <w:basedOn w:val="Normal"/>
    <w:link w:val="BalloonTextChar"/>
    <w:unhideWhenUsed/>
    <w:rsid w:val="00E500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00DA"/>
    <w:rPr>
      <w:rFonts w:ascii="Tahoma" w:eastAsia="Times New Roman" w:hAnsi="Tahoma" w:cs="Tahoma"/>
      <w:sz w:val="16"/>
      <w:szCs w:val="16"/>
    </w:rPr>
  </w:style>
  <w:style w:type="paragraph" w:customStyle="1" w:styleId="Bullet1">
    <w:name w:val="Bullet1"/>
    <w:qFormat/>
    <w:rsid w:val="00E500DA"/>
    <w:pPr>
      <w:numPr>
        <w:numId w:val="17"/>
      </w:numPr>
    </w:pPr>
    <w:rPr>
      <w:rFonts w:ascii="Times New Roman" w:eastAsia="Times New Roman" w:hAnsi="Times New Roman"/>
      <w:bCs/>
      <w:sz w:val="24"/>
      <w:szCs w:val="24"/>
    </w:rPr>
  </w:style>
  <w:style w:type="paragraph" w:customStyle="1" w:styleId="Bullet2">
    <w:name w:val="Bullet2"/>
    <w:qFormat/>
    <w:rsid w:val="00E500DA"/>
    <w:pPr>
      <w:numPr>
        <w:ilvl w:val="1"/>
        <w:numId w:val="17"/>
      </w:numPr>
    </w:pPr>
    <w:rPr>
      <w:rFonts w:ascii="Times New Roman" w:eastAsia="Times New Roman" w:hAnsi="Times New Roman"/>
      <w:bCs/>
      <w:sz w:val="24"/>
      <w:szCs w:val="24"/>
    </w:rPr>
  </w:style>
  <w:style w:type="paragraph" w:customStyle="1" w:styleId="ChapterHeading">
    <w:name w:val="ChapterHeading"/>
    <w:qFormat/>
    <w:rsid w:val="00E500DA"/>
    <w:pPr>
      <w:keepNext/>
      <w:spacing w:before="240" w:after="60"/>
      <w:jc w:val="center"/>
    </w:pPr>
    <w:rPr>
      <w:rFonts w:ascii="Arial" w:eastAsia="Times New Roman" w:hAnsi="Arial"/>
      <w:b/>
      <w:bCs/>
      <w:sz w:val="36"/>
      <w:szCs w:val="24"/>
    </w:rPr>
  </w:style>
  <w:style w:type="character" w:styleId="CommentReference">
    <w:name w:val="annotation reference"/>
    <w:basedOn w:val="DefaultParagraphFont"/>
    <w:rsid w:val="00E500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00DA"/>
    <w:pPr>
      <w:spacing w:before="240" w:after="60"/>
    </w:pPr>
    <w:rPr>
      <w:rFonts w:ascii="Calibri" w:eastAsia="Calibri" w:hAnsi="Calibri"/>
      <w:sz w:val="20"/>
    </w:rPr>
  </w:style>
  <w:style w:type="character" w:customStyle="1" w:styleId="CommentTextChar">
    <w:name w:val="Comment Text Char"/>
    <w:basedOn w:val="DefaultParagraphFont"/>
    <w:link w:val="CommentText"/>
    <w:rsid w:val="00E500DA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E500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500DA"/>
    <w:rPr>
      <w:rFonts w:ascii="Calibri" w:eastAsia="Calibri" w:hAnsi="Calibri"/>
      <w:b/>
      <w:bCs/>
    </w:rPr>
  </w:style>
  <w:style w:type="paragraph" w:customStyle="1" w:styleId="Contents">
    <w:name w:val="Contents"/>
    <w:qFormat/>
    <w:rsid w:val="00E500DA"/>
    <w:pPr>
      <w:keepNext/>
      <w:jc w:val="center"/>
    </w:pPr>
    <w:rPr>
      <w:rFonts w:ascii="Arial" w:eastAsia="Calibri" w:hAnsi="Arial" w:cs="Arial"/>
      <w:b/>
      <w:sz w:val="36"/>
      <w:szCs w:val="32"/>
    </w:rPr>
  </w:style>
  <w:style w:type="paragraph" w:customStyle="1" w:styleId="ContentsSubhead">
    <w:name w:val="ContentsSubhead"/>
    <w:qFormat/>
    <w:rsid w:val="00E500DA"/>
    <w:pPr>
      <w:keepNext/>
      <w:spacing w:before="240"/>
    </w:pPr>
    <w:rPr>
      <w:rFonts w:ascii="Times New Roman" w:eastAsia="Times New Roman" w:hAnsi="Times New Roman"/>
      <w:b/>
      <w:bCs/>
      <w:sz w:val="24"/>
      <w:szCs w:val="28"/>
    </w:rPr>
  </w:style>
  <w:style w:type="paragraph" w:customStyle="1" w:styleId="ContractNumber">
    <w:name w:val="ContractNumber"/>
    <w:next w:val="Normal"/>
    <w:qFormat/>
    <w:rsid w:val="00E500DA"/>
    <w:rPr>
      <w:rFonts w:ascii="Times New Roman" w:eastAsia="Times New Roman" w:hAnsi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00DA"/>
    <w:pPr>
      <w:tabs>
        <w:tab w:val="center" w:pos="4680"/>
        <w:tab w:val="right" w:pos="9360"/>
      </w:tabs>
      <w:spacing w:before="240" w:after="60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500DA"/>
    <w:rPr>
      <w:rFonts w:ascii="Calibri" w:eastAsia="Calibri" w:hAnsi="Calibri"/>
      <w:sz w:val="22"/>
      <w:szCs w:val="22"/>
    </w:rPr>
  </w:style>
  <w:style w:type="paragraph" w:customStyle="1" w:styleId="FrontMatterHead">
    <w:name w:val="FrontMatterHead"/>
    <w:qFormat/>
    <w:rsid w:val="00E500DA"/>
    <w:pPr>
      <w:keepNext/>
      <w:spacing w:before="240" w:after="60"/>
    </w:pPr>
    <w:rPr>
      <w:rFonts w:ascii="Arial" w:eastAsia="Calibri" w:hAnsi="Arial" w:cs="Arial"/>
      <w:b/>
      <w:sz w:val="32"/>
      <w:szCs w:val="32"/>
    </w:rPr>
  </w:style>
  <w:style w:type="paragraph" w:styleId="Header">
    <w:name w:val="header"/>
    <w:basedOn w:val="Normal"/>
    <w:link w:val="HeaderChar"/>
    <w:unhideWhenUsed/>
    <w:rsid w:val="00E500DA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E500DA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500DA"/>
    <w:rPr>
      <w:color w:val="0000FF"/>
      <w:u w:val="single"/>
    </w:rPr>
  </w:style>
  <w:style w:type="paragraph" w:customStyle="1" w:styleId="Investigators">
    <w:name w:val="Investigators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KeyQuestion">
    <w:name w:val="KeyQuestion"/>
    <w:rsid w:val="00E500DA"/>
    <w:pPr>
      <w:keepNext/>
      <w:spacing w:before="120" w:after="120"/>
    </w:pPr>
    <w:rPr>
      <w:rFonts w:ascii="Arial" w:eastAsia="Times New Roman" w:hAnsi="Arial" w:cs="Arial"/>
      <w:iCs/>
      <w:kern w:val="32"/>
      <w:sz w:val="28"/>
      <w:szCs w:val="28"/>
    </w:rPr>
  </w:style>
  <w:style w:type="paragraph" w:customStyle="1" w:styleId="Level1Heading">
    <w:name w:val="Level1Heading"/>
    <w:qFormat/>
    <w:rsid w:val="00E500DA"/>
    <w:pPr>
      <w:keepNext/>
      <w:spacing w:before="240" w:after="60"/>
    </w:pPr>
    <w:rPr>
      <w:rFonts w:ascii="Arial" w:eastAsia="Times New Roman" w:hAnsi="Arial"/>
      <w:b/>
      <w:bCs/>
      <w:sz w:val="32"/>
      <w:szCs w:val="24"/>
    </w:rPr>
  </w:style>
  <w:style w:type="paragraph" w:customStyle="1" w:styleId="Level2Heading">
    <w:name w:val="Level2Heading"/>
    <w:qFormat/>
    <w:rsid w:val="00E500DA"/>
    <w:pPr>
      <w:keepNext/>
      <w:spacing w:before="240" w:after="60"/>
    </w:pPr>
    <w:rPr>
      <w:rFonts w:ascii="Times New Roman" w:eastAsia="Times New Roman" w:hAnsi="Times New Roman"/>
      <w:b/>
      <w:bCs/>
      <w:sz w:val="32"/>
      <w:szCs w:val="24"/>
    </w:rPr>
  </w:style>
  <w:style w:type="paragraph" w:customStyle="1" w:styleId="Level3Heading">
    <w:name w:val="Level3Heading"/>
    <w:qFormat/>
    <w:rsid w:val="00E500DA"/>
    <w:pPr>
      <w:keepNext/>
      <w:spacing w:before="240"/>
    </w:pPr>
    <w:rPr>
      <w:rFonts w:ascii="Arial" w:eastAsia="Times New Roman" w:hAnsi="Arial"/>
      <w:b/>
      <w:bCs/>
      <w:sz w:val="28"/>
      <w:szCs w:val="24"/>
    </w:rPr>
  </w:style>
  <w:style w:type="paragraph" w:customStyle="1" w:styleId="Level4Heading">
    <w:name w:val="Level4Heading"/>
    <w:qFormat/>
    <w:rsid w:val="00E500DA"/>
    <w:pPr>
      <w:keepNext/>
      <w:spacing w:before="240"/>
    </w:pPr>
    <w:rPr>
      <w:rFonts w:ascii="Times New Roman" w:eastAsia="Times New Roman" w:hAnsi="Times New Roman"/>
      <w:b/>
      <w:bCs/>
      <w:sz w:val="28"/>
      <w:szCs w:val="24"/>
    </w:rPr>
  </w:style>
  <w:style w:type="paragraph" w:customStyle="1" w:styleId="Level5Heading">
    <w:name w:val="Level5Heading"/>
    <w:qFormat/>
    <w:rsid w:val="00E500DA"/>
    <w:pPr>
      <w:keepNext/>
      <w:spacing w:before="240"/>
    </w:pPr>
    <w:rPr>
      <w:rFonts w:ascii="Arial" w:eastAsia="Times New Roman" w:hAnsi="Arial"/>
      <w:b/>
      <w:bCs/>
      <w:sz w:val="24"/>
      <w:szCs w:val="24"/>
    </w:rPr>
  </w:style>
  <w:style w:type="paragraph" w:customStyle="1" w:styleId="Level6Heading">
    <w:name w:val="Level6Heading"/>
    <w:qFormat/>
    <w:rsid w:val="00E500DA"/>
    <w:pPr>
      <w:keepNext/>
      <w:spacing w:before="24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Level7Heading">
    <w:name w:val="Level7Heading"/>
    <w:qFormat/>
    <w:rsid w:val="00E500DA"/>
    <w:pPr>
      <w:keepNext/>
    </w:pPr>
    <w:rPr>
      <w:rFonts w:ascii="Times New Roman" w:eastAsia="Calibri" w:hAnsi="Times New Roman"/>
      <w:b/>
      <w:color w:val="000000"/>
      <w:sz w:val="24"/>
      <w:szCs w:val="24"/>
    </w:rPr>
  </w:style>
  <w:style w:type="paragraph" w:customStyle="1" w:styleId="Level8Heading">
    <w:name w:val="Level8Heading"/>
    <w:qFormat/>
    <w:rsid w:val="00E500DA"/>
    <w:pPr>
      <w:keepNext/>
    </w:pPr>
    <w:rPr>
      <w:rFonts w:ascii="Times New Roman" w:eastAsia="Times New Roman" w:hAnsi="Times New Roman"/>
      <w:bCs/>
      <w:i/>
      <w:sz w:val="24"/>
      <w:szCs w:val="24"/>
    </w:rPr>
  </w:style>
  <w:style w:type="paragraph" w:styleId="NormalWeb">
    <w:name w:val="Normal (Web)"/>
    <w:basedOn w:val="Normal"/>
    <w:uiPriority w:val="99"/>
    <w:rsid w:val="00E500D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NumberLine">
    <w:name w:val="NumberLine"/>
    <w:qFormat/>
    <w:rsid w:val="00E500DA"/>
    <w:rPr>
      <w:rFonts w:ascii="Arial" w:eastAsia="Times New Roman" w:hAnsi="Arial"/>
      <w:b/>
      <w:bCs/>
      <w:sz w:val="28"/>
      <w:szCs w:val="28"/>
    </w:rPr>
  </w:style>
  <w:style w:type="paragraph" w:customStyle="1" w:styleId="NumberLineCover">
    <w:name w:val="NumberLineCover"/>
    <w:qFormat/>
    <w:rsid w:val="00E500DA"/>
    <w:rPr>
      <w:rFonts w:ascii="Times New Roman" w:eastAsia="Times New Roman" w:hAnsi="Times New Roman"/>
      <w:bCs/>
      <w:sz w:val="28"/>
      <w:szCs w:val="28"/>
    </w:rPr>
  </w:style>
  <w:style w:type="paragraph" w:customStyle="1" w:styleId="PageNumber">
    <w:name w:val="PageNumber"/>
    <w:qFormat/>
    <w:rsid w:val="00E500DA"/>
    <w:pPr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ParagraphIndent">
    <w:name w:val="ParagraphIndent"/>
    <w:qFormat/>
    <w:rsid w:val="00E500DA"/>
    <w:pPr>
      <w:ind w:firstLine="36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ParagraphNoIndent">
    <w:name w:val="ParagraphNoIndent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ParagraphNoIndentBold">
    <w:name w:val="ParagraphNoIndentBold"/>
    <w:qFormat/>
    <w:rsid w:val="00E500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PreparedByText">
    <w:name w:val="PreparedByText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PreparedForText">
    <w:name w:val="PreparedForText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PublicationNumberDate">
    <w:name w:val="PublicationNumberDate"/>
    <w:qFormat/>
    <w:rsid w:val="00E500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Reference">
    <w:name w:val="Reference"/>
    <w:qFormat/>
    <w:rsid w:val="00E500DA"/>
    <w:pPr>
      <w:keepLines/>
      <w:spacing w:before="120" w:after="120"/>
      <w:ind w:left="720" w:hanging="720"/>
    </w:pPr>
    <w:rPr>
      <w:rFonts w:ascii="Times New Roman" w:eastAsia="Times New Roman" w:hAnsi="Times New Roman"/>
      <w:bCs/>
      <w:szCs w:val="24"/>
    </w:rPr>
  </w:style>
  <w:style w:type="paragraph" w:customStyle="1" w:styleId="ReportSubtitle">
    <w:name w:val="ReportSubtitle"/>
    <w:qFormat/>
    <w:rsid w:val="00E500DA"/>
    <w:rPr>
      <w:rFonts w:ascii="Arial" w:eastAsia="Times New Roman" w:hAnsi="Arial"/>
      <w:b/>
      <w:bCs/>
      <w:sz w:val="24"/>
      <w:szCs w:val="24"/>
    </w:rPr>
  </w:style>
  <w:style w:type="paragraph" w:customStyle="1" w:styleId="ReportTitle">
    <w:name w:val="ReportTitle"/>
    <w:uiPriority w:val="99"/>
    <w:qFormat/>
    <w:rsid w:val="00E500DA"/>
    <w:rPr>
      <w:rFonts w:ascii="Arial" w:eastAsia="Times New Roman" w:hAnsi="Arial"/>
      <w:b/>
      <w:bCs/>
      <w:sz w:val="36"/>
      <w:szCs w:val="36"/>
    </w:rPr>
  </w:style>
  <w:style w:type="paragraph" w:customStyle="1" w:styleId="ReportType">
    <w:name w:val="ReportType"/>
    <w:qFormat/>
    <w:rsid w:val="00E500DA"/>
    <w:rPr>
      <w:rFonts w:ascii="Times New Roman" w:eastAsia="Times New Roman" w:hAnsi="Times New Roman"/>
      <w:b/>
      <w:bCs/>
      <w:i/>
      <w:sz w:val="36"/>
      <w:szCs w:val="36"/>
    </w:rPr>
  </w:style>
  <w:style w:type="paragraph" w:customStyle="1" w:styleId="ReportTypeCover">
    <w:name w:val="ReportTypeCover"/>
    <w:qFormat/>
    <w:rsid w:val="00E500DA"/>
    <w:pPr>
      <w:pBdr>
        <w:bottom w:val="single" w:sz="12" w:space="1" w:color="auto"/>
      </w:pBdr>
    </w:pPr>
    <w:rPr>
      <w:rFonts w:ascii="Times New Roman" w:eastAsia="Times New Roman" w:hAnsi="Times New Roman"/>
      <w:bCs/>
      <w:i/>
      <w:sz w:val="36"/>
      <w:szCs w:val="36"/>
    </w:rPr>
  </w:style>
  <w:style w:type="paragraph" w:customStyle="1" w:styleId="Studies1">
    <w:name w:val="Studies1"/>
    <w:qFormat/>
    <w:rsid w:val="00E500DA"/>
    <w:pPr>
      <w:keepLines/>
      <w:spacing w:before="120" w:after="120"/>
    </w:pPr>
    <w:rPr>
      <w:rFonts w:ascii="Times New Roman" w:eastAsia="Calibri" w:hAnsi="Times New Roman" w:cs="Arial"/>
      <w:color w:val="000000"/>
      <w:sz w:val="24"/>
      <w:szCs w:val="32"/>
    </w:rPr>
  </w:style>
  <w:style w:type="paragraph" w:customStyle="1" w:styleId="Studies2">
    <w:name w:val="Studies2"/>
    <w:qFormat/>
    <w:rsid w:val="00E500DA"/>
    <w:pPr>
      <w:keepLines/>
      <w:numPr>
        <w:numId w:val="18"/>
      </w:numPr>
      <w:spacing w:before="120" w:after="120"/>
    </w:pPr>
    <w:rPr>
      <w:rFonts w:ascii="Times New Roman" w:hAnsi="Times New Roman"/>
      <w:color w:val="000000"/>
      <w:sz w:val="24"/>
      <w:szCs w:val="24"/>
    </w:rPr>
  </w:style>
  <w:style w:type="paragraph" w:customStyle="1" w:styleId="SuggestedCitation">
    <w:name w:val="SuggestedCitation"/>
    <w:qFormat/>
    <w:rsid w:val="00E500DA"/>
    <w:rPr>
      <w:rFonts w:ascii="Times New Roman" w:eastAsia="Times New Roman" w:hAnsi="Times New Roman"/>
      <w:bCs/>
      <w:sz w:val="24"/>
      <w:szCs w:val="24"/>
    </w:rPr>
  </w:style>
  <w:style w:type="paragraph" w:customStyle="1" w:styleId="TableBoldText">
    <w:name w:val="TableBoldText"/>
    <w:qFormat/>
    <w:rsid w:val="00E500DA"/>
    <w:rPr>
      <w:rFonts w:ascii="Arial" w:eastAsia="Calibri" w:hAnsi="Arial" w:cs="Arial"/>
      <w:b/>
      <w:sz w:val="18"/>
      <w:szCs w:val="18"/>
    </w:rPr>
  </w:style>
  <w:style w:type="paragraph" w:customStyle="1" w:styleId="TableCenteredText">
    <w:name w:val="TableCenteredText"/>
    <w:qFormat/>
    <w:rsid w:val="00E500DA"/>
    <w:pPr>
      <w:jc w:val="center"/>
    </w:pPr>
    <w:rPr>
      <w:rFonts w:ascii="Arial" w:eastAsia="Calibri" w:hAnsi="Arial" w:cs="Arial"/>
      <w:sz w:val="18"/>
      <w:szCs w:val="18"/>
    </w:rPr>
  </w:style>
  <w:style w:type="paragraph" w:customStyle="1" w:styleId="TableColumnHead">
    <w:name w:val="TableColumnHead"/>
    <w:qFormat/>
    <w:rsid w:val="00E500DA"/>
    <w:pPr>
      <w:jc w:val="center"/>
    </w:pPr>
    <w:rPr>
      <w:rFonts w:ascii="Arial" w:eastAsia="Calibri" w:hAnsi="Arial" w:cs="Arial"/>
      <w:b/>
      <w:bCs/>
      <w:sz w:val="18"/>
      <w:szCs w:val="18"/>
    </w:rPr>
  </w:style>
  <w:style w:type="paragraph" w:customStyle="1" w:styleId="TableLeftText">
    <w:name w:val="TableLeftText"/>
    <w:qFormat/>
    <w:rsid w:val="00E500DA"/>
    <w:rPr>
      <w:rFonts w:ascii="Arial" w:eastAsia="Calibri" w:hAnsi="Arial" w:cs="Arial"/>
      <w:sz w:val="18"/>
      <w:szCs w:val="18"/>
    </w:rPr>
  </w:style>
  <w:style w:type="paragraph" w:customStyle="1" w:styleId="TableNote">
    <w:name w:val="TableNote"/>
    <w:qFormat/>
    <w:rsid w:val="00E500DA"/>
    <w:pPr>
      <w:spacing w:after="240"/>
    </w:pPr>
    <w:rPr>
      <w:rFonts w:ascii="Times New Roman" w:eastAsia="Times New Roman" w:hAnsi="Times New Roman"/>
      <w:bCs/>
      <w:sz w:val="18"/>
      <w:szCs w:val="24"/>
    </w:rPr>
  </w:style>
  <w:style w:type="paragraph" w:customStyle="1" w:styleId="TableSubhead">
    <w:name w:val="TableSubhead"/>
    <w:qFormat/>
    <w:rsid w:val="00E500DA"/>
    <w:rPr>
      <w:rFonts w:ascii="Arial" w:eastAsia="Calibri" w:hAnsi="Arial" w:cs="Arial"/>
      <w:b/>
      <w:i/>
      <w:sz w:val="18"/>
      <w:szCs w:val="18"/>
    </w:rPr>
  </w:style>
  <w:style w:type="paragraph" w:customStyle="1" w:styleId="TableText">
    <w:name w:val="TableText"/>
    <w:qFormat/>
    <w:rsid w:val="00E500DA"/>
    <w:rPr>
      <w:rFonts w:ascii="Arial" w:eastAsia="Calibri" w:hAnsi="Arial" w:cs="Arial"/>
      <w:sz w:val="18"/>
      <w:szCs w:val="18"/>
    </w:rPr>
  </w:style>
  <w:style w:type="paragraph" w:customStyle="1" w:styleId="TableTitle">
    <w:name w:val="TableTitle"/>
    <w:qFormat/>
    <w:rsid w:val="00E500DA"/>
    <w:pPr>
      <w:keepNext/>
      <w:spacing w:before="240"/>
    </w:pPr>
    <w:rPr>
      <w:rFonts w:ascii="Arial" w:eastAsia="Calibri" w:hAnsi="Arial"/>
      <w:b/>
      <w:color w:val="000000"/>
      <w:szCs w:val="24"/>
    </w:rPr>
  </w:style>
  <w:style w:type="paragraph" w:styleId="TOC1">
    <w:name w:val="toc 1"/>
    <w:basedOn w:val="Normal"/>
    <w:next w:val="Normal"/>
    <w:autoRedefine/>
    <w:rsid w:val="00E500DA"/>
    <w:rPr>
      <w:rFonts w:ascii="Times New Roman" w:hAnsi="Times New Roman"/>
      <w:szCs w:val="24"/>
      <w:lang w:val="en-CA"/>
    </w:rPr>
  </w:style>
  <w:style w:type="paragraph" w:styleId="TOC2">
    <w:name w:val="toc 2"/>
    <w:basedOn w:val="Normal"/>
    <w:next w:val="Normal"/>
    <w:autoRedefine/>
    <w:rsid w:val="00E500DA"/>
    <w:pPr>
      <w:ind w:left="240"/>
    </w:pPr>
    <w:rPr>
      <w:rFonts w:ascii="Times New Roman" w:hAnsi="Times New Roman"/>
      <w:szCs w:val="24"/>
      <w:lang w:val="en-CA"/>
    </w:rPr>
  </w:style>
  <w:style w:type="paragraph" w:styleId="Revision">
    <w:name w:val="Revision"/>
    <w:hidden/>
    <w:uiPriority w:val="99"/>
    <w:semiHidden/>
    <w:rsid w:val="008F38FA"/>
    <w:rPr>
      <w:sz w:val="24"/>
    </w:rPr>
  </w:style>
  <w:style w:type="paragraph" w:styleId="FootnoteText">
    <w:name w:val="footnote text"/>
    <w:basedOn w:val="Normal"/>
    <w:link w:val="FootnoteTextChar"/>
    <w:rsid w:val="00344A94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44A94"/>
    <w:rPr>
      <w:rFonts w:eastAsia="Times New Roman"/>
    </w:rPr>
  </w:style>
  <w:style w:type="character" w:styleId="FootnoteReference">
    <w:name w:val="footnote reference"/>
    <w:basedOn w:val="DefaultParagraphFont"/>
    <w:rsid w:val="00344A94"/>
    <w:rPr>
      <w:vertAlign w:val="superscript"/>
    </w:rPr>
  </w:style>
  <w:style w:type="paragraph" w:customStyle="1" w:styleId="AppendixTextStartsHere">
    <w:name w:val="Appendix Text Starts Here"/>
    <w:basedOn w:val="Normal"/>
    <w:rsid w:val="00EC46E7"/>
    <w:rPr>
      <w:rFonts w:ascii="Arial" w:eastAsia="Times" w:hAnsi="Arial"/>
      <w:b/>
      <w:sz w:val="32"/>
    </w:rPr>
  </w:style>
  <w:style w:type="paragraph" w:styleId="NoSpacing">
    <w:name w:val="No Spacing"/>
    <w:qFormat/>
    <w:rsid w:val="00EC46E7"/>
    <w:rPr>
      <w:rFonts w:ascii="Calibri" w:eastAsia="Calibri" w:hAnsi="Calibri"/>
      <w:sz w:val="22"/>
      <w:szCs w:val="22"/>
    </w:rPr>
  </w:style>
  <w:style w:type="paragraph" w:styleId="BodyText">
    <w:name w:val="Body Text"/>
    <w:aliases w:val="1st line flush left"/>
    <w:basedOn w:val="Normal"/>
    <w:link w:val="BodyTextChar"/>
    <w:rsid w:val="00241625"/>
    <w:pPr>
      <w:spacing w:after="120"/>
    </w:pPr>
  </w:style>
  <w:style w:type="character" w:customStyle="1" w:styleId="BodyTextChar">
    <w:name w:val="Body Text Char"/>
    <w:aliases w:val="1st line flush left Char"/>
    <w:basedOn w:val="DefaultParagraphFont"/>
    <w:link w:val="BodyText"/>
    <w:rsid w:val="00241625"/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241625"/>
    <w:pPr>
      <w:spacing w:before="120"/>
      <w:ind w:firstLine="360"/>
      <w:contextualSpacing/>
    </w:pPr>
    <w:rPr>
      <w:rFonts w:eastAsia="Times"/>
    </w:rPr>
  </w:style>
  <w:style w:type="character" w:customStyle="1" w:styleId="BodyTextFirstIndentChar">
    <w:name w:val="Body Text First Indent Char"/>
    <w:basedOn w:val="BodyTextChar"/>
    <w:link w:val="BodyTextFirstIndent"/>
    <w:rsid w:val="00241625"/>
    <w:rPr>
      <w:rFonts w:eastAsia="Times New Roman"/>
      <w:sz w:val="24"/>
    </w:rPr>
  </w:style>
  <w:style w:type="paragraph" w:customStyle="1" w:styleId="TableHeading">
    <w:name w:val="Table Heading"/>
    <w:basedOn w:val="Normal"/>
    <w:link w:val="TableHeadingCharChar"/>
    <w:rsid w:val="00241625"/>
    <w:pPr>
      <w:spacing w:after="120"/>
    </w:pPr>
    <w:rPr>
      <w:rFonts w:ascii="Arial" w:eastAsia="Times" w:hAnsi="Arial"/>
      <w:b/>
      <w:sz w:val="18"/>
      <w:szCs w:val="36"/>
    </w:rPr>
  </w:style>
  <w:style w:type="character" w:customStyle="1" w:styleId="TableHeadingCharChar">
    <w:name w:val="Table Heading Char Char"/>
    <w:link w:val="TableHeading"/>
    <w:rsid w:val="00241625"/>
    <w:rPr>
      <w:rFonts w:ascii="Arial" w:hAnsi="Arial" w:cs="Arial"/>
      <w:b/>
      <w:sz w:val="18"/>
      <w:szCs w:val="36"/>
    </w:rPr>
  </w:style>
  <w:style w:type="paragraph" w:customStyle="1" w:styleId="Header1">
    <w:name w:val="Header 1"/>
    <w:basedOn w:val="ExecSummaryHeader"/>
    <w:link w:val="Header1Char"/>
    <w:rsid w:val="00241625"/>
    <w:pPr>
      <w:spacing w:before="240" w:after="240"/>
    </w:pPr>
  </w:style>
  <w:style w:type="paragraph" w:customStyle="1" w:styleId="ExecSummaryHeader">
    <w:name w:val="Exec Summary Header"/>
    <w:basedOn w:val="Normal"/>
    <w:link w:val="ExecSummaryHeaderCharChar"/>
    <w:rsid w:val="00241625"/>
    <w:pPr>
      <w:autoSpaceDE w:val="0"/>
      <w:autoSpaceDN w:val="0"/>
      <w:adjustRightInd w:val="0"/>
      <w:jc w:val="center"/>
    </w:pPr>
    <w:rPr>
      <w:rFonts w:ascii="Arial" w:hAnsi="Arial"/>
      <w:b/>
      <w:bCs/>
      <w:i/>
      <w:color w:val="000000"/>
      <w:sz w:val="36"/>
      <w:szCs w:val="36"/>
    </w:rPr>
  </w:style>
  <w:style w:type="character" w:customStyle="1" w:styleId="ExecSummaryHeaderCharChar">
    <w:name w:val="Exec Summary Header Char Char"/>
    <w:link w:val="ExecSummaryHeader"/>
    <w:rsid w:val="00241625"/>
    <w:rPr>
      <w:rFonts w:ascii="Arial" w:eastAsia="Times New Roman" w:hAnsi="Arial" w:cs="Arial"/>
      <w:b/>
      <w:bCs/>
      <w:i/>
      <w:color w:val="000000"/>
      <w:sz w:val="36"/>
      <w:szCs w:val="36"/>
    </w:rPr>
  </w:style>
  <w:style w:type="character" w:customStyle="1" w:styleId="Header1Char">
    <w:name w:val="Header 1 Char"/>
    <w:basedOn w:val="ExecSummaryHeaderCharChar"/>
    <w:link w:val="Header1"/>
    <w:rsid w:val="00241625"/>
    <w:rPr>
      <w:rFonts w:ascii="Arial" w:eastAsia="Times New Roman" w:hAnsi="Arial" w:cs="Arial"/>
      <w:b/>
      <w:bCs/>
      <w:i/>
      <w:color w:val="000000"/>
      <w:sz w:val="36"/>
      <w:szCs w:val="36"/>
    </w:rPr>
  </w:style>
  <w:style w:type="paragraph" w:customStyle="1" w:styleId="BulletedList">
    <w:name w:val="Bulleted List"/>
    <w:basedOn w:val="BodyTextFirstIndent"/>
    <w:rsid w:val="00241625"/>
    <w:pPr>
      <w:tabs>
        <w:tab w:val="num" w:pos="1440"/>
      </w:tabs>
      <w:ind w:left="1440" w:hanging="360"/>
    </w:pPr>
  </w:style>
  <w:style w:type="paragraph" w:customStyle="1" w:styleId="CERexecsumbullet2">
    <w:name w:val="CER exec sum bullet 2"/>
    <w:basedOn w:val="Normal"/>
    <w:rsid w:val="00241625"/>
    <w:pPr>
      <w:tabs>
        <w:tab w:val="num" w:pos="720"/>
      </w:tabs>
      <w:spacing w:before="60"/>
      <w:ind w:left="720" w:hanging="360"/>
    </w:pPr>
    <w:rPr>
      <w:rFonts w:ascii="Arial" w:hAnsi="Arial" w:cs="Arial"/>
      <w:color w:val="000000"/>
      <w:sz w:val="20"/>
    </w:rPr>
  </w:style>
  <w:style w:type="character" w:customStyle="1" w:styleId="TableText0">
    <w:name w:val="Table Text"/>
    <w:rsid w:val="001A2BD6"/>
    <w:rPr>
      <w:rFonts w:ascii="Arial" w:hAnsi="Arial" w:cs="Arial"/>
      <w:sz w:val="2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3635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9703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74646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01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26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2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7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61738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10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94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8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9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8345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056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1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6810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80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4D790-DC01-4009-96D5-638A4D4C8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3099</Words>
  <Characters>17668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Draft Reports</vt:lpstr>
    </vt:vector>
  </TitlesOfParts>
  <Company>RAND Corporation</Company>
  <LinksUpToDate>false</LinksUpToDate>
  <CharactersWithSpaces>20726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Draft Reports</dc:title>
  <dc:subject/>
  <dc:creator>IST</dc:creator>
  <cp:keywords/>
  <cp:lastModifiedBy>Sarita Paradkar</cp:lastModifiedBy>
  <cp:revision>5</cp:revision>
  <cp:lastPrinted>2012-03-12T18:01:00Z</cp:lastPrinted>
  <dcterms:created xsi:type="dcterms:W3CDTF">2012-03-12T18:33:00Z</dcterms:created>
  <dcterms:modified xsi:type="dcterms:W3CDTF">2012-04-12T08:18:00Z</dcterms:modified>
</cp:coreProperties>
</file>